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7983" w14:textId="36C81D2A" w:rsidR="001D6AEA" w:rsidRPr="006621B1" w:rsidRDefault="001D6AEA" w:rsidP="001D6AEA">
      <w:pPr>
        <w:spacing w:after="0" w:line="240" w:lineRule="auto"/>
        <w:rPr>
          <w:rFonts w:ascii="Times New Roman" w:hAnsi="Times New Roman" w:cs="Times New Roman"/>
          <w:b/>
          <w:color w:val="000000" w:themeColor="text1"/>
          <w:sz w:val="28"/>
          <w:szCs w:val="28"/>
        </w:rPr>
      </w:pPr>
      <w:r w:rsidRPr="006621B1">
        <w:rPr>
          <w:rFonts w:ascii="Times New Roman" w:hAnsi="Times New Roman" w:cs="Times New Roman"/>
          <w:b/>
          <w:color w:val="000000" w:themeColor="text1"/>
          <w:sz w:val="28"/>
          <w:szCs w:val="28"/>
        </w:rPr>
        <w:t xml:space="preserve">Summaries for </w:t>
      </w:r>
      <w:r w:rsidR="001C7690" w:rsidRPr="006621B1">
        <w:rPr>
          <w:rFonts w:ascii="Times New Roman" w:hAnsi="Times New Roman" w:cs="Times New Roman"/>
          <w:b/>
          <w:color w:val="000000" w:themeColor="text1"/>
          <w:sz w:val="28"/>
          <w:szCs w:val="28"/>
        </w:rPr>
        <w:t xml:space="preserve">Box </w:t>
      </w:r>
      <w:r w:rsidR="00F016A8" w:rsidRPr="006621B1">
        <w:rPr>
          <w:rFonts w:ascii="Times New Roman" w:hAnsi="Times New Roman" w:cs="Times New Roman"/>
          <w:b/>
          <w:color w:val="000000" w:themeColor="text1"/>
          <w:sz w:val="28"/>
          <w:szCs w:val="28"/>
        </w:rPr>
        <w:t>4_Disparities</w:t>
      </w:r>
      <w:r w:rsidR="001C7690" w:rsidRPr="006621B1">
        <w:rPr>
          <w:rFonts w:ascii="Times New Roman" w:hAnsi="Times New Roman" w:cs="Times New Roman"/>
          <w:b/>
          <w:color w:val="000000" w:themeColor="text1"/>
          <w:sz w:val="28"/>
          <w:szCs w:val="28"/>
        </w:rPr>
        <w:t>_</w:t>
      </w:r>
      <w:r w:rsidRPr="006621B1">
        <w:rPr>
          <w:rFonts w:ascii="Times New Roman" w:hAnsi="Times New Roman" w:cs="Times New Roman"/>
          <w:b/>
          <w:color w:val="000000" w:themeColor="text1"/>
          <w:sz w:val="28"/>
          <w:szCs w:val="28"/>
        </w:rPr>
        <w:t>Tables 1-</w:t>
      </w:r>
      <w:r w:rsidR="00F016A8" w:rsidRPr="006621B1">
        <w:rPr>
          <w:rFonts w:ascii="Times New Roman" w:hAnsi="Times New Roman" w:cs="Times New Roman"/>
          <w:b/>
          <w:color w:val="000000" w:themeColor="text1"/>
          <w:sz w:val="28"/>
          <w:szCs w:val="28"/>
        </w:rPr>
        <w:t>10</w:t>
      </w:r>
      <w:r w:rsidR="00050E1A" w:rsidRPr="006621B1">
        <w:rPr>
          <w:rFonts w:ascii="Times New Roman" w:hAnsi="Times New Roman" w:cs="Times New Roman"/>
          <w:b/>
          <w:color w:val="000000" w:themeColor="text1"/>
          <w:sz w:val="28"/>
          <w:szCs w:val="28"/>
        </w:rPr>
        <w:t xml:space="preserve"> </w:t>
      </w:r>
    </w:p>
    <w:p w14:paraId="2465890B" w14:textId="4847A5ED" w:rsidR="00960C22" w:rsidRPr="006621B1" w:rsidRDefault="00960C22" w:rsidP="001D6AEA">
      <w:pPr>
        <w:spacing w:after="0" w:line="240" w:lineRule="auto"/>
        <w:rPr>
          <w:rFonts w:ascii="Times New Roman" w:hAnsi="Times New Roman" w:cs="Times New Roman"/>
          <w:b/>
          <w:color w:val="000000" w:themeColor="text1"/>
          <w:sz w:val="28"/>
          <w:szCs w:val="28"/>
        </w:rPr>
      </w:pPr>
    </w:p>
    <w:p w14:paraId="7FB5542E" w14:textId="27A3A3BE" w:rsidR="00960C22" w:rsidRPr="006621B1" w:rsidRDefault="00F016A8" w:rsidP="006976BE">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1. Summary table of racial/ethnic* differences in vaccination coverage among adults aged ≥19 years, by age group and increased-risk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 National Health Interview Survey, United States, 2017</w:t>
      </w:r>
    </w:p>
    <w:p w14:paraId="667F5C74" w14:textId="4B42F3BA" w:rsidR="00960C22" w:rsidRPr="006621B1" w:rsidRDefault="00960C22" w:rsidP="001D6AEA">
      <w:pPr>
        <w:spacing w:after="0" w:line="240" w:lineRule="auto"/>
        <w:rPr>
          <w:rFonts w:ascii="Times New Roman" w:hAnsi="Times New Roman" w:cs="Times New Roman"/>
          <w:b/>
          <w:color w:val="000000" w:themeColor="text1"/>
          <w:sz w:val="24"/>
          <w:szCs w:val="24"/>
        </w:rPr>
      </w:pPr>
    </w:p>
    <w:p w14:paraId="2C1EFD1C" w14:textId="17F344FD" w:rsidR="00F016A8" w:rsidRPr="006621B1" w:rsidRDefault="00F016A8" w:rsidP="00F016A8">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With whites as the reference group, there were differences in vaccination coverage for 49 of the 66 comparisons by vaccine and age/target groups (not including comparisons of the “other” race/ethnic group).</w:t>
      </w:r>
      <w:r w:rsidR="00B04505" w:rsidRPr="006621B1">
        <w:rPr>
          <w:rFonts w:ascii="Times New Roman" w:hAnsi="Times New Roman" w:cs="Times New Roman"/>
          <w:color w:val="000000" w:themeColor="text1"/>
          <w:sz w:val="24"/>
          <w:szCs w:val="24"/>
        </w:rPr>
        <w:t xml:space="preserve"> </w:t>
      </w:r>
      <w:r w:rsidRPr="006621B1">
        <w:rPr>
          <w:rFonts w:ascii="Times New Roman" w:hAnsi="Times New Roman" w:cs="Times New Roman"/>
          <w:color w:val="000000" w:themeColor="text1"/>
          <w:sz w:val="24"/>
          <w:szCs w:val="24"/>
        </w:rPr>
        <w:t xml:space="preserve">These vaccination differences ranged from </w:t>
      </w:r>
      <w:r w:rsidR="00B21ABD" w:rsidRPr="006621B1">
        <w:rPr>
          <w:rFonts w:ascii="Times New Roman" w:hAnsi="Times New Roman" w:cs="Times New Roman"/>
          <w:color w:val="000000" w:themeColor="text1"/>
          <w:sz w:val="24"/>
          <w:szCs w:val="24"/>
        </w:rPr>
        <w:t>11.4</w:t>
      </w:r>
      <w:r w:rsidRPr="006621B1">
        <w:rPr>
          <w:rFonts w:ascii="Times New Roman" w:hAnsi="Times New Roman" w:cs="Times New Roman"/>
          <w:color w:val="000000" w:themeColor="text1"/>
          <w:sz w:val="24"/>
          <w:szCs w:val="24"/>
        </w:rPr>
        <w:t xml:space="preserve"> percentage points for </w:t>
      </w:r>
      <w:r w:rsidR="00B21ABD" w:rsidRPr="006621B1">
        <w:rPr>
          <w:rFonts w:ascii="Times New Roman" w:hAnsi="Times New Roman" w:cs="Times New Roman"/>
          <w:color w:val="000000" w:themeColor="text1"/>
          <w:sz w:val="24"/>
          <w:szCs w:val="24"/>
        </w:rPr>
        <w:t xml:space="preserve">Asians </w:t>
      </w:r>
      <w:r w:rsidRPr="006621B1">
        <w:rPr>
          <w:rFonts w:ascii="Times New Roman" w:hAnsi="Times New Roman" w:cs="Times New Roman"/>
          <w:color w:val="000000" w:themeColor="text1"/>
          <w:sz w:val="24"/>
          <w:szCs w:val="24"/>
        </w:rPr>
        <w:t xml:space="preserve">compared with whites for hepatitis </w:t>
      </w:r>
      <w:r w:rsidR="00B21ABD" w:rsidRPr="006621B1">
        <w:rPr>
          <w:rFonts w:ascii="Times New Roman" w:hAnsi="Times New Roman" w:cs="Times New Roman"/>
          <w:color w:val="000000" w:themeColor="text1"/>
          <w:sz w:val="24"/>
          <w:szCs w:val="24"/>
        </w:rPr>
        <w:t xml:space="preserve">B </w:t>
      </w:r>
      <w:r w:rsidRPr="006621B1">
        <w:rPr>
          <w:rFonts w:ascii="Times New Roman" w:hAnsi="Times New Roman" w:cs="Times New Roman"/>
          <w:color w:val="000000" w:themeColor="text1"/>
          <w:sz w:val="24"/>
          <w:szCs w:val="24"/>
        </w:rPr>
        <w:t xml:space="preserve">vaccination among </w:t>
      </w:r>
      <w:r w:rsidR="00B21ABD" w:rsidRPr="006621B1">
        <w:rPr>
          <w:rFonts w:ascii="Times New Roman" w:hAnsi="Times New Roman" w:cs="Times New Roman"/>
          <w:color w:val="000000" w:themeColor="text1"/>
          <w:sz w:val="24"/>
          <w:szCs w:val="24"/>
        </w:rPr>
        <w:t>health care personnel (HCP) aged ≥19 years</w:t>
      </w:r>
      <w:r w:rsidR="00B21ABD" w:rsidRPr="006621B1" w:rsidDel="00B21ABD">
        <w:rPr>
          <w:rFonts w:ascii="Times New Roman" w:hAnsi="Times New Roman" w:cs="Times New Roman"/>
          <w:color w:val="000000" w:themeColor="text1"/>
          <w:sz w:val="24"/>
          <w:szCs w:val="24"/>
        </w:rPr>
        <w:t xml:space="preserve"> </w:t>
      </w:r>
      <w:r w:rsidRPr="006621B1">
        <w:rPr>
          <w:rFonts w:ascii="Times New Roman" w:hAnsi="Times New Roman" w:cs="Times New Roman"/>
          <w:color w:val="000000" w:themeColor="text1"/>
          <w:sz w:val="24"/>
          <w:szCs w:val="24"/>
        </w:rPr>
        <w:t>to -25.5 percentage points for blacks compared with whites for herpes zoster vaccination among adults aged ≥65 years.</w:t>
      </w:r>
    </w:p>
    <w:p w14:paraId="3D4C6623" w14:textId="68487A3A" w:rsidR="004F6EA2" w:rsidRPr="006621B1" w:rsidRDefault="004F6EA2" w:rsidP="001D6AEA">
      <w:pPr>
        <w:spacing w:after="0" w:line="240" w:lineRule="auto"/>
        <w:rPr>
          <w:rFonts w:ascii="Times New Roman" w:hAnsi="Times New Roman" w:cs="Times New Roman"/>
          <w:b/>
          <w:color w:val="000000" w:themeColor="text1"/>
          <w:sz w:val="24"/>
          <w:szCs w:val="24"/>
        </w:rPr>
      </w:pPr>
    </w:p>
    <w:p w14:paraId="7CC3F8B9" w14:textId="4C82DD5E" w:rsidR="004F6EA2" w:rsidRPr="006621B1" w:rsidRDefault="00F016A8" w:rsidP="001D6AEA">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2. Average change in racial/ethnic* percentage point differences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in vaccination coverage among adults aged &gt;19 years compared with whites, by age group and increased-risk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 National Health Interview Survey, United States, 2010-2017</w:t>
      </w:r>
    </w:p>
    <w:p w14:paraId="45969397" w14:textId="77777777" w:rsidR="001D6AEA" w:rsidRPr="006621B1" w:rsidRDefault="001D6AEA" w:rsidP="001D6AEA">
      <w:pPr>
        <w:spacing w:after="0" w:line="240" w:lineRule="auto"/>
        <w:rPr>
          <w:rFonts w:ascii="Times New Roman" w:hAnsi="Times New Roman" w:cs="Times New Roman"/>
          <w:color w:val="000000" w:themeColor="text1"/>
          <w:sz w:val="24"/>
          <w:szCs w:val="24"/>
        </w:rPr>
      </w:pPr>
    </w:p>
    <w:p w14:paraId="6149CE05" w14:textId="108FAAA9" w:rsidR="005276D2" w:rsidRPr="006621B1" w:rsidRDefault="00F016A8" w:rsidP="005276D2">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During 2010–2017, vaccination differences between whites and blacks increased for tetanus vaccination</w:t>
      </w:r>
      <w:r w:rsidRPr="006621B1">
        <w:rPr>
          <w:rFonts w:ascii="Times New Roman" w:hAnsi="Times New Roman" w:cs="Times New Roman"/>
          <w:b/>
          <w:color w:val="000000" w:themeColor="text1"/>
          <w:sz w:val="24"/>
          <w:szCs w:val="24"/>
        </w:rPr>
        <w:t xml:space="preserve"> (</w:t>
      </w:r>
      <w:r w:rsidRPr="006621B1">
        <w:rPr>
          <w:rFonts w:ascii="Times New Roman" w:hAnsi="Times New Roman" w:cs="Times New Roman"/>
          <w:bCs/>
          <w:color w:val="000000" w:themeColor="text1"/>
          <w:sz w:val="24"/>
          <w:szCs w:val="24"/>
        </w:rPr>
        <w:t>tetanus and diphtheria toxoids</w:t>
      </w:r>
      <w:r w:rsidRPr="006621B1">
        <w:rPr>
          <w:rFonts w:ascii="Times New Roman" w:hAnsi="Times New Roman" w:cs="Times New Roman"/>
          <w:color w:val="000000" w:themeColor="text1"/>
          <w:sz w:val="24"/>
          <w:szCs w:val="24"/>
        </w:rPr>
        <w:t xml:space="preserve"> (Td) or Tdap) (adults aged ≥19 years and aged 19-49 years), Tdap (adults aged ≥19 years, aged 19-64 years, and aged ≥65 years), hepatitis A (adults aged 19–49 years), hepatitis B (adults aged 19-49 years and HCP aged ≥19 years), and herpes zoster vaccination (adults aged ≥60 years and aged ≥65 years) (test for trend: p&lt;0.05). Among Hispanics, vaccination differences increased over this time period compared with whites for tetanus vaccination (Td or Tdap) (adults aged ≥19 years), Tdap (adults aged ≥19 years, aged 19–64 years, </w:t>
      </w:r>
      <w:r w:rsidR="007A32E1" w:rsidRPr="006621B1">
        <w:rPr>
          <w:rFonts w:ascii="Times New Roman" w:hAnsi="Times New Roman" w:cs="Times New Roman"/>
          <w:color w:val="000000" w:themeColor="text1"/>
          <w:sz w:val="24"/>
          <w:szCs w:val="24"/>
        </w:rPr>
        <w:t xml:space="preserve">and </w:t>
      </w:r>
      <w:r w:rsidRPr="006621B1">
        <w:rPr>
          <w:rFonts w:ascii="Times New Roman" w:hAnsi="Times New Roman" w:cs="Times New Roman"/>
          <w:color w:val="000000" w:themeColor="text1"/>
          <w:sz w:val="24"/>
          <w:szCs w:val="24"/>
        </w:rPr>
        <w:t>aged ≥65 years), hepatitis A (adults aged 19–49 years), hepatitis B (HCP aged ≥19 years), and herpes zoster vaccination (adults aged ≥60 years and aged ≥65 years) (test for trend: p&lt;0.05). For Asians, vaccination differences increased over this time period compared with whites for Tdap (adults aged 19–64 years), and herpes zoster vaccination (adults aged ≥65 years) (test for trend: p&lt;0.05). Vaccination differences between whites, blacks, Hispanics, and persons reporting other race for the other vaccines and age groups did not change during this period.</w:t>
      </w:r>
    </w:p>
    <w:p w14:paraId="5C625651" w14:textId="77777777" w:rsidR="007A32E1" w:rsidRPr="006621B1" w:rsidRDefault="007A32E1" w:rsidP="005A6C5B">
      <w:pPr>
        <w:spacing w:after="0" w:line="240" w:lineRule="auto"/>
        <w:rPr>
          <w:rFonts w:ascii="Times New Roman" w:hAnsi="Times New Roman" w:cs="Times New Roman"/>
          <w:b/>
          <w:color w:val="000000" w:themeColor="text1"/>
          <w:sz w:val="24"/>
          <w:szCs w:val="24"/>
        </w:rPr>
      </w:pPr>
    </w:p>
    <w:p w14:paraId="7407CA14" w14:textId="3DD3C8ED" w:rsidR="001D6AEA" w:rsidRPr="006621B1" w:rsidRDefault="005276D2" w:rsidP="005A6C5B">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 xml:space="preserve">BOX 4_ Disparities /TABLE 3. </w:t>
      </w:r>
      <w:r w:rsidR="00707638" w:rsidRPr="006621B1">
        <w:rPr>
          <w:rFonts w:ascii="Times New Roman" w:hAnsi="Times New Roman" w:cs="Times New Roman"/>
          <w:b/>
          <w:color w:val="000000" w:themeColor="text1"/>
          <w:sz w:val="24"/>
          <w:szCs w:val="24"/>
        </w:rPr>
        <w:t>Estimated proportion of adults ≥19 years who received</w:t>
      </w:r>
      <w:r w:rsidR="000F1915" w:rsidRPr="006621B1">
        <w:rPr>
          <w:rFonts w:ascii="Times New Roman" w:hAnsi="Times New Roman" w:cs="Times New Roman"/>
          <w:b/>
          <w:color w:val="000000" w:themeColor="text1"/>
          <w:sz w:val="24"/>
          <w:szCs w:val="24"/>
        </w:rPr>
        <w:t xml:space="preserve"> </w:t>
      </w:r>
      <w:r w:rsidR="00B21ABD" w:rsidRPr="006621B1">
        <w:rPr>
          <w:rFonts w:ascii="Times New Roman" w:hAnsi="Times New Roman" w:cs="Times New Roman"/>
          <w:b/>
          <w:color w:val="000000" w:themeColor="text1"/>
          <w:sz w:val="24"/>
          <w:szCs w:val="24"/>
        </w:rPr>
        <w:t>influenza</w:t>
      </w:r>
      <w:r w:rsidR="00707638" w:rsidRPr="006621B1">
        <w:rPr>
          <w:rFonts w:ascii="Times New Roman" w:hAnsi="Times New Roman" w:cs="Times New Roman"/>
          <w:b/>
          <w:color w:val="000000" w:themeColor="text1"/>
          <w:sz w:val="24"/>
          <w:szCs w:val="24"/>
        </w:rPr>
        <w:t>, by age group, increased-risk status, and race/ethnicity* — National Health Interview Survey, United States, 2017</w:t>
      </w:r>
    </w:p>
    <w:p w14:paraId="5889EA27" w14:textId="77777777" w:rsidR="00066C5E" w:rsidRPr="006621B1" w:rsidRDefault="00066C5E" w:rsidP="00066C5E">
      <w:pPr>
        <w:outlineLvl w:val="2"/>
        <w:rPr>
          <w:rFonts w:ascii="Times New Roman" w:eastAsia="Times New Roman" w:hAnsi="Times New Roman" w:cs="Times New Roman"/>
          <w:bCs/>
          <w:color w:val="000000" w:themeColor="text1"/>
          <w:sz w:val="24"/>
          <w:szCs w:val="24"/>
        </w:rPr>
      </w:pPr>
    </w:p>
    <w:p w14:paraId="64665A4F" w14:textId="3D67F760" w:rsidR="00066C5E" w:rsidRPr="006621B1" w:rsidRDefault="00066C5E" w:rsidP="00066C5E">
      <w:pPr>
        <w:outlineLvl w:val="2"/>
        <w:rPr>
          <w:rFonts w:ascii="Times New Roman" w:eastAsia="Times New Roman" w:hAnsi="Times New Roman" w:cs="Times New Roman"/>
          <w:bCs/>
          <w:color w:val="000000" w:themeColor="text1"/>
          <w:sz w:val="24"/>
          <w:szCs w:val="24"/>
        </w:rPr>
      </w:pPr>
      <w:r w:rsidRPr="006621B1">
        <w:rPr>
          <w:rFonts w:ascii="Times New Roman" w:eastAsia="Times New Roman" w:hAnsi="Times New Roman" w:cs="Times New Roman"/>
          <w:bCs/>
          <w:color w:val="000000" w:themeColor="text1"/>
          <w:sz w:val="24"/>
          <w:szCs w:val="24"/>
        </w:rPr>
        <w:t xml:space="preserve">Influenza vaccination coverage for the 2016-17 season overall among adults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19 years was 45.4%, a 1.9 percentage points increase from the 2015-2016 season.</w:t>
      </w:r>
      <w:r w:rsidRPr="006621B1" w:rsidDel="00AA0AA0">
        <w:rPr>
          <w:rFonts w:ascii="Times New Roman" w:eastAsia="Times New Roman" w:hAnsi="Times New Roman" w:cs="Times New Roman"/>
          <w:bCs/>
          <w:color w:val="000000" w:themeColor="text1"/>
          <w:sz w:val="24"/>
          <w:szCs w:val="24"/>
        </w:rPr>
        <w:t xml:space="preserve"> </w:t>
      </w:r>
      <w:r w:rsidRPr="006621B1">
        <w:rPr>
          <w:rFonts w:ascii="Times New Roman" w:eastAsia="Times New Roman" w:hAnsi="Times New Roman" w:cs="Times New Roman"/>
          <w:bCs/>
          <w:color w:val="000000" w:themeColor="text1"/>
          <w:sz w:val="24"/>
          <w:szCs w:val="24"/>
        </w:rPr>
        <w:t xml:space="preserve">Coverage among whites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19 years (48.2%) was higher than that for blacks (38.5%) and Hispanics (37.0%).</w:t>
      </w:r>
      <w:r w:rsidRPr="006621B1">
        <w:rPr>
          <w:rFonts w:ascii="Times New Roman" w:eastAsia="Times New Roman" w:hAnsi="Times New Roman" w:cs="Times New Roman"/>
          <w:b/>
          <w:bCs/>
          <w:color w:val="000000" w:themeColor="text1"/>
          <w:sz w:val="24"/>
          <w:szCs w:val="24"/>
        </w:rPr>
        <w:t xml:space="preserve">  </w:t>
      </w:r>
    </w:p>
    <w:p w14:paraId="2E37D57C" w14:textId="69B4371A" w:rsidR="00D42D03" w:rsidRPr="006621B1" w:rsidRDefault="005276D2" w:rsidP="005A6C5B">
      <w:pPr>
        <w:rPr>
          <w:rFonts w:ascii="Times New Roman" w:hAnsi="Times New Roman" w:cs="Times New Roman"/>
          <w:bCs/>
          <w:color w:val="000000" w:themeColor="text1"/>
          <w:sz w:val="24"/>
          <w:szCs w:val="24"/>
        </w:rPr>
      </w:pPr>
      <w:r w:rsidRPr="006621B1">
        <w:rPr>
          <w:rFonts w:ascii="Times New Roman" w:hAnsi="Times New Roman" w:cs="Times New Roman"/>
          <w:bCs/>
          <w:color w:val="000000" w:themeColor="text1"/>
          <w:sz w:val="24"/>
          <w:szCs w:val="24"/>
        </w:rPr>
        <w:t>Among adults 19-49 years, influenza vaccination coverage for the 2016–17 season overall increased by 2.4 percentage points to 34.5% compared with the 2015–16 season estimate. In the 2016-17 season, coverage among whites 19-49 years (35.3%) was higher than that for blacks (29.6%)</w:t>
      </w:r>
      <w:r w:rsidR="004218DA" w:rsidRPr="006621B1">
        <w:rPr>
          <w:rFonts w:ascii="Times New Roman" w:hAnsi="Times New Roman" w:cs="Times New Roman"/>
          <w:bCs/>
          <w:color w:val="000000" w:themeColor="text1"/>
          <w:sz w:val="24"/>
          <w:szCs w:val="24"/>
        </w:rPr>
        <w:t>;</w:t>
      </w:r>
      <w:r w:rsidRPr="006621B1">
        <w:rPr>
          <w:rFonts w:ascii="Times New Roman" w:hAnsi="Times New Roman" w:cs="Times New Roman"/>
          <w:bCs/>
          <w:color w:val="000000" w:themeColor="text1"/>
          <w:sz w:val="24"/>
          <w:szCs w:val="24"/>
        </w:rPr>
        <w:t xml:space="preserve"> coverage </w:t>
      </w:r>
      <w:r w:rsidR="004218DA" w:rsidRPr="006621B1">
        <w:rPr>
          <w:rFonts w:ascii="Times New Roman" w:hAnsi="Times New Roman" w:cs="Times New Roman"/>
          <w:bCs/>
          <w:color w:val="000000" w:themeColor="text1"/>
          <w:sz w:val="24"/>
          <w:szCs w:val="24"/>
        </w:rPr>
        <w:t xml:space="preserve">among </w:t>
      </w:r>
      <w:r w:rsidR="004218DA" w:rsidRPr="006621B1">
        <w:rPr>
          <w:rFonts w:ascii="Times New Roman" w:hAnsi="Times New Roman" w:cs="Times New Roman"/>
          <w:bCs/>
          <w:color w:val="000000" w:themeColor="text1"/>
          <w:sz w:val="24"/>
          <w:szCs w:val="24"/>
        </w:rPr>
        <w:lastRenderedPageBreak/>
        <w:t xml:space="preserve">whites </w:t>
      </w:r>
      <w:r w:rsidRPr="006621B1">
        <w:rPr>
          <w:rFonts w:ascii="Times New Roman" w:hAnsi="Times New Roman" w:cs="Times New Roman"/>
          <w:bCs/>
          <w:color w:val="000000" w:themeColor="text1"/>
          <w:sz w:val="24"/>
          <w:szCs w:val="24"/>
        </w:rPr>
        <w:t xml:space="preserve">was lower than that for Asians (42.6%). Coverage among whites 50-64 years (48.8%) was higher compared with blacks (41.8%) and Hispanics (40.0%). Coverage among whites </w:t>
      </w:r>
      <w:r w:rsidRPr="006621B1">
        <w:rPr>
          <w:rFonts w:ascii="Times New Roman" w:hAnsi="Times New Roman" w:cs="Times New Roman"/>
          <w:bCs/>
          <w:color w:val="000000" w:themeColor="text1"/>
          <w:sz w:val="24"/>
          <w:szCs w:val="24"/>
          <w:u w:val="single"/>
        </w:rPr>
        <w:t>&gt;</w:t>
      </w:r>
      <w:r w:rsidRPr="006621B1">
        <w:rPr>
          <w:rFonts w:ascii="Times New Roman" w:hAnsi="Times New Roman" w:cs="Times New Roman"/>
          <w:bCs/>
          <w:color w:val="000000" w:themeColor="text1"/>
          <w:sz w:val="24"/>
          <w:szCs w:val="24"/>
        </w:rPr>
        <w:t>65 years (72.4%) was higher compared with blacks (64.4%).</w:t>
      </w:r>
    </w:p>
    <w:p w14:paraId="7B8F55F6" w14:textId="77777777" w:rsidR="004F6EA2" w:rsidRPr="006621B1" w:rsidRDefault="004F6EA2" w:rsidP="004F6EA2">
      <w:pPr>
        <w:rPr>
          <w:rFonts w:ascii="Times New Roman" w:hAnsi="Times New Roman" w:cs="Times New Roman"/>
          <w:color w:val="000000" w:themeColor="text1"/>
          <w:sz w:val="24"/>
          <w:szCs w:val="24"/>
        </w:rPr>
      </w:pPr>
    </w:p>
    <w:p w14:paraId="1BE00355" w14:textId="67786211" w:rsidR="005A6C5B" w:rsidRPr="006621B1" w:rsidRDefault="005A6C5B" w:rsidP="005A6C5B">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 xml:space="preserve">BOX 4_ Disparities /TABLE 4. Estimated proportion of adults ≥19 years who received any tetanus </w:t>
      </w:r>
      <w:r w:rsidR="0030146A" w:rsidRPr="006621B1">
        <w:rPr>
          <w:rFonts w:ascii="Times New Roman" w:hAnsi="Times New Roman" w:cs="Times New Roman"/>
          <w:b/>
          <w:color w:val="000000" w:themeColor="text1"/>
          <w:sz w:val="24"/>
          <w:szCs w:val="24"/>
        </w:rPr>
        <w:t xml:space="preserve">and Tdap </w:t>
      </w:r>
      <w:r w:rsidRPr="006621B1">
        <w:rPr>
          <w:rFonts w:ascii="Times New Roman" w:hAnsi="Times New Roman" w:cs="Times New Roman"/>
          <w:b/>
          <w:color w:val="000000" w:themeColor="text1"/>
          <w:sz w:val="24"/>
          <w:szCs w:val="24"/>
        </w:rPr>
        <w:t>vaccination, by age group, increased-risk status, and race/ethnicity* — National Health Interview Survey, United States, 2017</w:t>
      </w:r>
    </w:p>
    <w:p w14:paraId="4AEEB2B1" w14:textId="77777777" w:rsidR="005A6C5B" w:rsidRPr="006621B1" w:rsidRDefault="005A6C5B" w:rsidP="005A6C5B">
      <w:pPr>
        <w:spacing w:after="0" w:line="240" w:lineRule="auto"/>
        <w:rPr>
          <w:rFonts w:ascii="Times New Roman" w:hAnsi="Times New Roman" w:cs="Times New Roman"/>
          <w:b/>
          <w:color w:val="000000" w:themeColor="text1"/>
          <w:sz w:val="24"/>
          <w:szCs w:val="24"/>
        </w:rPr>
      </w:pPr>
    </w:p>
    <w:p w14:paraId="0CB70B8B" w14:textId="36CDFBED" w:rsidR="005A6C5B" w:rsidRPr="006621B1" w:rsidRDefault="005A6C5B" w:rsidP="005A6C5B">
      <w:pPr>
        <w:outlineLvl w:val="2"/>
        <w:rPr>
          <w:rFonts w:ascii="Times New Roman" w:eastAsia="Times New Roman" w:hAnsi="Times New Roman" w:cs="Times New Roman"/>
          <w:bCs/>
          <w:color w:val="000000" w:themeColor="text1"/>
          <w:sz w:val="24"/>
          <w:szCs w:val="24"/>
        </w:rPr>
      </w:pPr>
      <w:r w:rsidRPr="006621B1">
        <w:rPr>
          <w:rFonts w:ascii="Times New Roman" w:eastAsia="PMingLiU" w:hAnsi="Times New Roman" w:cs="Times New Roman"/>
          <w:bCs/>
          <w:color w:val="000000" w:themeColor="text1"/>
          <w:sz w:val="24"/>
          <w:szCs w:val="24"/>
        </w:rPr>
        <w:t xml:space="preserve">In </w:t>
      </w:r>
      <w:r w:rsidRPr="006621B1">
        <w:rPr>
          <w:rFonts w:ascii="Times New Roman" w:hAnsi="Times New Roman" w:cs="Times New Roman"/>
          <w:bCs/>
          <w:color w:val="000000" w:themeColor="text1"/>
          <w:sz w:val="24"/>
          <w:szCs w:val="24"/>
        </w:rPr>
        <w:t>20</w:t>
      </w:r>
      <w:r w:rsidRPr="006621B1">
        <w:rPr>
          <w:rFonts w:ascii="Times New Roman" w:eastAsia="PMingLiU" w:hAnsi="Times New Roman" w:cs="Times New Roman"/>
          <w:bCs/>
          <w:color w:val="000000" w:themeColor="text1"/>
          <w:sz w:val="24"/>
          <w:szCs w:val="24"/>
        </w:rPr>
        <w:t>17</w:t>
      </w:r>
      <w:r w:rsidRPr="006621B1">
        <w:rPr>
          <w:rFonts w:ascii="Times New Roman" w:eastAsia="Times New Roman" w:hAnsi="Times New Roman" w:cs="Times New Roman"/>
          <w:bCs/>
          <w:color w:val="000000" w:themeColor="text1"/>
          <w:sz w:val="24"/>
          <w:szCs w:val="24"/>
        </w:rPr>
        <w:t xml:space="preserve">, </w:t>
      </w:r>
      <w:r w:rsidRPr="006621B1">
        <w:rPr>
          <w:rFonts w:ascii="Times New Roman" w:hAnsi="Times New Roman" w:cs="Times New Roman"/>
          <w:bCs/>
          <w:color w:val="000000" w:themeColor="text1"/>
          <w:sz w:val="24"/>
          <w:szCs w:val="24"/>
        </w:rPr>
        <w:t>whites had</w:t>
      </w:r>
      <w:r w:rsidRPr="006621B1">
        <w:rPr>
          <w:rFonts w:ascii="Times New Roman" w:eastAsia="Times New Roman" w:hAnsi="Times New Roman" w:cs="Times New Roman"/>
          <w:bCs/>
          <w:color w:val="000000" w:themeColor="text1"/>
          <w:sz w:val="24"/>
          <w:szCs w:val="24"/>
        </w:rPr>
        <w:t xml:space="preserve"> higher </w:t>
      </w:r>
      <w:r w:rsidR="0069334B" w:rsidRPr="006621B1">
        <w:rPr>
          <w:rFonts w:ascii="Times New Roman" w:hAnsi="Times New Roman" w:cs="Times New Roman"/>
          <w:color w:val="000000" w:themeColor="text1"/>
          <w:sz w:val="24"/>
          <w:szCs w:val="24"/>
        </w:rPr>
        <w:t>tetanus vaccination</w:t>
      </w:r>
      <w:r w:rsidR="0069334B" w:rsidRPr="006621B1">
        <w:rPr>
          <w:rFonts w:ascii="Times New Roman" w:hAnsi="Times New Roman" w:cs="Times New Roman"/>
          <w:bCs/>
          <w:color w:val="000000" w:themeColor="text1"/>
          <w:sz w:val="24"/>
          <w:szCs w:val="24"/>
        </w:rPr>
        <w:t xml:space="preserve"> </w:t>
      </w:r>
      <w:r w:rsidRPr="006621B1">
        <w:rPr>
          <w:rFonts w:ascii="Times New Roman" w:eastAsia="Times New Roman" w:hAnsi="Times New Roman" w:cs="Times New Roman"/>
          <w:bCs/>
          <w:color w:val="000000" w:themeColor="text1"/>
          <w:sz w:val="24"/>
          <w:szCs w:val="24"/>
        </w:rPr>
        <w:t xml:space="preserve">coverage across all age groups compared with blacks, Hispanics, and Asians. Whites had higher </w:t>
      </w:r>
      <w:r w:rsidR="001C7D6B" w:rsidRPr="006621B1">
        <w:rPr>
          <w:rFonts w:ascii="Times New Roman" w:eastAsia="Times New Roman" w:hAnsi="Times New Roman" w:cs="Times New Roman"/>
          <w:bCs/>
          <w:color w:val="000000" w:themeColor="text1"/>
          <w:sz w:val="24"/>
          <w:szCs w:val="24"/>
        </w:rPr>
        <w:t>Tdap</w:t>
      </w:r>
      <w:r w:rsidRPr="006621B1">
        <w:rPr>
          <w:rFonts w:ascii="Times New Roman" w:eastAsia="Times New Roman" w:hAnsi="Times New Roman" w:cs="Times New Roman"/>
          <w:bCs/>
          <w:color w:val="000000" w:themeColor="text1"/>
          <w:sz w:val="24"/>
          <w:szCs w:val="24"/>
        </w:rPr>
        <w:t xml:space="preserve"> coverage across all age groups compared with blacks and Hispanics</w:t>
      </w:r>
      <w:r w:rsidR="0036021F" w:rsidRPr="006621B1">
        <w:rPr>
          <w:rFonts w:ascii="Times New Roman" w:eastAsia="Times New Roman" w:hAnsi="Times New Roman" w:cs="Times New Roman"/>
          <w:bCs/>
          <w:color w:val="000000" w:themeColor="text1"/>
          <w:sz w:val="24"/>
          <w:szCs w:val="24"/>
        </w:rPr>
        <w:t>,</w:t>
      </w:r>
      <w:r w:rsidRPr="006621B1">
        <w:rPr>
          <w:rFonts w:ascii="Times New Roman" w:eastAsia="Times New Roman" w:hAnsi="Times New Roman" w:cs="Times New Roman"/>
          <w:bCs/>
          <w:color w:val="000000" w:themeColor="text1"/>
          <w:sz w:val="24"/>
          <w:szCs w:val="24"/>
        </w:rPr>
        <w:t xml:space="preserve"> and higher coverage compare</w:t>
      </w:r>
      <w:r w:rsidR="00A90579" w:rsidRPr="006621B1">
        <w:rPr>
          <w:rFonts w:ascii="Times New Roman" w:eastAsia="Times New Roman" w:hAnsi="Times New Roman" w:cs="Times New Roman"/>
          <w:bCs/>
          <w:color w:val="000000" w:themeColor="text1"/>
          <w:sz w:val="24"/>
          <w:szCs w:val="24"/>
        </w:rPr>
        <w:t xml:space="preserve">d with Asians among </w:t>
      </w:r>
      <w:r w:rsidR="0036021F" w:rsidRPr="006621B1">
        <w:rPr>
          <w:rFonts w:ascii="Times New Roman" w:eastAsia="Times New Roman" w:hAnsi="Times New Roman" w:cs="Times New Roman"/>
          <w:bCs/>
          <w:color w:val="000000" w:themeColor="text1"/>
          <w:sz w:val="24"/>
          <w:szCs w:val="24"/>
        </w:rPr>
        <w:t>adults</w:t>
      </w:r>
      <w:r w:rsidR="00CC1493" w:rsidRPr="006621B1">
        <w:rPr>
          <w:rFonts w:ascii="Times New Roman" w:eastAsia="Times New Roman" w:hAnsi="Times New Roman" w:cs="Times New Roman"/>
          <w:bCs/>
          <w:color w:val="000000" w:themeColor="text1"/>
          <w:sz w:val="24"/>
          <w:szCs w:val="24"/>
        </w:rPr>
        <w:t xml:space="preserve"> ≥</w:t>
      </w:r>
      <w:r w:rsidR="00BD6C3C" w:rsidRPr="006621B1">
        <w:rPr>
          <w:rFonts w:ascii="Times New Roman" w:eastAsia="Times New Roman" w:hAnsi="Times New Roman" w:cs="Times New Roman"/>
          <w:bCs/>
          <w:color w:val="000000" w:themeColor="text1"/>
          <w:sz w:val="24"/>
          <w:szCs w:val="24"/>
        </w:rPr>
        <w:t xml:space="preserve">19 years and </w:t>
      </w:r>
      <w:r w:rsidR="00A90579" w:rsidRPr="006621B1">
        <w:rPr>
          <w:rFonts w:ascii="Times New Roman" w:eastAsia="Times New Roman" w:hAnsi="Times New Roman" w:cs="Times New Roman"/>
          <w:bCs/>
          <w:color w:val="000000" w:themeColor="text1"/>
          <w:sz w:val="24"/>
          <w:szCs w:val="24"/>
        </w:rPr>
        <w:t>19-64 years</w:t>
      </w:r>
      <w:r w:rsidRPr="006621B1">
        <w:rPr>
          <w:rFonts w:ascii="Times New Roman" w:eastAsia="Times New Roman" w:hAnsi="Times New Roman" w:cs="Times New Roman"/>
          <w:bCs/>
          <w:color w:val="000000" w:themeColor="text1"/>
          <w:sz w:val="24"/>
          <w:szCs w:val="24"/>
        </w:rPr>
        <w:t>.</w:t>
      </w:r>
    </w:p>
    <w:p w14:paraId="4AC8A2A2" w14:textId="77777777" w:rsidR="00A90579" w:rsidRPr="006621B1" w:rsidRDefault="00A90579" w:rsidP="005A6C5B">
      <w:pPr>
        <w:spacing w:after="0" w:line="240" w:lineRule="auto"/>
        <w:rPr>
          <w:rFonts w:ascii="Times New Roman" w:hAnsi="Times New Roman" w:cs="Times New Roman"/>
          <w:b/>
          <w:color w:val="000000" w:themeColor="text1"/>
          <w:sz w:val="24"/>
          <w:szCs w:val="24"/>
        </w:rPr>
      </w:pPr>
    </w:p>
    <w:p w14:paraId="6159C8C3" w14:textId="52C42B94" w:rsidR="005A6C5B" w:rsidRPr="006621B1" w:rsidRDefault="005A6C5B" w:rsidP="005A6C5B">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5. Estimated proportion of adults ≥60 years who received herpes zoster vaccination, by age group and race/ethnicity* — National Health Interview Survey, United States, 2017</w:t>
      </w:r>
    </w:p>
    <w:p w14:paraId="4C77CD56" w14:textId="77777777" w:rsidR="005A6C5B" w:rsidRPr="006621B1" w:rsidRDefault="005A6C5B" w:rsidP="005A6C5B">
      <w:pPr>
        <w:spacing w:after="0" w:line="240" w:lineRule="auto"/>
        <w:rPr>
          <w:rFonts w:ascii="Times New Roman" w:hAnsi="Times New Roman" w:cs="Times New Roman"/>
          <w:b/>
          <w:color w:val="000000" w:themeColor="text1"/>
          <w:sz w:val="24"/>
          <w:szCs w:val="24"/>
        </w:rPr>
      </w:pPr>
    </w:p>
    <w:p w14:paraId="18111DDC" w14:textId="55BD09AC" w:rsidR="005A6C5B" w:rsidRPr="006621B1" w:rsidRDefault="005A6C5B" w:rsidP="005A6C5B">
      <w:pPr>
        <w:rPr>
          <w:rFonts w:ascii="Times New Roman" w:eastAsia="Times New Roman" w:hAnsi="Times New Roman" w:cs="Times New Roman"/>
          <w:bCs/>
          <w:color w:val="000000" w:themeColor="text1"/>
          <w:sz w:val="24"/>
          <w:szCs w:val="24"/>
        </w:rPr>
      </w:pPr>
      <w:r w:rsidRPr="006621B1">
        <w:rPr>
          <w:rFonts w:ascii="Times New Roman" w:eastAsia="Times New Roman" w:hAnsi="Times New Roman" w:cs="Times New Roman"/>
          <w:bCs/>
          <w:color w:val="000000" w:themeColor="text1"/>
          <w:sz w:val="24"/>
          <w:szCs w:val="24"/>
        </w:rPr>
        <w:t xml:space="preserve">Among adults 60-64 years, 22.4% reported herpes zoster vaccination, similar to the estimate for 2016. Whites 60-64 years had higher herpes vaccination coverage (24.8%) compared with blacks (12.7%), and Hispanics (17.3%). Among adults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 xml:space="preserve">65 years, 40.2% reported herpes zoster vaccination, similar to the estimates for 2016. Whites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 xml:space="preserve">65 years had higher herpes zoster vaccination coverage (45.0%) compared with blacks (19.4%), Hispanics (21.4%), Asians (36.8%), and adults indicating other race/ethnicity (31.3%). </w:t>
      </w:r>
      <w:r w:rsidR="009538ED" w:rsidRPr="00EE212A">
        <w:rPr>
          <w:rFonts w:ascii="Times New Roman" w:eastAsia="Times New Roman" w:hAnsi="Times New Roman" w:cs="Times New Roman"/>
          <w:bCs/>
          <w:color w:val="000000" w:themeColor="text1"/>
          <w:sz w:val="24"/>
          <w:szCs w:val="24"/>
        </w:rPr>
        <w:t>Coverage was 45.0% among whites ≥65 years, a 3.3 percentage point increase from 2016.</w:t>
      </w:r>
      <w:r w:rsidR="003A5563" w:rsidRPr="00EE212A">
        <w:rPr>
          <w:rFonts w:ascii="Times New Roman" w:eastAsia="Times New Roman" w:hAnsi="Times New Roman" w:cs="Times New Roman"/>
          <w:bCs/>
          <w:color w:val="000000" w:themeColor="text1"/>
          <w:sz w:val="24"/>
          <w:szCs w:val="24"/>
        </w:rPr>
        <w:t xml:space="preserve"> Compared with 2016 estimates, coverage among Asians (</w:t>
      </w:r>
      <w:r w:rsidR="004E62DF" w:rsidRPr="00EE212A">
        <w:rPr>
          <w:rFonts w:ascii="Times New Roman" w:eastAsia="Times New Roman" w:hAnsi="Times New Roman" w:cs="Times New Roman"/>
          <w:bCs/>
          <w:color w:val="000000" w:themeColor="text1"/>
          <w:sz w:val="24"/>
          <w:szCs w:val="24"/>
        </w:rPr>
        <w:t>36</w:t>
      </w:r>
      <w:bookmarkStart w:id="0" w:name="_GoBack"/>
      <w:bookmarkEnd w:id="0"/>
      <w:r w:rsidR="004E62DF" w:rsidRPr="00EE212A">
        <w:rPr>
          <w:rFonts w:ascii="Times New Roman" w:eastAsia="Times New Roman" w:hAnsi="Times New Roman" w:cs="Times New Roman"/>
          <w:bCs/>
          <w:color w:val="000000" w:themeColor="text1"/>
          <w:sz w:val="24"/>
          <w:szCs w:val="24"/>
        </w:rPr>
        <w:t xml:space="preserve">.8%) increased 13.5 percentage points; coverage among adults indicating other race/ethnicity </w:t>
      </w:r>
      <w:r w:rsidR="0030312B" w:rsidRPr="00EE212A">
        <w:rPr>
          <w:rFonts w:ascii="Times New Roman" w:eastAsia="Times New Roman" w:hAnsi="Times New Roman" w:cs="Times New Roman"/>
          <w:bCs/>
          <w:color w:val="000000" w:themeColor="text1"/>
          <w:sz w:val="24"/>
          <w:szCs w:val="24"/>
        </w:rPr>
        <w:t xml:space="preserve">(31.3%) </w:t>
      </w:r>
      <w:r w:rsidR="004E62DF" w:rsidRPr="00EE212A">
        <w:rPr>
          <w:rFonts w:ascii="Times New Roman" w:eastAsia="Times New Roman" w:hAnsi="Times New Roman" w:cs="Times New Roman"/>
          <w:bCs/>
          <w:color w:val="000000" w:themeColor="text1"/>
          <w:sz w:val="24"/>
          <w:szCs w:val="24"/>
        </w:rPr>
        <w:t>decreased 6.6 percentage points.</w:t>
      </w:r>
      <w:r w:rsidR="0051025E" w:rsidRPr="006621B1">
        <w:rPr>
          <w:rFonts w:ascii="Times New Roman" w:eastAsia="Times New Roman" w:hAnsi="Times New Roman" w:cs="Times New Roman"/>
          <w:b/>
          <w:bCs/>
          <w:color w:val="000000" w:themeColor="text1"/>
          <w:sz w:val="24"/>
          <w:szCs w:val="24"/>
        </w:rPr>
        <w:t xml:space="preserve"> </w:t>
      </w:r>
      <w:r w:rsidRPr="006621B1">
        <w:rPr>
          <w:rFonts w:ascii="Times New Roman" w:eastAsia="Times New Roman" w:hAnsi="Times New Roman" w:cs="Times New Roman"/>
          <w:bCs/>
          <w:color w:val="000000" w:themeColor="text1"/>
          <w:sz w:val="24"/>
          <w:szCs w:val="24"/>
        </w:rPr>
        <w:t xml:space="preserve">The difference in vaccination coverage between whites and other racial/ethnic groups in 2017 increased only for respondents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 xml:space="preserve">65 years indicating other race/ethnicity and decreased only for Asians </w:t>
      </w:r>
      <w:r w:rsidRPr="006621B1">
        <w:rPr>
          <w:rFonts w:ascii="Times New Roman" w:eastAsia="Times New Roman" w:hAnsi="Times New Roman" w:cs="Times New Roman"/>
          <w:bCs/>
          <w:color w:val="000000" w:themeColor="text1"/>
          <w:sz w:val="24"/>
          <w:szCs w:val="24"/>
          <w:u w:val="single"/>
        </w:rPr>
        <w:t>&gt;</w:t>
      </w:r>
      <w:r w:rsidRPr="006621B1">
        <w:rPr>
          <w:rFonts w:ascii="Times New Roman" w:eastAsia="Times New Roman" w:hAnsi="Times New Roman" w:cs="Times New Roman"/>
          <w:bCs/>
          <w:color w:val="000000" w:themeColor="text1"/>
          <w:sz w:val="24"/>
          <w:szCs w:val="24"/>
        </w:rPr>
        <w:t>65 years compared with differences measured in 2016.</w:t>
      </w:r>
    </w:p>
    <w:p w14:paraId="395212B1" w14:textId="61430742" w:rsidR="005A6C5B" w:rsidRPr="006621B1" w:rsidRDefault="005A6C5B" w:rsidP="005A6C5B">
      <w:pPr>
        <w:spacing w:after="0"/>
        <w:rPr>
          <w:rFonts w:ascii="Times New Roman" w:eastAsia="Times New Roman" w:hAnsi="Times New Roman" w:cs="Times New Roman"/>
          <w:bCs/>
          <w:color w:val="000000" w:themeColor="text1"/>
          <w:sz w:val="24"/>
          <w:szCs w:val="24"/>
        </w:rPr>
      </w:pPr>
    </w:p>
    <w:p w14:paraId="54A309A6" w14:textId="59D4304B" w:rsidR="005A6C5B" w:rsidRPr="006621B1" w:rsidRDefault="005A6C5B" w:rsidP="005A6C5B">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6. Estimated proportion of adults aged ≥19 years who received selected vaccinations, by age group, increased-risk status,* and health insurance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 National Health Interview Survey, United States, 2017</w:t>
      </w:r>
    </w:p>
    <w:p w14:paraId="0DB602AB" w14:textId="77777777" w:rsidR="005A6C5B" w:rsidRPr="006621B1" w:rsidRDefault="005A6C5B" w:rsidP="005A6C5B">
      <w:pPr>
        <w:spacing w:after="0" w:line="240" w:lineRule="auto"/>
        <w:rPr>
          <w:rFonts w:ascii="Times New Roman" w:hAnsi="Times New Roman" w:cs="Times New Roman"/>
          <w:b/>
          <w:color w:val="000000" w:themeColor="text1"/>
          <w:sz w:val="24"/>
          <w:szCs w:val="24"/>
        </w:rPr>
      </w:pPr>
    </w:p>
    <w:p w14:paraId="1C2C93F1" w14:textId="77777777" w:rsidR="0006409A" w:rsidRPr="006621B1" w:rsidRDefault="0006409A" w:rsidP="0006409A">
      <w:pPr>
        <w:spacing w:after="0"/>
        <w:rPr>
          <w:rFonts w:ascii="Times New Roman" w:eastAsia="Times New Roman" w:hAnsi="Times New Roman" w:cs="Times New Roman"/>
          <w:bCs/>
          <w:color w:val="000000" w:themeColor="text1"/>
          <w:sz w:val="24"/>
          <w:szCs w:val="24"/>
        </w:rPr>
      </w:pPr>
      <w:r w:rsidRPr="006621B1">
        <w:rPr>
          <w:rFonts w:ascii="Times New Roman" w:eastAsia="Times New Roman" w:hAnsi="Times New Roman" w:cs="Times New Roman"/>
          <w:bCs/>
          <w:color w:val="000000" w:themeColor="text1"/>
          <w:sz w:val="24"/>
          <w:szCs w:val="24"/>
        </w:rPr>
        <w:t>Vaccination coverage was lower among adults without health insurance compared with those with health insurance for influenza vaccination (aged ≥19 years, 19-49 years, and 50-64 years); pneumococcal vaccination (aged 19-64 at increased risk); tetanus vaccination (aged ≥19 years, 19-49 years, and 50-64 years); tetanus vaccination including pertussis vaccine</w:t>
      </w:r>
      <w:r w:rsidRPr="006621B1" w:rsidDel="003E7EBE">
        <w:rPr>
          <w:rFonts w:ascii="Times New Roman" w:eastAsia="Times New Roman" w:hAnsi="Times New Roman" w:cs="Times New Roman"/>
          <w:bCs/>
          <w:color w:val="000000" w:themeColor="text1"/>
          <w:sz w:val="24"/>
          <w:szCs w:val="24"/>
        </w:rPr>
        <w:t xml:space="preserve"> </w:t>
      </w:r>
      <w:r w:rsidRPr="006621B1">
        <w:rPr>
          <w:rFonts w:ascii="Times New Roman" w:eastAsia="Times New Roman" w:hAnsi="Times New Roman" w:cs="Times New Roman"/>
          <w:bCs/>
          <w:color w:val="000000" w:themeColor="text1"/>
          <w:sz w:val="24"/>
          <w:szCs w:val="24"/>
        </w:rPr>
        <w:t xml:space="preserve">(aged ≥19 years, and 19-64 years); hepatitis A vaccination (aged ≥19 years overall and among travelers); hepatitis B vaccination (aged ≥19 years, 19-49 years, and ≥19 years among travelers); and human papillomavirus (HPV) vaccination among females (aged 19-26 years). The difference in coverage between those with health insurance compared with those without health insurance ranged from 4.1 percentage points for hepatitis </w:t>
      </w:r>
      <w:r w:rsidRPr="006621B1">
        <w:rPr>
          <w:rFonts w:ascii="Times New Roman" w:eastAsia="Times New Roman" w:hAnsi="Times New Roman" w:cs="Times New Roman"/>
          <w:bCs/>
          <w:color w:val="000000" w:themeColor="text1"/>
          <w:sz w:val="24"/>
          <w:szCs w:val="24"/>
        </w:rPr>
        <w:lastRenderedPageBreak/>
        <w:t>A among adults aged ≥19 years to 29.4 percentage points for influenza vaccination among those aged ≥19 years.</w:t>
      </w:r>
    </w:p>
    <w:p w14:paraId="75343DCB" w14:textId="77777777" w:rsidR="0006409A" w:rsidRPr="006621B1" w:rsidRDefault="0006409A" w:rsidP="0006409A">
      <w:pPr>
        <w:spacing w:after="0"/>
        <w:rPr>
          <w:rFonts w:ascii="Times New Roman" w:eastAsia="Times New Roman" w:hAnsi="Times New Roman" w:cs="Times New Roman"/>
          <w:bCs/>
          <w:color w:val="000000" w:themeColor="text1"/>
          <w:sz w:val="24"/>
          <w:szCs w:val="24"/>
        </w:rPr>
      </w:pPr>
    </w:p>
    <w:p w14:paraId="70338C41" w14:textId="6CD3C5DC" w:rsidR="0006409A" w:rsidRPr="006621B1" w:rsidRDefault="0006409A" w:rsidP="0006409A">
      <w:pPr>
        <w:spacing w:after="0"/>
        <w:rPr>
          <w:rFonts w:ascii="Times New Roman" w:eastAsia="Times New Roman" w:hAnsi="Times New Roman" w:cs="Times New Roman"/>
          <w:bCs/>
          <w:color w:val="000000" w:themeColor="text1"/>
          <w:sz w:val="24"/>
          <w:szCs w:val="24"/>
        </w:rPr>
      </w:pPr>
      <w:r w:rsidRPr="006621B1">
        <w:rPr>
          <w:rFonts w:ascii="Times New Roman" w:eastAsia="Times New Roman" w:hAnsi="Times New Roman" w:cs="Times New Roman"/>
          <w:bCs/>
          <w:color w:val="000000" w:themeColor="text1"/>
          <w:sz w:val="24"/>
          <w:szCs w:val="24"/>
        </w:rPr>
        <w:t xml:space="preserve">Vaccination coverage was higher among adults with private health insurance compared with those with public health insurance for pneumococcal vaccination among adults aged ≥65 years; tetanus vaccination (all ages); tetanus vaccination including pertussis vaccine (all ages); overall hepatitis A vaccination among adults aged ≥19 years (overall and travelers); hepatitis B vaccination among adults aged ≥19 years (overall, travelers, and those with diabetes),  and aged 19-49 years, and aged ≥60 years with diabetes; herpes zoster vaccination (all ages); and HPV vaccination among females aged 19-26 years. Vaccination coverage was lower among adults with private insurance compared with those with public insurance for influenza vaccination among adults aged ≥19 years </w:t>
      </w:r>
      <w:r w:rsidR="001005C1" w:rsidRPr="006621B1">
        <w:rPr>
          <w:rFonts w:ascii="Times New Roman" w:eastAsia="Times New Roman" w:hAnsi="Times New Roman" w:cs="Times New Roman"/>
          <w:bCs/>
          <w:color w:val="000000" w:themeColor="text1"/>
          <w:sz w:val="24"/>
          <w:szCs w:val="24"/>
        </w:rPr>
        <w:t>(46.7% v</w:t>
      </w:r>
      <w:r w:rsidR="00713255" w:rsidRPr="006621B1">
        <w:rPr>
          <w:rFonts w:ascii="Times New Roman" w:eastAsia="Times New Roman" w:hAnsi="Times New Roman" w:cs="Times New Roman"/>
          <w:bCs/>
          <w:color w:val="000000" w:themeColor="text1"/>
          <w:sz w:val="24"/>
          <w:szCs w:val="24"/>
        </w:rPr>
        <w:t>er</w:t>
      </w:r>
      <w:r w:rsidR="001005C1" w:rsidRPr="006621B1">
        <w:rPr>
          <w:rFonts w:ascii="Times New Roman" w:eastAsia="Times New Roman" w:hAnsi="Times New Roman" w:cs="Times New Roman"/>
          <w:bCs/>
          <w:color w:val="000000" w:themeColor="text1"/>
          <w:sz w:val="24"/>
          <w:szCs w:val="24"/>
        </w:rPr>
        <w:t>s</w:t>
      </w:r>
      <w:r w:rsidR="00713255" w:rsidRPr="006621B1">
        <w:rPr>
          <w:rFonts w:ascii="Times New Roman" w:eastAsia="Times New Roman" w:hAnsi="Times New Roman" w:cs="Times New Roman"/>
          <w:bCs/>
          <w:color w:val="000000" w:themeColor="text1"/>
          <w:sz w:val="24"/>
          <w:szCs w:val="24"/>
        </w:rPr>
        <w:t>us</w:t>
      </w:r>
      <w:r w:rsidR="001005C1" w:rsidRPr="006621B1">
        <w:rPr>
          <w:rFonts w:ascii="Times New Roman" w:eastAsia="Times New Roman" w:hAnsi="Times New Roman" w:cs="Times New Roman"/>
          <w:bCs/>
          <w:color w:val="000000" w:themeColor="text1"/>
          <w:sz w:val="24"/>
          <w:szCs w:val="24"/>
        </w:rPr>
        <w:t xml:space="preserve"> 52.7%</w:t>
      </w:r>
      <w:r w:rsidR="00713255" w:rsidRPr="006621B1">
        <w:rPr>
          <w:rFonts w:ascii="Times New Roman" w:eastAsia="Times New Roman" w:hAnsi="Times New Roman" w:cs="Times New Roman"/>
          <w:bCs/>
          <w:color w:val="000000" w:themeColor="text1"/>
          <w:sz w:val="24"/>
          <w:szCs w:val="24"/>
        </w:rPr>
        <w:t>, respectively</w:t>
      </w:r>
      <w:r w:rsidR="001005C1" w:rsidRPr="006621B1">
        <w:rPr>
          <w:rFonts w:ascii="Times New Roman" w:eastAsia="Times New Roman" w:hAnsi="Times New Roman" w:cs="Times New Roman"/>
          <w:bCs/>
          <w:color w:val="000000" w:themeColor="text1"/>
          <w:sz w:val="24"/>
          <w:szCs w:val="24"/>
        </w:rPr>
        <w:t xml:space="preserve">) </w:t>
      </w:r>
      <w:r w:rsidRPr="006621B1">
        <w:rPr>
          <w:rFonts w:ascii="Times New Roman" w:eastAsia="Times New Roman" w:hAnsi="Times New Roman" w:cs="Times New Roman"/>
          <w:bCs/>
          <w:color w:val="000000" w:themeColor="text1"/>
          <w:sz w:val="24"/>
          <w:szCs w:val="24"/>
        </w:rPr>
        <w:t>and pneumococcal vaccination among adults aged 19-64 years at increased risk</w:t>
      </w:r>
      <w:r w:rsidR="001005C1" w:rsidRPr="006621B1">
        <w:rPr>
          <w:rFonts w:ascii="Times New Roman" w:eastAsia="Times New Roman" w:hAnsi="Times New Roman" w:cs="Times New Roman"/>
          <w:bCs/>
          <w:color w:val="000000" w:themeColor="text1"/>
          <w:sz w:val="24"/>
          <w:szCs w:val="24"/>
        </w:rPr>
        <w:t xml:space="preserve"> (22.6% v</w:t>
      </w:r>
      <w:r w:rsidR="00713255" w:rsidRPr="006621B1">
        <w:rPr>
          <w:rFonts w:ascii="Times New Roman" w:eastAsia="Times New Roman" w:hAnsi="Times New Roman" w:cs="Times New Roman"/>
          <w:bCs/>
          <w:color w:val="000000" w:themeColor="text1"/>
          <w:sz w:val="24"/>
          <w:szCs w:val="24"/>
        </w:rPr>
        <w:t>er</w:t>
      </w:r>
      <w:r w:rsidR="001005C1" w:rsidRPr="006621B1">
        <w:rPr>
          <w:rFonts w:ascii="Times New Roman" w:eastAsia="Times New Roman" w:hAnsi="Times New Roman" w:cs="Times New Roman"/>
          <w:bCs/>
          <w:color w:val="000000" w:themeColor="text1"/>
          <w:sz w:val="24"/>
          <w:szCs w:val="24"/>
        </w:rPr>
        <w:t>s</w:t>
      </w:r>
      <w:r w:rsidR="00713255" w:rsidRPr="006621B1">
        <w:rPr>
          <w:rFonts w:ascii="Times New Roman" w:eastAsia="Times New Roman" w:hAnsi="Times New Roman" w:cs="Times New Roman"/>
          <w:bCs/>
          <w:color w:val="000000" w:themeColor="text1"/>
          <w:sz w:val="24"/>
          <w:szCs w:val="24"/>
        </w:rPr>
        <w:t>us</w:t>
      </w:r>
      <w:r w:rsidR="001005C1" w:rsidRPr="006621B1">
        <w:rPr>
          <w:rFonts w:ascii="Times New Roman" w:eastAsia="Times New Roman" w:hAnsi="Times New Roman" w:cs="Times New Roman"/>
          <w:bCs/>
          <w:color w:val="000000" w:themeColor="text1"/>
          <w:sz w:val="24"/>
          <w:szCs w:val="24"/>
        </w:rPr>
        <w:t xml:space="preserve"> 33.1%</w:t>
      </w:r>
      <w:r w:rsidR="00713255" w:rsidRPr="006621B1">
        <w:rPr>
          <w:rFonts w:ascii="Times New Roman" w:eastAsia="Times New Roman" w:hAnsi="Times New Roman" w:cs="Times New Roman"/>
          <w:bCs/>
          <w:color w:val="000000" w:themeColor="text1"/>
          <w:sz w:val="24"/>
          <w:szCs w:val="24"/>
        </w:rPr>
        <w:t>, respectively</w:t>
      </w:r>
      <w:r w:rsidR="001005C1" w:rsidRPr="006621B1">
        <w:rPr>
          <w:rFonts w:ascii="Times New Roman" w:eastAsia="Times New Roman" w:hAnsi="Times New Roman" w:cs="Times New Roman"/>
          <w:bCs/>
          <w:color w:val="000000" w:themeColor="text1"/>
          <w:sz w:val="24"/>
          <w:szCs w:val="24"/>
        </w:rPr>
        <w:t>)</w:t>
      </w:r>
      <w:r w:rsidRPr="006621B1">
        <w:rPr>
          <w:rFonts w:ascii="Times New Roman" w:eastAsia="Times New Roman" w:hAnsi="Times New Roman" w:cs="Times New Roman"/>
          <w:bCs/>
          <w:color w:val="000000" w:themeColor="text1"/>
          <w:sz w:val="24"/>
          <w:szCs w:val="24"/>
        </w:rPr>
        <w:t xml:space="preserve">. </w:t>
      </w:r>
    </w:p>
    <w:p w14:paraId="04988F08" w14:textId="77777777" w:rsidR="0006409A" w:rsidRPr="006621B1" w:rsidRDefault="0006409A" w:rsidP="0006409A">
      <w:pPr>
        <w:spacing w:after="0"/>
        <w:rPr>
          <w:rFonts w:ascii="Times New Roman" w:eastAsia="Times New Roman" w:hAnsi="Times New Roman" w:cs="Times New Roman"/>
          <w:bCs/>
          <w:color w:val="000000" w:themeColor="text1"/>
          <w:sz w:val="24"/>
          <w:szCs w:val="24"/>
        </w:rPr>
      </w:pPr>
    </w:p>
    <w:p w14:paraId="1A911A0A" w14:textId="7AEE8AD7" w:rsidR="005A6C5B" w:rsidRPr="006621B1" w:rsidRDefault="0006409A" w:rsidP="0006409A">
      <w:pPr>
        <w:rPr>
          <w:rFonts w:ascii="Times New Roman" w:eastAsia="Times New Roman" w:hAnsi="Times New Roman" w:cs="Times New Roman"/>
          <w:bCs/>
          <w:color w:val="000000" w:themeColor="text1"/>
          <w:sz w:val="24"/>
          <w:szCs w:val="24"/>
        </w:rPr>
      </w:pPr>
      <w:r w:rsidRPr="006621B1">
        <w:rPr>
          <w:rFonts w:ascii="Times New Roman" w:eastAsia="Times New Roman" w:hAnsi="Times New Roman" w:cs="Times New Roman"/>
          <w:bCs/>
          <w:color w:val="000000" w:themeColor="text1"/>
          <w:sz w:val="24"/>
          <w:szCs w:val="24"/>
        </w:rPr>
        <w:t>Influenza vaccination coverage was lower among adults aged 19-49 years across insurance status categories compared with adults aged 50-64 years and ≥65 years. Pneumococcal vaccination coverage was lower among adults with health insurance aged 19-64 years at increased risk compared with adults with health insurance aged ≥65 years. Compared with adults with health insurance aged 19-49 years, tetanus vaccination coverage was lower among adults with health insurance aged ≥65 years. Tetanus vaccination including pertussis vaccine coverage was lower among adults with health insurance aged ≥65 years compared with adults with health insurance aged 19-64 years. Hepatitis B vaccination coverage among adults with diabetes aged ≥60 years with health insurance was lower compared with coverage among adults with health insurance aged 19-59 years with diabetes. Herpes zoster coverage among adults with health insurance aged ≥65 years was higher compared with coverage among adults with health insurance aged 60-64 years.</w:t>
      </w:r>
    </w:p>
    <w:p w14:paraId="2C51543D" w14:textId="13B87AA2" w:rsidR="0006409A" w:rsidRPr="006621B1" w:rsidRDefault="0006409A" w:rsidP="0006409A">
      <w:pPr>
        <w:rPr>
          <w:rFonts w:ascii="Times New Roman" w:eastAsia="Times New Roman" w:hAnsi="Times New Roman" w:cs="Times New Roman"/>
          <w:bCs/>
          <w:color w:val="000000" w:themeColor="text1"/>
          <w:sz w:val="24"/>
          <w:szCs w:val="24"/>
        </w:rPr>
      </w:pPr>
    </w:p>
    <w:p w14:paraId="2C9B64FD" w14:textId="6CCEA39D" w:rsidR="0006409A" w:rsidRPr="006621B1" w:rsidRDefault="0006409A" w:rsidP="0006409A">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7. Estimated proportion of adults aged ≥19 years who received selected vaccinations, by age group, increased-risk status,* health insurance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and having a usual place for health care — National Health Interview Survey, United States, 2017</w:t>
      </w:r>
    </w:p>
    <w:p w14:paraId="607E175F" w14:textId="77777777" w:rsidR="0006409A" w:rsidRPr="006621B1" w:rsidRDefault="0006409A" w:rsidP="0006409A">
      <w:pPr>
        <w:spacing w:after="0" w:line="240" w:lineRule="auto"/>
        <w:rPr>
          <w:rFonts w:ascii="Times New Roman" w:hAnsi="Times New Roman" w:cs="Times New Roman"/>
          <w:b/>
          <w:color w:val="000000" w:themeColor="text1"/>
          <w:sz w:val="24"/>
          <w:szCs w:val="24"/>
        </w:rPr>
      </w:pPr>
    </w:p>
    <w:p w14:paraId="36B5C90C" w14:textId="77777777" w:rsidR="0006409A" w:rsidRPr="006621B1" w:rsidRDefault="0006409A" w:rsidP="0006409A">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 xml:space="preserve">Generally, adults with a usual place for health care were more likely to report having received recommended vaccinations than those who did not have a usual place for health care, regardless of whether they had health insurance. Among adults with health insurance, coverage was higher among those who reported having a usual place for health care compared with those who did not have a usual place for health care for influenza vaccination (all ages); pneumococcal vaccination (all ages); tetanus vaccination and tetanus vaccination including pertussis vaccine (all ages); herpes zoster vaccination (aged ≥60 years and ≥65 years); and HPV vaccination (males aged 19-26 years). Among adults with health insurance, vaccination coverage was higher among those without a usual place of care compared with those with a usual place of care for hepatitis A (aged ≥19 years), and hepatitis B vaccination (aged ≥19 years overall and among travelers). Among adults without health insurance, coverage was higher among adults who had a usual place for health care compared with those who did not for influenza </w:t>
      </w:r>
      <w:r w:rsidRPr="006621B1">
        <w:rPr>
          <w:rFonts w:ascii="Times New Roman" w:hAnsi="Times New Roman" w:cs="Times New Roman"/>
          <w:color w:val="000000" w:themeColor="text1"/>
          <w:sz w:val="24"/>
          <w:szCs w:val="24"/>
        </w:rPr>
        <w:lastRenderedPageBreak/>
        <w:t xml:space="preserve">vaccination among adults aged ≥19 years; pneumococcal vaccination among adults aged 19–64 years at increased risk; tetanus vaccination among adults aged ≥19 years, 19-49 years, and 50-64 years; tetanus vaccination including pertussis vaccine among adults aged ≥19 years and 19-64 years; and hepatitis B vaccination among adults aged 19-49 years. </w:t>
      </w:r>
    </w:p>
    <w:p w14:paraId="4609AEB0" w14:textId="2FF73FA3" w:rsidR="0006409A" w:rsidRPr="006621B1" w:rsidRDefault="0006409A" w:rsidP="0006409A">
      <w:pPr>
        <w:rPr>
          <w:rFonts w:ascii="Times New Roman" w:eastAsia="Times New Roman" w:hAnsi="Times New Roman" w:cs="Times New Roman"/>
          <w:bCs/>
          <w:color w:val="000000" w:themeColor="text1"/>
          <w:sz w:val="24"/>
          <w:szCs w:val="24"/>
        </w:rPr>
      </w:pPr>
      <w:r w:rsidRPr="006621B1">
        <w:rPr>
          <w:rFonts w:ascii="Times New Roman" w:hAnsi="Times New Roman" w:cs="Times New Roman"/>
          <w:color w:val="000000" w:themeColor="text1"/>
          <w:sz w:val="24"/>
          <w:szCs w:val="24"/>
        </w:rPr>
        <w:t>Among adults with health insurance and a usual place for healthcare, influenza vaccination coverage was lower among adults aged 19-49 years</w:t>
      </w:r>
      <w:r w:rsidR="00D34465" w:rsidRPr="006621B1">
        <w:rPr>
          <w:rFonts w:ascii="Times New Roman" w:hAnsi="Times New Roman" w:cs="Times New Roman"/>
          <w:color w:val="000000" w:themeColor="text1"/>
          <w:sz w:val="24"/>
          <w:szCs w:val="24"/>
        </w:rPr>
        <w:t xml:space="preserve"> (39.6%)</w:t>
      </w:r>
      <w:r w:rsidRPr="006621B1">
        <w:rPr>
          <w:rFonts w:ascii="Times New Roman" w:hAnsi="Times New Roman" w:cs="Times New Roman"/>
          <w:color w:val="000000" w:themeColor="text1"/>
          <w:sz w:val="24"/>
          <w:szCs w:val="24"/>
        </w:rPr>
        <w:t xml:space="preserve"> compared with adults aged 50-64 years</w:t>
      </w:r>
      <w:r w:rsidR="00D34465" w:rsidRPr="006621B1">
        <w:rPr>
          <w:rFonts w:ascii="Times New Roman" w:hAnsi="Times New Roman" w:cs="Times New Roman"/>
          <w:color w:val="000000" w:themeColor="text1"/>
          <w:sz w:val="24"/>
          <w:szCs w:val="24"/>
        </w:rPr>
        <w:t xml:space="preserve"> (51.2%)</w:t>
      </w:r>
      <w:r w:rsidRPr="006621B1">
        <w:rPr>
          <w:rFonts w:ascii="Times New Roman" w:hAnsi="Times New Roman" w:cs="Times New Roman"/>
          <w:color w:val="000000" w:themeColor="text1"/>
          <w:sz w:val="24"/>
          <w:szCs w:val="24"/>
        </w:rPr>
        <w:t xml:space="preserve"> and ≥65 years</w:t>
      </w:r>
      <w:r w:rsidR="00D34465" w:rsidRPr="006621B1">
        <w:rPr>
          <w:rFonts w:ascii="Times New Roman" w:hAnsi="Times New Roman" w:cs="Times New Roman"/>
          <w:color w:val="000000" w:themeColor="text1"/>
          <w:sz w:val="24"/>
          <w:szCs w:val="24"/>
        </w:rPr>
        <w:t xml:space="preserve"> (72.8%)</w:t>
      </w:r>
      <w:r w:rsidRPr="006621B1">
        <w:rPr>
          <w:rFonts w:ascii="Times New Roman" w:hAnsi="Times New Roman" w:cs="Times New Roman"/>
          <w:color w:val="000000" w:themeColor="text1"/>
          <w:sz w:val="24"/>
          <w:szCs w:val="24"/>
        </w:rPr>
        <w:t>, and pneumococcal vaccination coverage was lower among adults aged 19-64 years</w:t>
      </w:r>
      <w:r w:rsidR="00D34465" w:rsidRPr="006621B1">
        <w:rPr>
          <w:rFonts w:ascii="Times New Roman" w:hAnsi="Times New Roman" w:cs="Times New Roman"/>
          <w:color w:val="000000" w:themeColor="text1"/>
          <w:sz w:val="24"/>
          <w:szCs w:val="24"/>
        </w:rPr>
        <w:t xml:space="preserve"> (27.2%)</w:t>
      </w:r>
      <w:r w:rsidRPr="006621B1">
        <w:rPr>
          <w:rFonts w:ascii="Times New Roman" w:hAnsi="Times New Roman" w:cs="Times New Roman"/>
          <w:color w:val="000000" w:themeColor="text1"/>
          <w:sz w:val="24"/>
          <w:szCs w:val="24"/>
        </w:rPr>
        <w:t xml:space="preserve"> at increased risk compared with adults aged ≥65 years</w:t>
      </w:r>
      <w:r w:rsidR="00D34465" w:rsidRPr="006621B1">
        <w:rPr>
          <w:rFonts w:ascii="Times New Roman" w:hAnsi="Times New Roman" w:cs="Times New Roman"/>
          <w:color w:val="000000" w:themeColor="text1"/>
          <w:sz w:val="24"/>
          <w:szCs w:val="24"/>
        </w:rPr>
        <w:t xml:space="preserve"> (70.3%)</w:t>
      </w:r>
      <w:r w:rsidRPr="006621B1">
        <w:rPr>
          <w:rFonts w:ascii="Times New Roman" w:hAnsi="Times New Roman" w:cs="Times New Roman"/>
          <w:color w:val="000000" w:themeColor="text1"/>
          <w:sz w:val="24"/>
          <w:szCs w:val="24"/>
        </w:rPr>
        <w:t>. Compared with adults aged 19-49 years</w:t>
      </w:r>
      <w:r w:rsidR="004B69F5" w:rsidRPr="006621B1">
        <w:rPr>
          <w:rFonts w:ascii="Times New Roman" w:hAnsi="Times New Roman" w:cs="Times New Roman"/>
          <w:color w:val="000000" w:themeColor="text1"/>
          <w:sz w:val="24"/>
          <w:szCs w:val="24"/>
        </w:rPr>
        <w:t xml:space="preserve"> (67.1%)</w:t>
      </w:r>
      <w:r w:rsidRPr="006621B1">
        <w:rPr>
          <w:rFonts w:ascii="Times New Roman" w:hAnsi="Times New Roman" w:cs="Times New Roman"/>
          <w:color w:val="000000" w:themeColor="text1"/>
          <w:sz w:val="24"/>
          <w:szCs w:val="24"/>
        </w:rPr>
        <w:t>, tetanus vaccination coverage was lower among adults aged ≥65 years</w:t>
      </w:r>
      <w:r w:rsidR="004B69F5" w:rsidRPr="006621B1">
        <w:rPr>
          <w:rFonts w:ascii="Times New Roman" w:hAnsi="Times New Roman" w:cs="Times New Roman"/>
          <w:color w:val="000000" w:themeColor="text1"/>
          <w:sz w:val="24"/>
          <w:szCs w:val="24"/>
        </w:rPr>
        <w:t xml:space="preserve"> (61.4%)</w:t>
      </w:r>
      <w:r w:rsidRPr="006621B1">
        <w:rPr>
          <w:rFonts w:ascii="Times New Roman" w:hAnsi="Times New Roman" w:cs="Times New Roman"/>
          <w:color w:val="000000" w:themeColor="text1"/>
          <w:sz w:val="24"/>
          <w:szCs w:val="24"/>
        </w:rPr>
        <w:t xml:space="preserve">, while tetanus vaccination including pertussis vaccine coverage was lower among adults aged ≥65 years </w:t>
      </w:r>
      <w:r w:rsidR="004B69F5" w:rsidRPr="006621B1">
        <w:rPr>
          <w:rFonts w:ascii="Times New Roman" w:hAnsi="Times New Roman" w:cs="Times New Roman"/>
          <w:color w:val="000000" w:themeColor="text1"/>
          <w:sz w:val="24"/>
          <w:szCs w:val="24"/>
        </w:rPr>
        <w:t xml:space="preserve">(24.9%) </w:t>
      </w:r>
      <w:r w:rsidRPr="006621B1">
        <w:rPr>
          <w:rFonts w:ascii="Times New Roman" w:hAnsi="Times New Roman" w:cs="Times New Roman"/>
          <w:color w:val="000000" w:themeColor="text1"/>
          <w:sz w:val="24"/>
          <w:szCs w:val="24"/>
        </w:rPr>
        <w:t>compared with adults aged 19-64 years</w:t>
      </w:r>
      <w:r w:rsidR="004B69F5" w:rsidRPr="006621B1">
        <w:rPr>
          <w:rFonts w:ascii="Times New Roman" w:hAnsi="Times New Roman" w:cs="Times New Roman"/>
          <w:color w:val="000000" w:themeColor="text1"/>
          <w:sz w:val="24"/>
          <w:szCs w:val="24"/>
        </w:rPr>
        <w:t xml:space="preserve"> (37.1%)</w:t>
      </w:r>
      <w:r w:rsidRPr="006621B1">
        <w:rPr>
          <w:rFonts w:ascii="Times New Roman" w:hAnsi="Times New Roman" w:cs="Times New Roman"/>
          <w:color w:val="000000" w:themeColor="text1"/>
          <w:sz w:val="24"/>
          <w:szCs w:val="24"/>
        </w:rPr>
        <w:t>. Hepatitis B vaccination coverage among adults with diabetes aged ≥60 years</w:t>
      </w:r>
      <w:r w:rsidR="004B69F5" w:rsidRPr="006621B1">
        <w:rPr>
          <w:rFonts w:ascii="Times New Roman" w:hAnsi="Times New Roman" w:cs="Times New Roman"/>
          <w:color w:val="000000" w:themeColor="text1"/>
          <w:sz w:val="24"/>
          <w:szCs w:val="24"/>
        </w:rPr>
        <w:t xml:space="preserve"> (12.9%)</w:t>
      </w:r>
      <w:r w:rsidRPr="006621B1">
        <w:rPr>
          <w:rFonts w:ascii="Times New Roman" w:hAnsi="Times New Roman" w:cs="Times New Roman"/>
          <w:color w:val="000000" w:themeColor="text1"/>
          <w:sz w:val="24"/>
          <w:szCs w:val="24"/>
        </w:rPr>
        <w:t xml:space="preserve"> was lower compared with coverage among adults aged 19-59 years with diabetes</w:t>
      </w:r>
      <w:r w:rsidR="004B69F5" w:rsidRPr="006621B1">
        <w:rPr>
          <w:rFonts w:ascii="Times New Roman" w:hAnsi="Times New Roman" w:cs="Times New Roman"/>
          <w:color w:val="000000" w:themeColor="text1"/>
          <w:sz w:val="24"/>
          <w:szCs w:val="24"/>
        </w:rPr>
        <w:t xml:space="preserve"> (25.7%)</w:t>
      </w:r>
      <w:r w:rsidRPr="006621B1">
        <w:rPr>
          <w:rFonts w:ascii="Times New Roman" w:hAnsi="Times New Roman" w:cs="Times New Roman"/>
          <w:color w:val="000000" w:themeColor="text1"/>
          <w:sz w:val="24"/>
          <w:szCs w:val="24"/>
        </w:rPr>
        <w:t>. Herpes zoster coverage among adults aged ≥65 years</w:t>
      </w:r>
      <w:r w:rsidR="004B69F5" w:rsidRPr="006621B1">
        <w:rPr>
          <w:rFonts w:ascii="Times New Roman" w:hAnsi="Times New Roman" w:cs="Times New Roman"/>
          <w:color w:val="000000" w:themeColor="text1"/>
          <w:sz w:val="24"/>
          <w:szCs w:val="24"/>
        </w:rPr>
        <w:t xml:space="preserve"> (41.1%)</w:t>
      </w:r>
      <w:r w:rsidRPr="006621B1">
        <w:rPr>
          <w:rFonts w:ascii="Times New Roman" w:hAnsi="Times New Roman" w:cs="Times New Roman"/>
          <w:color w:val="000000" w:themeColor="text1"/>
          <w:sz w:val="24"/>
          <w:szCs w:val="24"/>
        </w:rPr>
        <w:t xml:space="preserve"> was higher compared with coverage among adults aged 60-64 years</w:t>
      </w:r>
      <w:r w:rsidR="004B69F5" w:rsidRPr="006621B1">
        <w:rPr>
          <w:rFonts w:ascii="Times New Roman" w:hAnsi="Times New Roman" w:cs="Times New Roman"/>
          <w:color w:val="000000" w:themeColor="text1"/>
          <w:sz w:val="24"/>
          <w:szCs w:val="24"/>
        </w:rPr>
        <w:t xml:space="preserve"> (25.0%)</w:t>
      </w:r>
      <w:r w:rsidRPr="006621B1">
        <w:rPr>
          <w:rFonts w:ascii="Times New Roman" w:hAnsi="Times New Roman" w:cs="Times New Roman"/>
          <w:color w:val="000000" w:themeColor="text1"/>
          <w:sz w:val="24"/>
          <w:szCs w:val="24"/>
        </w:rPr>
        <w:t>. Similar differences in coverage by age were observed among adults with health insurance without a usual place of care for influenza vaccination, pneumococcal vaccination, tetanus vaccination, and tetanus vaccination including pertussis vaccine. Among persons without health insurance, few comparisons by age could be made since many of the estimates were suppressed due to small sample size (n&lt;30) or relative standard error (standard error/estimates) &gt;0.3.</w:t>
      </w:r>
    </w:p>
    <w:p w14:paraId="27455A0A" w14:textId="77777777" w:rsidR="0006409A" w:rsidRPr="006621B1" w:rsidRDefault="0006409A" w:rsidP="0006409A">
      <w:pPr>
        <w:rPr>
          <w:rFonts w:ascii="Times New Roman" w:eastAsia="Times New Roman" w:hAnsi="Times New Roman" w:cs="Times New Roman"/>
          <w:bCs/>
          <w:color w:val="000000" w:themeColor="text1"/>
          <w:sz w:val="24"/>
          <w:szCs w:val="24"/>
        </w:rPr>
      </w:pPr>
    </w:p>
    <w:p w14:paraId="34678649" w14:textId="6B2BC981" w:rsidR="0006409A" w:rsidRPr="006621B1" w:rsidRDefault="0006409A" w:rsidP="0006409A">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8. Estimated proportion of adults aged ≥19 years who received selected vaccinations, by age group, increased-risk status,* health insurance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and physician contacts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 National Health Interview Survey, United States, 2017</w:t>
      </w:r>
    </w:p>
    <w:p w14:paraId="02976C60" w14:textId="77777777" w:rsidR="0006409A" w:rsidRPr="006621B1" w:rsidRDefault="0006409A" w:rsidP="0006409A">
      <w:pPr>
        <w:spacing w:after="0" w:line="240" w:lineRule="auto"/>
        <w:rPr>
          <w:rFonts w:ascii="Times New Roman" w:hAnsi="Times New Roman" w:cs="Times New Roman"/>
          <w:b/>
          <w:color w:val="000000" w:themeColor="text1"/>
          <w:sz w:val="24"/>
          <w:szCs w:val="24"/>
        </w:rPr>
      </w:pPr>
    </w:p>
    <w:p w14:paraId="5183A198" w14:textId="77777777" w:rsidR="0006409A" w:rsidRPr="006621B1" w:rsidRDefault="0006409A" w:rsidP="0006409A">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Vaccination coverage was generally higher among those reporting having at least one physician contact in the past year compared with those who had not visited a physician in the past year, regardless of whether the respondent had health insurance, and vaccination coverage generally increased with increasing physician contacts. Hepatitis A vaccination coverage among persons aged ≥19 years, travelers aged ≥19 years, and persons with chronic liver conditions aged ≥19 years did not differ by number of physician contacts.</w:t>
      </w:r>
    </w:p>
    <w:p w14:paraId="6ECCDD29" w14:textId="704D6169" w:rsidR="0006409A" w:rsidRPr="006621B1" w:rsidRDefault="0006409A" w:rsidP="0006409A">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Among adults who had health insurance and reported having had ≥10 physician contacts within the past year, 21.0%–87.9%</w:t>
      </w:r>
      <w:r w:rsidRPr="006621B1">
        <w:rPr>
          <w:rFonts w:ascii="Times New Roman" w:hAnsi="Times New Roman" w:cs="Times New Roman"/>
          <w:color w:val="000000" w:themeColor="text1"/>
        </w:rPr>
        <w:t xml:space="preserve"> </w:t>
      </w:r>
      <w:r w:rsidRPr="006621B1">
        <w:rPr>
          <w:rFonts w:ascii="Times New Roman" w:hAnsi="Times New Roman" w:cs="Times New Roman"/>
          <w:color w:val="000000" w:themeColor="text1"/>
          <w:sz w:val="24"/>
          <w:szCs w:val="24"/>
        </w:rPr>
        <w:t>reported not receiving a vaccine or vaccine series that either is recommended for all persons or are recommended for those with some specific indication (not receiving influenza vaccination</w:t>
      </w:r>
      <w:r w:rsidR="007E37D4" w:rsidRPr="006621B1">
        <w:rPr>
          <w:rFonts w:ascii="Times New Roman" w:hAnsi="Times New Roman" w:cs="Times New Roman"/>
          <w:color w:val="000000" w:themeColor="text1"/>
          <w:sz w:val="24"/>
          <w:szCs w:val="24"/>
        </w:rPr>
        <w:t>)</w:t>
      </w:r>
      <w:r w:rsidRPr="006621B1">
        <w:rPr>
          <w:rFonts w:ascii="Times New Roman" w:hAnsi="Times New Roman" w:cs="Times New Roman"/>
          <w:color w:val="000000" w:themeColor="text1"/>
          <w:sz w:val="24"/>
          <w:szCs w:val="24"/>
        </w:rPr>
        <w:t xml:space="preserve"> (100 minus vaccination coverage), 40.6% [aged ≥19 years], 52.2% [aged 19–49 years], 43.2% [aged 50–64 years], 21.0% [aged ≥65 years]; not receiving pneumococcal vaccination, 60.7% [increased risk, aged 19–64 years], 24.1% [aged ≥65 years]; not receiving tetanus vaccination, 29.7% [aged ≥19 years], 25.9% [aged 19-49 years], 27.7% [aged 50-64 years], 36.9% [aged ≥65 years]; not receiving tetanus vaccination including pertussis vaccine, 62.4% [aged ≥19 years], 57.4% [aged 19–64 years], 74.0% [aged ≥65 years]; not receiving hepatitis A vaccination, 87.9% [aged ≥19 years], 79.2% [travelers aged ≥19 years], 75.1% [chronic liver conditions aged ≥19 years] ; not receiving hepatitis B </w:t>
      </w:r>
      <w:r w:rsidRPr="006621B1">
        <w:rPr>
          <w:rFonts w:ascii="Times New Roman" w:hAnsi="Times New Roman" w:cs="Times New Roman"/>
          <w:color w:val="000000" w:themeColor="text1"/>
          <w:sz w:val="24"/>
          <w:szCs w:val="24"/>
        </w:rPr>
        <w:lastRenderedPageBreak/>
        <w:t>vaccination, 72.2% [aged ≥19 years], 57.2% [aged 19-49 years], 62.2% [travelers aged ≥19 years], 63.8% [persons aged ≥19 years with chronic liver conditions], 80.1% [aged ≥19 years with diabetes], 69.4% [adults aged 19–59 with diabetes], 87.5% [adults aged ≥60 years with diabetes]; not receiving herpes zoster vaccination, 61.6% [adults aged ≥60 years], 75.0% [60-64 years], 56.9% [≥65 years]; and not receiving HPV vaccination, 46.6% [females aged 19–26 years]).</w:t>
      </w:r>
    </w:p>
    <w:p w14:paraId="5512C32B" w14:textId="77298235" w:rsidR="0006409A" w:rsidRPr="006621B1" w:rsidRDefault="0006409A" w:rsidP="0006409A">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 xml:space="preserve">Among adults with health insurance and at least one physician contact, influenza vaccination coverage was lower among adults aged 19-49 years compared with adults aged 50-64 years and ≥65 years, </w:t>
      </w:r>
      <w:r w:rsidR="005F31D4" w:rsidRPr="006621B1">
        <w:rPr>
          <w:rFonts w:ascii="Times New Roman" w:hAnsi="Times New Roman" w:cs="Times New Roman"/>
          <w:color w:val="000000" w:themeColor="text1"/>
          <w:sz w:val="24"/>
          <w:szCs w:val="24"/>
        </w:rPr>
        <w:t xml:space="preserve">and </w:t>
      </w:r>
      <w:r w:rsidRPr="006621B1">
        <w:rPr>
          <w:rFonts w:ascii="Times New Roman" w:hAnsi="Times New Roman" w:cs="Times New Roman"/>
          <w:color w:val="000000" w:themeColor="text1"/>
          <w:sz w:val="24"/>
          <w:szCs w:val="24"/>
        </w:rPr>
        <w:t>among adults with health insurance and no physician contacts, influenza vaccination coverage was lower among adults aged 19-49 years compared with adults ≥65 years. Among adults with health insurance regardless of number of physician contacts, pneumococcal vaccination coverage was lower among adults aged 19-64 years at increased risk compared with adults aged ≥65 years, and compared with adults aged 19-49 years, tetanus vaccination coverage was lower among adults aged ≥65 years, while tetanus vaccination including pertussis vaccine coverage was lower among adults aged ≥65 years compared with adults aged 19-64 years. Among adults with health insurance and at least one physician contact, hepatitis B vaccination coverage among adults with diabetes aged ≥60 years was lower compared with coverage among adults aged 19-59 years with diabetes, and herpes zoster coverage among adults aged ≥65 years was higher compared with coverage among adults aged 60-64 years.</w:t>
      </w:r>
    </w:p>
    <w:p w14:paraId="72251081" w14:textId="77777777" w:rsidR="0006409A" w:rsidRPr="006621B1" w:rsidRDefault="0006409A" w:rsidP="0006409A">
      <w:pPr>
        <w:spacing w:after="0" w:line="240" w:lineRule="auto"/>
        <w:rPr>
          <w:rFonts w:ascii="Times New Roman" w:hAnsi="Times New Roman" w:cs="Times New Roman"/>
          <w:color w:val="000000" w:themeColor="text1"/>
          <w:sz w:val="24"/>
          <w:szCs w:val="24"/>
        </w:rPr>
      </w:pPr>
    </w:p>
    <w:p w14:paraId="42FDD1D3" w14:textId="3C21A789" w:rsidR="0006409A" w:rsidRPr="006621B1" w:rsidRDefault="0006409A" w:rsidP="0006409A">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9. Adjusted vaccination coverage among adults aged ≥19 years, by age group, increased-risk status,* and health insurance status</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 National Health Interview Survey, United States, 2017</w:t>
      </w:r>
    </w:p>
    <w:p w14:paraId="1E675FA6" w14:textId="77777777" w:rsidR="0006409A" w:rsidRPr="006621B1" w:rsidRDefault="0006409A" w:rsidP="0006409A">
      <w:pPr>
        <w:spacing w:after="0" w:line="240" w:lineRule="auto"/>
        <w:rPr>
          <w:rFonts w:ascii="Times New Roman" w:hAnsi="Times New Roman" w:cs="Times New Roman"/>
          <w:b/>
          <w:color w:val="000000" w:themeColor="text1"/>
          <w:sz w:val="24"/>
          <w:szCs w:val="24"/>
        </w:rPr>
      </w:pPr>
    </w:p>
    <w:p w14:paraId="1443B8A7" w14:textId="73A9F4E0" w:rsidR="0006409A" w:rsidRPr="006621B1" w:rsidRDefault="0006409A" w:rsidP="0006409A">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Adults without health insurance were significantly less likely than those with health insurance to be vaccinated after adjusting for confounders for influenza (aged ≥19 years); hepatitis A (aged ≥19 years and travelers aged ≥19 years); hepatitis B (aged ≥19 years and 19-49 years); and herpes zoster</w:t>
      </w:r>
      <w:r w:rsidRPr="006621B1" w:rsidDel="00712F3F">
        <w:rPr>
          <w:rFonts w:ascii="Times New Roman" w:hAnsi="Times New Roman" w:cs="Times New Roman"/>
          <w:color w:val="000000" w:themeColor="text1"/>
          <w:sz w:val="24"/>
          <w:szCs w:val="24"/>
        </w:rPr>
        <w:t xml:space="preserve"> </w:t>
      </w:r>
      <w:r w:rsidRPr="006621B1">
        <w:rPr>
          <w:rFonts w:ascii="Times New Roman" w:hAnsi="Times New Roman" w:cs="Times New Roman"/>
          <w:color w:val="000000" w:themeColor="text1"/>
          <w:sz w:val="24"/>
          <w:szCs w:val="24"/>
        </w:rPr>
        <w:t>(age ≥60 years) vaccination. The difference in adjusted vaccination coverage between respondents with and without health insurance for whom the difference was statistically significant ranged from 3.7% (hepatitis A vaccination among adults aged ≥19 years) to 26.5% (herpes zoster vaccination among adults aged ≥60 years).</w:t>
      </w:r>
    </w:p>
    <w:p w14:paraId="5A242D7C" w14:textId="77777777" w:rsidR="00E82B07" w:rsidRPr="006621B1" w:rsidRDefault="00E82B07" w:rsidP="0006409A">
      <w:pPr>
        <w:rPr>
          <w:rFonts w:ascii="Times New Roman" w:hAnsi="Times New Roman" w:cs="Times New Roman"/>
          <w:color w:val="000000" w:themeColor="text1"/>
          <w:sz w:val="24"/>
          <w:szCs w:val="24"/>
        </w:rPr>
      </w:pPr>
    </w:p>
    <w:p w14:paraId="1896639C" w14:textId="4291C48F" w:rsidR="0006409A" w:rsidRPr="006621B1" w:rsidRDefault="00FC01FC" w:rsidP="0006409A">
      <w:pPr>
        <w:spacing w:after="0" w:line="240" w:lineRule="auto"/>
        <w:rPr>
          <w:rFonts w:ascii="Times New Roman" w:hAnsi="Times New Roman" w:cs="Times New Roman"/>
          <w:b/>
          <w:color w:val="000000" w:themeColor="text1"/>
          <w:sz w:val="24"/>
          <w:szCs w:val="24"/>
        </w:rPr>
      </w:pPr>
      <w:r w:rsidRPr="006621B1">
        <w:rPr>
          <w:rFonts w:ascii="Times New Roman" w:hAnsi="Times New Roman" w:cs="Times New Roman"/>
          <w:b/>
          <w:color w:val="000000" w:themeColor="text1"/>
          <w:sz w:val="24"/>
          <w:szCs w:val="24"/>
        </w:rPr>
        <w:t>BOX 4_ Disparities /TABLE 10. Estimated proportion of adults aged ≥19 years who received selected vaccinations, by age group, increased-risk status,* nativity,</w:t>
      </w:r>
      <w:r w:rsidRPr="006621B1">
        <w:rPr>
          <w:rFonts w:ascii="Times New Roman" w:hAnsi="Times New Roman" w:cs="Times New Roman"/>
          <w:b/>
          <w:color w:val="000000" w:themeColor="text1"/>
          <w:sz w:val="24"/>
          <w:szCs w:val="24"/>
          <w:vertAlign w:val="superscript"/>
        </w:rPr>
        <w:t>†</w:t>
      </w:r>
      <w:r w:rsidRPr="006621B1">
        <w:rPr>
          <w:rFonts w:ascii="Times New Roman" w:hAnsi="Times New Roman" w:cs="Times New Roman"/>
          <w:b/>
          <w:color w:val="000000" w:themeColor="text1"/>
          <w:sz w:val="24"/>
          <w:szCs w:val="24"/>
        </w:rPr>
        <w:t xml:space="preserve"> number of years living in the United States, and citizenship — National Health Interview Survey, United States, 2017</w:t>
      </w:r>
    </w:p>
    <w:p w14:paraId="5C781CC1" w14:textId="77777777" w:rsidR="0006409A" w:rsidRPr="006621B1" w:rsidRDefault="0006409A" w:rsidP="0006409A">
      <w:pPr>
        <w:spacing w:after="0" w:line="240" w:lineRule="auto"/>
        <w:rPr>
          <w:rFonts w:ascii="Times New Roman" w:hAnsi="Times New Roman" w:cs="Times New Roman"/>
          <w:b/>
          <w:color w:val="000000" w:themeColor="text1"/>
          <w:sz w:val="24"/>
          <w:szCs w:val="24"/>
        </w:rPr>
      </w:pPr>
    </w:p>
    <w:p w14:paraId="4887F4B2" w14:textId="6B7CFCEB" w:rsidR="00FC01FC" w:rsidRPr="006621B1" w:rsidRDefault="00FC01FC" w:rsidP="00FC01FC">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Nativity was categorized as U.S.-born (persons born in one of the 50 States or the District of Columbia); or foreign-born (persons who were not born in one of the 50 States or the District of Columbia).</w:t>
      </w:r>
    </w:p>
    <w:p w14:paraId="55E732D8" w14:textId="017E4090" w:rsidR="00D90307" w:rsidRPr="006621B1" w:rsidRDefault="00FC01FC" w:rsidP="00D90307">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 xml:space="preserve">Generally, vaccination coverage among U.S.-born respondents was significantly higher than that of foreign-born respondents </w:t>
      </w:r>
      <w:r w:rsidR="00D90307" w:rsidRPr="006621B1">
        <w:rPr>
          <w:rFonts w:ascii="Times New Roman" w:hAnsi="Times New Roman" w:cs="Times New Roman"/>
          <w:color w:val="000000" w:themeColor="text1"/>
          <w:sz w:val="24"/>
          <w:szCs w:val="24"/>
        </w:rPr>
        <w:t>including</w:t>
      </w:r>
      <w:r w:rsidRPr="006621B1">
        <w:rPr>
          <w:rFonts w:ascii="Times New Roman" w:hAnsi="Times New Roman" w:cs="Times New Roman"/>
          <w:color w:val="000000" w:themeColor="text1"/>
          <w:sz w:val="24"/>
          <w:szCs w:val="24"/>
        </w:rPr>
        <w:t xml:space="preserve"> </w:t>
      </w:r>
      <w:r w:rsidR="00D90307" w:rsidRPr="006621B1">
        <w:rPr>
          <w:rFonts w:ascii="Times New Roman" w:hAnsi="Times New Roman" w:cs="Times New Roman"/>
          <w:color w:val="000000" w:themeColor="text1"/>
          <w:sz w:val="24"/>
          <w:szCs w:val="24"/>
        </w:rPr>
        <w:t>pneumococcal vaccination (all ages), tetanus vaccination</w:t>
      </w:r>
      <w:r w:rsidR="00D90307" w:rsidRPr="006621B1">
        <w:rPr>
          <w:rFonts w:ascii="Times New Roman" w:hAnsi="Times New Roman" w:cs="Times New Roman"/>
          <w:b/>
          <w:color w:val="000000" w:themeColor="text1"/>
          <w:sz w:val="24"/>
          <w:szCs w:val="24"/>
        </w:rPr>
        <w:t xml:space="preserve"> (</w:t>
      </w:r>
      <w:r w:rsidR="00D90307" w:rsidRPr="006621B1">
        <w:rPr>
          <w:rFonts w:ascii="Times New Roman" w:hAnsi="Times New Roman" w:cs="Times New Roman"/>
          <w:bCs/>
          <w:color w:val="000000" w:themeColor="text1"/>
          <w:sz w:val="24"/>
          <w:szCs w:val="24"/>
        </w:rPr>
        <w:t>tetanus and diphtheria toxoids</w:t>
      </w:r>
      <w:r w:rsidR="00D90307" w:rsidRPr="006621B1">
        <w:rPr>
          <w:rFonts w:ascii="Times New Roman" w:hAnsi="Times New Roman" w:cs="Times New Roman"/>
          <w:color w:val="000000" w:themeColor="text1"/>
          <w:sz w:val="24"/>
          <w:szCs w:val="24"/>
        </w:rPr>
        <w:t xml:space="preserve"> </w:t>
      </w:r>
      <w:r w:rsidR="00F31410" w:rsidRPr="006621B1">
        <w:rPr>
          <w:rFonts w:ascii="Times New Roman" w:hAnsi="Times New Roman" w:cs="Times New Roman"/>
          <w:color w:val="000000" w:themeColor="text1"/>
          <w:sz w:val="24"/>
          <w:szCs w:val="24"/>
        </w:rPr>
        <w:t>[</w:t>
      </w:r>
      <w:r w:rsidR="00D90307" w:rsidRPr="006621B1">
        <w:rPr>
          <w:rFonts w:ascii="Times New Roman" w:hAnsi="Times New Roman" w:cs="Times New Roman"/>
          <w:color w:val="000000" w:themeColor="text1"/>
          <w:sz w:val="24"/>
          <w:szCs w:val="24"/>
        </w:rPr>
        <w:t>Td or Tdap</w:t>
      </w:r>
      <w:r w:rsidR="00F31410" w:rsidRPr="006621B1">
        <w:rPr>
          <w:rFonts w:ascii="Times New Roman" w:hAnsi="Times New Roman" w:cs="Times New Roman"/>
          <w:color w:val="000000" w:themeColor="text1"/>
          <w:sz w:val="24"/>
          <w:szCs w:val="24"/>
        </w:rPr>
        <w:t>]</w:t>
      </w:r>
      <w:r w:rsidR="00D90307" w:rsidRPr="006621B1">
        <w:rPr>
          <w:rFonts w:ascii="Times New Roman" w:hAnsi="Times New Roman" w:cs="Times New Roman"/>
          <w:color w:val="000000" w:themeColor="text1"/>
          <w:sz w:val="24"/>
          <w:szCs w:val="24"/>
        </w:rPr>
        <w:t xml:space="preserve"> vaccination </w:t>
      </w:r>
      <w:r w:rsidR="00F31410" w:rsidRPr="006621B1">
        <w:rPr>
          <w:rFonts w:ascii="Times New Roman" w:hAnsi="Times New Roman" w:cs="Times New Roman"/>
          <w:color w:val="000000" w:themeColor="text1"/>
          <w:sz w:val="24"/>
          <w:szCs w:val="24"/>
        </w:rPr>
        <w:t>[</w:t>
      </w:r>
      <w:r w:rsidR="00D90307" w:rsidRPr="006621B1">
        <w:rPr>
          <w:rFonts w:ascii="Times New Roman" w:hAnsi="Times New Roman" w:cs="Times New Roman"/>
          <w:color w:val="000000" w:themeColor="text1"/>
          <w:sz w:val="24"/>
          <w:szCs w:val="24"/>
        </w:rPr>
        <w:t>all ages</w:t>
      </w:r>
      <w:r w:rsidR="00F31410" w:rsidRPr="006621B1">
        <w:rPr>
          <w:rFonts w:ascii="Times New Roman" w:hAnsi="Times New Roman" w:cs="Times New Roman"/>
          <w:color w:val="000000" w:themeColor="text1"/>
          <w:sz w:val="24"/>
          <w:szCs w:val="24"/>
        </w:rPr>
        <w:t>]</w:t>
      </w:r>
      <w:r w:rsidR="00D90307" w:rsidRPr="006621B1">
        <w:rPr>
          <w:rFonts w:ascii="Times New Roman" w:hAnsi="Times New Roman" w:cs="Times New Roman"/>
          <w:color w:val="000000" w:themeColor="text1"/>
          <w:sz w:val="24"/>
          <w:szCs w:val="24"/>
        </w:rPr>
        <w:t xml:space="preserve">), Tdap vaccination (all ages), hepatitis A </w:t>
      </w:r>
      <w:r w:rsidR="00D90307" w:rsidRPr="006621B1">
        <w:rPr>
          <w:rFonts w:ascii="Times New Roman" w:hAnsi="Times New Roman" w:cs="Times New Roman"/>
          <w:color w:val="000000" w:themeColor="text1"/>
          <w:sz w:val="24"/>
          <w:szCs w:val="24"/>
        </w:rPr>
        <w:lastRenderedPageBreak/>
        <w:t>vaccination among travelers aged ≥19 years, hepatitis B</w:t>
      </w:r>
      <w:r w:rsidR="0070597C" w:rsidRPr="006621B1">
        <w:rPr>
          <w:rFonts w:ascii="Times New Roman" w:hAnsi="Times New Roman" w:cs="Times New Roman"/>
          <w:color w:val="000000" w:themeColor="text1"/>
          <w:sz w:val="24"/>
          <w:szCs w:val="24"/>
        </w:rPr>
        <w:t xml:space="preserve"> vaccination</w:t>
      </w:r>
      <w:r w:rsidR="00D90307" w:rsidRPr="006621B1">
        <w:rPr>
          <w:rFonts w:ascii="Times New Roman" w:hAnsi="Times New Roman" w:cs="Times New Roman"/>
          <w:color w:val="000000" w:themeColor="text1"/>
          <w:sz w:val="24"/>
          <w:szCs w:val="24"/>
        </w:rPr>
        <w:t xml:space="preserve"> (all ages), herpes zoster vaccination (all ages), and HPV vaccination among females and males aged 19-26 years.</w:t>
      </w:r>
    </w:p>
    <w:p w14:paraId="523AAC5C" w14:textId="41828CFC" w:rsidR="00FC01FC" w:rsidRPr="006621B1" w:rsidRDefault="00FC01FC" w:rsidP="00FC01FC">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Vaccination coverage was significantly lower for foreign-born persons living in the United States ≥10 years compared with those living in the United States &lt;10 years for hepatitis A vaccination (adults aged ≥19 years overall and among travelers aged ≥19 years) and hepatitis B vaccination (adults aged ≥19 years overall, travelers aged ≥19 years, and 19-49 years). Coverage among foreign-born adults who were U.S. citizens was higher than that for foreign-born adults who were not U.S. citizens for influenza vaccination (adults aged ≥19 years and 50-54 years); hepatitis B vaccination (adults aged 19-49 years); and herpes zoster vaccination (adults aged ≥60 years).</w:t>
      </w:r>
    </w:p>
    <w:p w14:paraId="2FF31DC3" w14:textId="637F7701" w:rsidR="00FC01FC" w:rsidRPr="006621B1" w:rsidRDefault="00FC01FC" w:rsidP="00FC01FC">
      <w:pPr>
        <w:rPr>
          <w:rFonts w:ascii="Times New Roman" w:hAnsi="Times New Roman" w:cs="Times New Roman"/>
          <w:color w:val="000000" w:themeColor="text1"/>
          <w:sz w:val="24"/>
          <w:szCs w:val="24"/>
        </w:rPr>
      </w:pPr>
      <w:r w:rsidRPr="006621B1">
        <w:rPr>
          <w:rFonts w:ascii="Times New Roman" w:hAnsi="Times New Roman" w:cs="Times New Roman"/>
          <w:color w:val="000000" w:themeColor="text1"/>
          <w:sz w:val="24"/>
          <w:szCs w:val="24"/>
        </w:rPr>
        <w:t>Influenza vaccination coverage was lower among adults aged 19-49 years compared with adults aged 50-64 years and ≥65 years</w:t>
      </w:r>
      <w:r w:rsidR="006A2503" w:rsidRPr="006621B1">
        <w:rPr>
          <w:rFonts w:ascii="Times New Roman" w:hAnsi="Times New Roman" w:cs="Times New Roman"/>
          <w:color w:val="000000" w:themeColor="text1"/>
          <w:sz w:val="24"/>
          <w:szCs w:val="24"/>
        </w:rPr>
        <w:t xml:space="preserve"> among U.S.-born</w:t>
      </w:r>
      <w:r w:rsidR="008D0D60" w:rsidRPr="006621B1">
        <w:rPr>
          <w:rFonts w:ascii="Times New Roman" w:hAnsi="Times New Roman" w:cs="Times New Roman"/>
          <w:color w:val="000000" w:themeColor="text1"/>
          <w:sz w:val="24"/>
          <w:szCs w:val="24"/>
        </w:rPr>
        <w:t xml:space="preserve"> adults</w:t>
      </w:r>
      <w:r w:rsidR="006A2503" w:rsidRPr="006621B1">
        <w:rPr>
          <w:rFonts w:ascii="Times New Roman" w:hAnsi="Times New Roman" w:cs="Times New Roman"/>
          <w:color w:val="000000" w:themeColor="text1"/>
          <w:sz w:val="24"/>
          <w:szCs w:val="24"/>
        </w:rPr>
        <w:t xml:space="preserve">, foreign-born adults, </w:t>
      </w:r>
      <w:r w:rsidR="008D0D60" w:rsidRPr="006621B1">
        <w:rPr>
          <w:rFonts w:ascii="Times New Roman" w:hAnsi="Times New Roman" w:cs="Times New Roman"/>
          <w:color w:val="000000" w:themeColor="text1"/>
          <w:sz w:val="24"/>
          <w:szCs w:val="24"/>
        </w:rPr>
        <w:t>and</w:t>
      </w:r>
      <w:r w:rsidR="006A2503" w:rsidRPr="006621B1">
        <w:rPr>
          <w:rFonts w:ascii="Times New Roman" w:hAnsi="Times New Roman" w:cs="Times New Roman"/>
          <w:color w:val="000000" w:themeColor="text1"/>
          <w:sz w:val="24"/>
          <w:szCs w:val="24"/>
        </w:rPr>
        <w:t xml:space="preserve"> foreign-born adults who live</w:t>
      </w:r>
      <w:r w:rsidR="008D0D60" w:rsidRPr="006621B1">
        <w:rPr>
          <w:rFonts w:ascii="Times New Roman" w:hAnsi="Times New Roman" w:cs="Times New Roman"/>
          <w:color w:val="000000" w:themeColor="text1"/>
          <w:sz w:val="24"/>
          <w:szCs w:val="24"/>
        </w:rPr>
        <w:t>d</w:t>
      </w:r>
      <w:r w:rsidR="006A2503" w:rsidRPr="006621B1">
        <w:rPr>
          <w:rFonts w:ascii="Times New Roman" w:hAnsi="Times New Roman" w:cs="Times New Roman"/>
          <w:color w:val="000000" w:themeColor="text1"/>
          <w:sz w:val="24"/>
          <w:szCs w:val="24"/>
        </w:rPr>
        <w:t xml:space="preserve"> in U.S. ≥10 years</w:t>
      </w:r>
      <w:r w:rsidR="003B77F6" w:rsidRPr="006621B1">
        <w:rPr>
          <w:rFonts w:ascii="Times New Roman" w:hAnsi="Times New Roman" w:cs="Times New Roman"/>
          <w:color w:val="000000" w:themeColor="text1"/>
          <w:sz w:val="24"/>
          <w:szCs w:val="24"/>
        </w:rPr>
        <w:t xml:space="preserve"> </w:t>
      </w:r>
      <w:r w:rsidR="006A2503" w:rsidRPr="006621B1">
        <w:rPr>
          <w:rFonts w:ascii="Times New Roman" w:hAnsi="Times New Roman" w:cs="Times New Roman"/>
          <w:color w:val="000000" w:themeColor="text1"/>
          <w:sz w:val="24"/>
          <w:szCs w:val="24"/>
        </w:rPr>
        <w:t xml:space="preserve">and who </w:t>
      </w:r>
      <w:r w:rsidR="008D0D60" w:rsidRPr="006621B1">
        <w:rPr>
          <w:rFonts w:ascii="Times New Roman" w:hAnsi="Times New Roman" w:cs="Times New Roman"/>
          <w:color w:val="000000" w:themeColor="text1"/>
          <w:sz w:val="24"/>
          <w:szCs w:val="24"/>
        </w:rPr>
        <w:t>reported being</w:t>
      </w:r>
      <w:r w:rsidR="006A2503" w:rsidRPr="006621B1">
        <w:rPr>
          <w:rFonts w:ascii="Times New Roman" w:hAnsi="Times New Roman" w:cs="Times New Roman"/>
          <w:color w:val="000000" w:themeColor="text1"/>
          <w:sz w:val="24"/>
          <w:szCs w:val="24"/>
        </w:rPr>
        <w:t xml:space="preserve"> U.S. citizens</w:t>
      </w:r>
      <w:r w:rsidRPr="006621B1">
        <w:rPr>
          <w:rFonts w:ascii="Times New Roman" w:hAnsi="Times New Roman" w:cs="Times New Roman"/>
          <w:color w:val="000000" w:themeColor="text1"/>
          <w:sz w:val="24"/>
          <w:szCs w:val="24"/>
        </w:rPr>
        <w:t>. Pneumococcal vaccination coverage was lower among adults aged 19-64 years at increased risk compared with adults aged ≥65 years. Compared with adults aged 19-49 years, tetanus vaccination coverage was lower among adults aged ≥65 years among U.S.-born, foreign-born adults, and foreign-born adults who live in U.S. ≥10 years and who are U.S. citizens. Where comparisons could be made, tetanus vaccination including pertussis vaccine coverage was lower among adults aged ≥65 years compared with adults aged 19-64 year</w:t>
      </w:r>
      <w:r w:rsidR="00A57A48" w:rsidRPr="006621B1">
        <w:rPr>
          <w:rFonts w:ascii="Times New Roman" w:hAnsi="Times New Roman" w:cs="Times New Roman"/>
          <w:color w:val="000000" w:themeColor="text1"/>
          <w:sz w:val="24"/>
          <w:szCs w:val="24"/>
        </w:rPr>
        <w:t>. H</w:t>
      </w:r>
      <w:r w:rsidRPr="006621B1">
        <w:rPr>
          <w:rFonts w:ascii="Times New Roman" w:hAnsi="Times New Roman" w:cs="Times New Roman"/>
          <w:color w:val="000000" w:themeColor="text1"/>
          <w:sz w:val="24"/>
          <w:szCs w:val="24"/>
        </w:rPr>
        <w:t xml:space="preserve">epatitis B vaccination coverage among adults with diabetes aged ≥60 years among U.S.-born adults was lower compared with coverage among adults aged 19-59 years with diabetes, and herpes zoster coverage among adults aged ≥65 years was higher compared with coverage among adults aged 60-64 years among U.S.-born, foreign-born adults, and foreign-born adults who live in U.S. ≥10 years and who are U.S. citizens. </w:t>
      </w:r>
    </w:p>
    <w:p w14:paraId="06F40417" w14:textId="218E440F" w:rsidR="0006409A" w:rsidRPr="006621B1" w:rsidRDefault="0006409A" w:rsidP="0006409A">
      <w:pPr>
        <w:rPr>
          <w:rFonts w:ascii="Times New Roman" w:hAnsi="Times New Roman" w:cs="Times New Roman"/>
          <w:color w:val="000000" w:themeColor="text1"/>
          <w:sz w:val="24"/>
          <w:szCs w:val="24"/>
        </w:rPr>
      </w:pPr>
    </w:p>
    <w:p w14:paraId="66CB22CC" w14:textId="77777777" w:rsidR="0006409A" w:rsidRPr="006621B1" w:rsidRDefault="0006409A" w:rsidP="0006409A">
      <w:pPr>
        <w:rPr>
          <w:rFonts w:ascii="Times New Roman" w:hAnsi="Times New Roman" w:cs="Times New Roman"/>
          <w:b/>
          <w:color w:val="000000" w:themeColor="text1"/>
          <w:sz w:val="24"/>
          <w:szCs w:val="24"/>
        </w:rPr>
      </w:pPr>
    </w:p>
    <w:p w14:paraId="156CB80E" w14:textId="77777777" w:rsidR="0006409A" w:rsidRPr="006621B1" w:rsidRDefault="0006409A" w:rsidP="0006409A">
      <w:pPr>
        <w:rPr>
          <w:rFonts w:ascii="Times New Roman" w:hAnsi="Times New Roman" w:cs="Times New Roman"/>
          <w:color w:val="000000" w:themeColor="text1"/>
          <w:sz w:val="24"/>
          <w:szCs w:val="24"/>
        </w:rPr>
      </w:pPr>
    </w:p>
    <w:p w14:paraId="481C5C86" w14:textId="77777777" w:rsidR="0006409A" w:rsidRPr="006621B1" w:rsidRDefault="0006409A" w:rsidP="0006409A">
      <w:pPr>
        <w:spacing w:afterLines="200" w:after="480"/>
        <w:rPr>
          <w:rFonts w:ascii="Times New Roman" w:hAnsi="Times New Roman" w:cs="Times New Roman"/>
          <w:color w:val="000000" w:themeColor="text1"/>
          <w:sz w:val="24"/>
          <w:szCs w:val="24"/>
        </w:rPr>
      </w:pPr>
    </w:p>
    <w:p w14:paraId="38CB1A7B" w14:textId="77777777" w:rsidR="0006409A" w:rsidRPr="0006409A" w:rsidRDefault="0006409A" w:rsidP="0006409A">
      <w:pPr>
        <w:spacing w:after="0"/>
        <w:rPr>
          <w:rFonts w:ascii="Times New Roman" w:eastAsia="Times New Roman" w:hAnsi="Times New Roman" w:cs="Times New Roman"/>
          <w:bCs/>
          <w:color w:val="000000"/>
          <w:sz w:val="24"/>
          <w:szCs w:val="24"/>
        </w:rPr>
      </w:pPr>
    </w:p>
    <w:p w14:paraId="637A4CC9" w14:textId="77777777" w:rsidR="005A6C5B" w:rsidRDefault="005A6C5B" w:rsidP="005A6C5B">
      <w:pPr>
        <w:spacing w:after="0"/>
        <w:rPr>
          <w:rFonts w:ascii="Times New Roman" w:eastAsia="Times New Roman" w:hAnsi="Times New Roman" w:cs="Times New Roman"/>
          <w:bCs/>
          <w:color w:val="000000"/>
          <w:sz w:val="24"/>
          <w:szCs w:val="24"/>
        </w:rPr>
      </w:pPr>
    </w:p>
    <w:p w14:paraId="1F16BD36" w14:textId="77777777" w:rsidR="005A6C5B" w:rsidRDefault="005A6C5B" w:rsidP="005A6C5B">
      <w:pPr>
        <w:spacing w:after="0"/>
        <w:rPr>
          <w:rFonts w:ascii="Times New Roman" w:eastAsia="Times New Roman" w:hAnsi="Times New Roman" w:cs="Times New Roman"/>
          <w:bCs/>
          <w:color w:val="000000"/>
          <w:sz w:val="24"/>
          <w:szCs w:val="24"/>
        </w:rPr>
      </w:pPr>
    </w:p>
    <w:p w14:paraId="32707D00" w14:textId="77777777" w:rsidR="005A6C5B" w:rsidRPr="005A6C5B" w:rsidRDefault="005A6C5B" w:rsidP="005A6C5B">
      <w:pPr>
        <w:outlineLvl w:val="2"/>
        <w:rPr>
          <w:rFonts w:ascii="Times New Roman" w:eastAsia="Times New Roman" w:hAnsi="Times New Roman" w:cs="Times New Roman"/>
          <w:bCs/>
          <w:color w:val="C00000"/>
          <w:sz w:val="24"/>
          <w:szCs w:val="24"/>
        </w:rPr>
      </w:pPr>
    </w:p>
    <w:p w14:paraId="180136A3" w14:textId="5C843D7F" w:rsidR="00F170DA" w:rsidRPr="008F760F" w:rsidRDefault="00F170DA">
      <w:pPr>
        <w:rPr>
          <w:rFonts w:ascii="Times New Roman" w:hAnsi="Times New Roman" w:cs="Times New Roman"/>
          <w:color w:val="000000" w:themeColor="text1"/>
          <w:sz w:val="24"/>
          <w:szCs w:val="24"/>
        </w:rPr>
      </w:pPr>
    </w:p>
    <w:sectPr w:rsidR="00F170DA" w:rsidRPr="008F760F"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EA85" w14:textId="77777777" w:rsidR="00346430" w:rsidRDefault="00346430" w:rsidP="008B5D54">
      <w:pPr>
        <w:spacing w:after="0" w:line="240" w:lineRule="auto"/>
      </w:pPr>
      <w:r>
        <w:separator/>
      </w:r>
    </w:p>
  </w:endnote>
  <w:endnote w:type="continuationSeparator" w:id="0">
    <w:p w14:paraId="06FB7AEE" w14:textId="77777777" w:rsidR="00346430" w:rsidRDefault="0034643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NBK G+ Adv T T 7169e 447">
    <w:altName w:val="Adv TT 716 9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62097"/>
      <w:docPartObj>
        <w:docPartGallery w:val="Page Numbers (Bottom of Page)"/>
        <w:docPartUnique/>
      </w:docPartObj>
    </w:sdtPr>
    <w:sdtEndPr>
      <w:rPr>
        <w:noProof/>
      </w:rPr>
    </w:sdtEndPr>
    <w:sdtContent>
      <w:p w14:paraId="7D543ADF" w14:textId="4C05D394" w:rsidR="00346430" w:rsidRDefault="00346430">
        <w:pPr>
          <w:pStyle w:val="Footer"/>
          <w:jc w:val="center"/>
        </w:pPr>
        <w:r>
          <w:fldChar w:fldCharType="begin"/>
        </w:r>
        <w:r>
          <w:instrText xml:space="preserve"> PAGE   \* MERGEFORMAT </w:instrText>
        </w:r>
        <w:r>
          <w:fldChar w:fldCharType="separate"/>
        </w:r>
        <w:r w:rsidR="00EE212A">
          <w:rPr>
            <w:noProof/>
          </w:rPr>
          <w:t>1</w:t>
        </w:r>
        <w:r>
          <w:rPr>
            <w:noProof/>
          </w:rPr>
          <w:fldChar w:fldCharType="end"/>
        </w:r>
      </w:p>
    </w:sdtContent>
  </w:sdt>
  <w:p w14:paraId="23636AA2" w14:textId="77777777" w:rsidR="00346430" w:rsidRDefault="00346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BDE6" w14:textId="77777777" w:rsidR="00346430" w:rsidRDefault="00346430" w:rsidP="008B5D54">
      <w:pPr>
        <w:spacing w:after="0" w:line="240" w:lineRule="auto"/>
      </w:pPr>
      <w:r>
        <w:separator/>
      </w:r>
    </w:p>
  </w:footnote>
  <w:footnote w:type="continuationSeparator" w:id="0">
    <w:p w14:paraId="2A4D8741" w14:textId="77777777" w:rsidR="00346430" w:rsidRDefault="00346430"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499"/>
    <w:multiLevelType w:val="hybridMultilevel"/>
    <w:tmpl w:val="E84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4C87"/>
    <w:multiLevelType w:val="hybridMultilevel"/>
    <w:tmpl w:val="837E2006"/>
    <w:lvl w:ilvl="0" w:tplc="119287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92"/>
    <w:rsid w:val="00006609"/>
    <w:rsid w:val="00010BE3"/>
    <w:rsid w:val="000175AD"/>
    <w:rsid w:val="00021EA5"/>
    <w:rsid w:val="00022B50"/>
    <w:rsid w:val="000426B5"/>
    <w:rsid w:val="0004600B"/>
    <w:rsid w:val="00050E1A"/>
    <w:rsid w:val="00054D65"/>
    <w:rsid w:val="000611DA"/>
    <w:rsid w:val="0006409A"/>
    <w:rsid w:val="00065784"/>
    <w:rsid w:val="00066C5E"/>
    <w:rsid w:val="0007046D"/>
    <w:rsid w:val="0007168E"/>
    <w:rsid w:val="00075562"/>
    <w:rsid w:val="0008491D"/>
    <w:rsid w:val="00094117"/>
    <w:rsid w:val="000949B2"/>
    <w:rsid w:val="000A07A0"/>
    <w:rsid w:val="000A5CA7"/>
    <w:rsid w:val="000B01B9"/>
    <w:rsid w:val="000B4D9E"/>
    <w:rsid w:val="000E6336"/>
    <w:rsid w:val="000E6AC6"/>
    <w:rsid w:val="000F1915"/>
    <w:rsid w:val="001005C1"/>
    <w:rsid w:val="00103725"/>
    <w:rsid w:val="00105106"/>
    <w:rsid w:val="0011227B"/>
    <w:rsid w:val="00112FCA"/>
    <w:rsid w:val="00116D23"/>
    <w:rsid w:val="00120A73"/>
    <w:rsid w:val="00121719"/>
    <w:rsid w:val="00122566"/>
    <w:rsid w:val="00126F99"/>
    <w:rsid w:val="00134284"/>
    <w:rsid w:val="00146C22"/>
    <w:rsid w:val="001472FB"/>
    <w:rsid w:val="00165EE1"/>
    <w:rsid w:val="00185622"/>
    <w:rsid w:val="00187306"/>
    <w:rsid w:val="001910F8"/>
    <w:rsid w:val="00191EE4"/>
    <w:rsid w:val="00192EBC"/>
    <w:rsid w:val="00197281"/>
    <w:rsid w:val="001A0B7F"/>
    <w:rsid w:val="001A0FB5"/>
    <w:rsid w:val="001A2DDC"/>
    <w:rsid w:val="001A6E97"/>
    <w:rsid w:val="001B11B0"/>
    <w:rsid w:val="001B32E1"/>
    <w:rsid w:val="001B3E3C"/>
    <w:rsid w:val="001B713A"/>
    <w:rsid w:val="001C6609"/>
    <w:rsid w:val="001C7690"/>
    <w:rsid w:val="001C7D6B"/>
    <w:rsid w:val="001D0261"/>
    <w:rsid w:val="001D6AEA"/>
    <w:rsid w:val="001D76B2"/>
    <w:rsid w:val="001D7E85"/>
    <w:rsid w:val="001E3B90"/>
    <w:rsid w:val="001F3671"/>
    <w:rsid w:val="001F6688"/>
    <w:rsid w:val="002065A3"/>
    <w:rsid w:val="0020784A"/>
    <w:rsid w:val="002122AC"/>
    <w:rsid w:val="00213EB2"/>
    <w:rsid w:val="00220372"/>
    <w:rsid w:val="00222CBC"/>
    <w:rsid w:val="00223BFA"/>
    <w:rsid w:val="00225CB5"/>
    <w:rsid w:val="00227622"/>
    <w:rsid w:val="00230A63"/>
    <w:rsid w:val="00231934"/>
    <w:rsid w:val="00235D36"/>
    <w:rsid w:val="002364C9"/>
    <w:rsid w:val="00236CA4"/>
    <w:rsid w:val="002411B6"/>
    <w:rsid w:val="002441CC"/>
    <w:rsid w:val="00245CBE"/>
    <w:rsid w:val="0025403B"/>
    <w:rsid w:val="0025583A"/>
    <w:rsid w:val="00260A02"/>
    <w:rsid w:val="002756B0"/>
    <w:rsid w:val="0027735E"/>
    <w:rsid w:val="0028097D"/>
    <w:rsid w:val="0028794E"/>
    <w:rsid w:val="00291B5F"/>
    <w:rsid w:val="00291D60"/>
    <w:rsid w:val="0029413B"/>
    <w:rsid w:val="002A00E4"/>
    <w:rsid w:val="002A0A11"/>
    <w:rsid w:val="002A18AB"/>
    <w:rsid w:val="002A39C6"/>
    <w:rsid w:val="002A6251"/>
    <w:rsid w:val="002B1C09"/>
    <w:rsid w:val="002B2D2A"/>
    <w:rsid w:val="002D4386"/>
    <w:rsid w:val="002F3BD1"/>
    <w:rsid w:val="002F5FD4"/>
    <w:rsid w:val="002F65E6"/>
    <w:rsid w:val="0030146A"/>
    <w:rsid w:val="0030312B"/>
    <w:rsid w:val="00311B66"/>
    <w:rsid w:val="0031267B"/>
    <w:rsid w:val="00316059"/>
    <w:rsid w:val="00322713"/>
    <w:rsid w:val="00326AE7"/>
    <w:rsid w:val="00340EE8"/>
    <w:rsid w:val="003413C9"/>
    <w:rsid w:val="00342D3C"/>
    <w:rsid w:val="00344861"/>
    <w:rsid w:val="0034536D"/>
    <w:rsid w:val="00345E82"/>
    <w:rsid w:val="00346430"/>
    <w:rsid w:val="0035630C"/>
    <w:rsid w:val="0036021F"/>
    <w:rsid w:val="00363C9D"/>
    <w:rsid w:val="00366A5B"/>
    <w:rsid w:val="003779D2"/>
    <w:rsid w:val="00381012"/>
    <w:rsid w:val="00390507"/>
    <w:rsid w:val="00390A0E"/>
    <w:rsid w:val="003A16ED"/>
    <w:rsid w:val="003A5563"/>
    <w:rsid w:val="003A78BA"/>
    <w:rsid w:val="003B20D4"/>
    <w:rsid w:val="003B77F6"/>
    <w:rsid w:val="003C025C"/>
    <w:rsid w:val="003C1738"/>
    <w:rsid w:val="003D30AE"/>
    <w:rsid w:val="003D7249"/>
    <w:rsid w:val="003E127D"/>
    <w:rsid w:val="003E3D3C"/>
    <w:rsid w:val="003E44CD"/>
    <w:rsid w:val="003E7EBE"/>
    <w:rsid w:val="003F0963"/>
    <w:rsid w:val="003F2B90"/>
    <w:rsid w:val="003F3D09"/>
    <w:rsid w:val="00411106"/>
    <w:rsid w:val="00413DBF"/>
    <w:rsid w:val="00417883"/>
    <w:rsid w:val="004218DA"/>
    <w:rsid w:val="0042237E"/>
    <w:rsid w:val="004234F5"/>
    <w:rsid w:val="004258FA"/>
    <w:rsid w:val="00426D3F"/>
    <w:rsid w:val="0043118B"/>
    <w:rsid w:val="00433453"/>
    <w:rsid w:val="00434685"/>
    <w:rsid w:val="00435583"/>
    <w:rsid w:val="0044052C"/>
    <w:rsid w:val="004455E1"/>
    <w:rsid w:val="004524B6"/>
    <w:rsid w:val="004632AD"/>
    <w:rsid w:val="00465A61"/>
    <w:rsid w:val="00472732"/>
    <w:rsid w:val="00472C75"/>
    <w:rsid w:val="0047423D"/>
    <w:rsid w:val="00476736"/>
    <w:rsid w:val="00481C59"/>
    <w:rsid w:val="00485592"/>
    <w:rsid w:val="00490D69"/>
    <w:rsid w:val="00491527"/>
    <w:rsid w:val="004A4FDD"/>
    <w:rsid w:val="004A5554"/>
    <w:rsid w:val="004A7AEE"/>
    <w:rsid w:val="004B0D3E"/>
    <w:rsid w:val="004B4742"/>
    <w:rsid w:val="004B69F5"/>
    <w:rsid w:val="004C6370"/>
    <w:rsid w:val="004D0211"/>
    <w:rsid w:val="004D1379"/>
    <w:rsid w:val="004D6959"/>
    <w:rsid w:val="004D786B"/>
    <w:rsid w:val="004E62DF"/>
    <w:rsid w:val="004F2697"/>
    <w:rsid w:val="004F6EA2"/>
    <w:rsid w:val="00501F92"/>
    <w:rsid w:val="0051025E"/>
    <w:rsid w:val="00516BC5"/>
    <w:rsid w:val="00516FD1"/>
    <w:rsid w:val="00517C4B"/>
    <w:rsid w:val="00521705"/>
    <w:rsid w:val="00521FF9"/>
    <w:rsid w:val="005243C0"/>
    <w:rsid w:val="00525788"/>
    <w:rsid w:val="005276D2"/>
    <w:rsid w:val="00531641"/>
    <w:rsid w:val="00540B2A"/>
    <w:rsid w:val="00543E91"/>
    <w:rsid w:val="00551C97"/>
    <w:rsid w:val="00554879"/>
    <w:rsid w:val="00555270"/>
    <w:rsid w:val="00557AE9"/>
    <w:rsid w:val="00560952"/>
    <w:rsid w:val="005613B4"/>
    <w:rsid w:val="0056720B"/>
    <w:rsid w:val="00581C72"/>
    <w:rsid w:val="00583182"/>
    <w:rsid w:val="0058544D"/>
    <w:rsid w:val="00586EE4"/>
    <w:rsid w:val="005A1E26"/>
    <w:rsid w:val="005A4868"/>
    <w:rsid w:val="005A67E7"/>
    <w:rsid w:val="005A6C5B"/>
    <w:rsid w:val="005A7603"/>
    <w:rsid w:val="005B0F69"/>
    <w:rsid w:val="005B56AE"/>
    <w:rsid w:val="005C7427"/>
    <w:rsid w:val="005D4328"/>
    <w:rsid w:val="005E2D05"/>
    <w:rsid w:val="005E76B4"/>
    <w:rsid w:val="005F31D4"/>
    <w:rsid w:val="005F455E"/>
    <w:rsid w:val="00603D39"/>
    <w:rsid w:val="00603D69"/>
    <w:rsid w:val="00604F57"/>
    <w:rsid w:val="00630FF1"/>
    <w:rsid w:val="00632030"/>
    <w:rsid w:val="00632877"/>
    <w:rsid w:val="00636F37"/>
    <w:rsid w:val="00646E35"/>
    <w:rsid w:val="006522B0"/>
    <w:rsid w:val="006524C7"/>
    <w:rsid w:val="006562FE"/>
    <w:rsid w:val="006621B1"/>
    <w:rsid w:val="006630BA"/>
    <w:rsid w:val="00675585"/>
    <w:rsid w:val="006858B1"/>
    <w:rsid w:val="0069097A"/>
    <w:rsid w:val="0069334B"/>
    <w:rsid w:val="006943EF"/>
    <w:rsid w:val="006976BE"/>
    <w:rsid w:val="006A2503"/>
    <w:rsid w:val="006B3B6B"/>
    <w:rsid w:val="006B54F2"/>
    <w:rsid w:val="006B5814"/>
    <w:rsid w:val="006B5A62"/>
    <w:rsid w:val="006C6578"/>
    <w:rsid w:val="006C72D6"/>
    <w:rsid w:val="006D7F79"/>
    <w:rsid w:val="006E0184"/>
    <w:rsid w:val="006E279E"/>
    <w:rsid w:val="006E669B"/>
    <w:rsid w:val="006E7856"/>
    <w:rsid w:val="007004E2"/>
    <w:rsid w:val="007014A5"/>
    <w:rsid w:val="00704E49"/>
    <w:rsid w:val="0070597C"/>
    <w:rsid w:val="00707638"/>
    <w:rsid w:val="00712706"/>
    <w:rsid w:val="00712F3F"/>
    <w:rsid w:val="00713255"/>
    <w:rsid w:val="00713C52"/>
    <w:rsid w:val="0072084F"/>
    <w:rsid w:val="00726DBE"/>
    <w:rsid w:val="0074088A"/>
    <w:rsid w:val="00744926"/>
    <w:rsid w:val="00752447"/>
    <w:rsid w:val="007539DF"/>
    <w:rsid w:val="0076453A"/>
    <w:rsid w:val="00777DE9"/>
    <w:rsid w:val="007800F1"/>
    <w:rsid w:val="00780A9E"/>
    <w:rsid w:val="007841E2"/>
    <w:rsid w:val="00785DFE"/>
    <w:rsid w:val="00790AFF"/>
    <w:rsid w:val="0079105C"/>
    <w:rsid w:val="00796F04"/>
    <w:rsid w:val="007A32E1"/>
    <w:rsid w:val="007A5D2E"/>
    <w:rsid w:val="007B385F"/>
    <w:rsid w:val="007C7A5B"/>
    <w:rsid w:val="007C7DED"/>
    <w:rsid w:val="007C7E44"/>
    <w:rsid w:val="007D4921"/>
    <w:rsid w:val="007E37D4"/>
    <w:rsid w:val="007E77A3"/>
    <w:rsid w:val="007F21BB"/>
    <w:rsid w:val="00800C45"/>
    <w:rsid w:val="008057AC"/>
    <w:rsid w:val="00806F28"/>
    <w:rsid w:val="00811430"/>
    <w:rsid w:val="00813393"/>
    <w:rsid w:val="00813FCC"/>
    <w:rsid w:val="0081526D"/>
    <w:rsid w:val="00821580"/>
    <w:rsid w:val="00822822"/>
    <w:rsid w:val="00823087"/>
    <w:rsid w:val="00823D5B"/>
    <w:rsid w:val="008244CF"/>
    <w:rsid w:val="00831107"/>
    <w:rsid w:val="0083142E"/>
    <w:rsid w:val="00831CE3"/>
    <w:rsid w:val="00837319"/>
    <w:rsid w:val="008403D6"/>
    <w:rsid w:val="00850812"/>
    <w:rsid w:val="008513EA"/>
    <w:rsid w:val="0085205F"/>
    <w:rsid w:val="00857D4A"/>
    <w:rsid w:val="0086439D"/>
    <w:rsid w:val="0087069D"/>
    <w:rsid w:val="00880EE3"/>
    <w:rsid w:val="0088780F"/>
    <w:rsid w:val="00897335"/>
    <w:rsid w:val="00897488"/>
    <w:rsid w:val="008A2090"/>
    <w:rsid w:val="008A4036"/>
    <w:rsid w:val="008A5981"/>
    <w:rsid w:val="008A7DB4"/>
    <w:rsid w:val="008B5D54"/>
    <w:rsid w:val="008B67C5"/>
    <w:rsid w:val="008B68A3"/>
    <w:rsid w:val="008B7CD8"/>
    <w:rsid w:val="008C04F7"/>
    <w:rsid w:val="008D0D60"/>
    <w:rsid w:val="008E5A91"/>
    <w:rsid w:val="008F17EF"/>
    <w:rsid w:val="008F2DA1"/>
    <w:rsid w:val="008F63D8"/>
    <w:rsid w:val="008F760F"/>
    <w:rsid w:val="00903AF6"/>
    <w:rsid w:val="00906138"/>
    <w:rsid w:val="00912477"/>
    <w:rsid w:val="00915389"/>
    <w:rsid w:val="00916459"/>
    <w:rsid w:val="00921CAA"/>
    <w:rsid w:val="00922EA7"/>
    <w:rsid w:val="00927033"/>
    <w:rsid w:val="00933FB1"/>
    <w:rsid w:val="0093787E"/>
    <w:rsid w:val="00951B66"/>
    <w:rsid w:val="009538ED"/>
    <w:rsid w:val="00960790"/>
    <w:rsid w:val="00960C22"/>
    <w:rsid w:val="009660EE"/>
    <w:rsid w:val="0097525C"/>
    <w:rsid w:val="009758D2"/>
    <w:rsid w:val="00975ACB"/>
    <w:rsid w:val="00980291"/>
    <w:rsid w:val="00980DE7"/>
    <w:rsid w:val="00981BA0"/>
    <w:rsid w:val="00982CD0"/>
    <w:rsid w:val="00984D4E"/>
    <w:rsid w:val="00986CF2"/>
    <w:rsid w:val="00991DCE"/>
    <w:rsid w:val="00993B8B"/>
    <w:rsid w:val="009A03B3"/>
    <w:rsid w:val="009D38A5"/>
    <w:rsid w:val="009D60D5"/>
    <w:rsid w:val="009E17A1"/>
    <w:rsid w:val="009F07C8"/>
    <w:rsid w:val="009F1A99"/>
    <w:rsid w:val="009F339B"/>
    <w:rsid w:val="009F578E"/>
    <w:rsid w:val="009F5C8C"/>
    <w:rsid w:val="009F67CF"/>
    <w:rsid w:val="00A025D6"/>
    <w:rsid w:val="00A02695"/>
    <w:rsid w:val="00A054D7"/>
    <w:rsid w:val="00A06989"/>
    <w:rsid w:val="00A15184"/>
    <w:rsid w:val="00A15734"/>
    <w:rsid w:val="00A20427"/>
    <w:rsid w:val="00A206C8"/>
    <w:rsid w:val="00A26EFD"/>
    <w:rsid w:val="00A424FC"/>
    <w:rsid w:val="00A439C1"/>
    <w:rsid w:val="00A47507"/>
    <w:rsid w:val="00A5353E"/>
    <w:rsid w:val="00A57A48"/>
    <w:rsid w:val="00A672FB"/>
    <w:rsid w:val="00A73133"/>
    <w:rsid w:val="00A873D5"/>
    <w:rsid w:val="00A90579"/>
    <w:rsid w:val="00A925E3"/>
    <w:rsid w:val="00A935AF"/>
    <w:rsid w:val="00A95801"/>
    <w:rsid w:val="00AA2E24"/>
    <w:rsid w:val="00AB29D6"/>
    <w:rsid w:val="00AB7C6B"/>
    <w:rsid w:val="00AC0715"/>
    <w:rsid w:val="00AD7C74"/>
    <w:rsid w:val="00AF178E"/>
    <w:rsid w:val="00AF30F1"/>
    <w:rsid w:val="00B008C6"/>
    <w:rsid w:val="00B04505"/>
    <w:rsid w:val="00B1072F"/>
    <w:rsid w:val="00B21ABD"/>
    <w:rsid w:val="00B22426"/>
    <w:rsid w:val="00B24977"/>
    <w:rsid w:val="00B25BBB"/>
    <w:rsid w:val="00B33F40"/>
    <w:rsid w:val="00B34646"/>
    <w:rsid w:val="00B361B7"/>
    <w:rsid w:val="00B365DC"/>
    <w:rsid w:val="00B3741B"/>
    <w:rsid w:val="00B441FD"/>
    <w:rsid w:val="00B44222"/>
    <w:rsid w:val="00B45FC8"/>
    <w:rsid w:val="00B46E7D"/>
    <w:rsid w:val="00B54833"/>
    <w:rsid w:val="00B55735"/>
    <w:rsid w:val="00B608AC"/>
    <w:rsid w:val="00B6766C"/>
    <w:rsid w:val="00B8556F"/>
    <w:rsid w:val="00B909FE"/>
    <w:rsid w:val="00B90F0B"/>
    <w:rsid w:val="00B9140C"/>
    <w:rsid w:val="00BA51F2"/>
    <w:rsid w:val="00BA7D37"/>
    <w:rsid w:val="00BC5116"/>
    <w:rsid w:val="00BD6C3C"/>
    <w:rsid w:val="00BE52A3"/>
    <w:rsid w:val="00BE6A9A"/>
    <w:rsid w:val="00BF306D"/>
    <w:rsid w:val="00BF5A5F"/>
    <w:rsid w:val="00BF75CF"/>
    <w:rsid w:val="00C11145"/>
    <w:rsid w:val="00C22B4D"/>
    <w:rsid w:val="00C25F04"/>
    <w:rsid w:val="00C37A9B"/>
    <w:rsid w:val="00C416B2"/>
    <w:rsid w:val="00C4333A"/>
    <w:rsid w:val="00C56B38"/>
    <w:rsid w:val="00C6054F"/>
    <w:rsid w:val="00CC1493"/>
    <w:rsid w:val="00CC3AC4"/>
    <w:rsid w:val="00CD0EB4"/>
    <w:rsid w:val="00CD2152"/>
    <w:rsid w:val="00CD3D03"/>
    <w:rsid w:val="00CE1BE2"/>
    <w:rsid w:val="00CE5A60"/>
    <w:rsid w:val="00CE6465"/>
    <w:rsid w:val="00CE67A1"/>
    <w:rsid w:val="00CF4418"/>
    <w:rsid w:val="00D11319"/>
    <w:rsid w:val="00D11D99"/>
    <w:rsid w:val="00D14585"/>
    <w:rsid w:val="00D15524"/>
    <w:rsid w:val="00D22A4F"/>
    <w:rsid w:val="00D25B6E"/>
    <w:rsid w:val="00D25D70"/>
    <w:rsid w:val="00D34465"/>
    <w:rsid w:val="00D362F9"/>
    <w:rsid w:val="00D4094B"/>
    <w:rsid w:val="00D42A1F"/>
    <w:rsid w:val="00D42D03"/>
    <w:rsid w:val="00D42DC6"/>
    <w:rsid w:val="00D50D54"/>
    <w:rsid w:val="00D56CD6"/>
    <w:rsid w:val="00D615BB"/>
    <w:rsid w:val="00D6385D"/>
    <w:rsid w:val="00D647F6"/>
    <w:rsid w:val="00D82A8D"/>
    <w:rsid w:val="00D878A5"/>
    <w:rsid w:val="00D90307"/>
    <w:rsid w:val="00D91C6B"/>
    <w:rsid w:val="00D937E4"/>
    <w:rsid w:val="00D96CAB"/>
    <w:rsid w:val="00DB3822"/>
    <w:rsid w:val="00DB56A1"/>
    <w:rsid w:val="00DC57CC"/>
    <w:rsid w:val="00DC7DB7"/>
    <w:rsid w:val="00DE3DA0"/>
    <w:rsid w:val="00DF11DC"/>
    <w:rsid w:val="00E049B6"/>
    <w:rsid w:val="00E065CC"/>
    <w:rsid w:val="00E0730F"/>
    <w:rsid w:val="00E225EE"/>
    <w:rsid w:val="00E25226"/>
    <w:rsid w:val="00E34F36"/>
    <w:rsid w:val="00E361EE"/>
    <w:rsid w:val="00E41489"/>
    <w:rsid w:val="00E43C46"/>
    <w:rsid w:val="00E446AD"/>
    <w:rsid w:val="00E511E2"/>
    <w:rsid w:val="00E52651"/>
    <w:rsid w:val="00E55806"/>
    <w:rsid w:val="00E61B42"/>
    <w:rsid w:val="00E62957"/>
    <w:rsid w:val="00E7224A"/>
    <w:rsid w:val="00E82B07"/>
    <w:rsid w:val="00E9041B"/>
    <w:rsid w:val="00E9588A"/>
    <w:rsid w:val="00EA28FD"/>
    <w:rsid w:val="00EA2C82"/>
    <w:rsid w:val="00EB057B"/>
    <w:rsid w:val="00EC6713"/>
    <w:rsid w:val="00ED1563"/>
    <w:rsid w:val="00ED60A4"/>
    <w:rsid w:val="00ED7A4C"/>
    <w:rsid w:val="00EE212A"/>
    <w:rsid w:val="00EE37C4"/>
    <w:rsid w:val="00EE433F"/>
    <w:rsid w:val="00EE6389"/>
    <w:rsid w:val="00EF2EAD"/>
    <w:rsid w:val="00EF4E76"/>
    <w:rsid w:val="00F01031"/>
    <w:rsid w:val="00F016A8"/>
    <w:rsid w:val="00F037EB"/>
    <w:rsid w:val="00F05B54"/>
    <w:rsid w:val="00F07141"/>
    <w:rsid w:val="00F07E32"/>
    <w:rsid w:val="00F170DA"/>
    <w:rsid w:val="00F20A71"/>
    <w:rsid w:val="00F23649"/>
    <w:rsid w:val="00F26669"/>
    <w:rsid w:val="00F31410"/>
    <w:rsid w:val="00F336F8"/>
    <w:rsid w:val="00F34DCB"/>
    <w:rsid w:val="00F358AD"/>
    <w:rsid w:val="00F35F34"/>
    <w:rsid w:val="00F3710C"/>
    <w:rsid w:val="00F57989"/>
    <w:rsid w:val="00F67DC7"/>
    <w:rsid w:val="00F73341"/>
    <w:rsid w:val="00F802B5"/>
    <w:rsid w:val="00F810D5"/>
    <w:rsid w:val="00F82912"/>
    <w:rsid w:val="00F83BE1"/>
    <w:rsid w:val="00F83CE0"/>
    <w:rsid w:val="00F915D7"/>
    <w:rsid w:val="00FB14CE"/>
    <w:rsid w:val="00FC01FC"/>
    <w:rsid w:val="00FC29C3"/>
    <w:rsid w:val="00FD44A6"/>
    <w:rsid w:val="00FD5E1A"/>
    <w:rsid w:val="00FD6A32"/>
    <w:rsid w:val="00FE5DB7"/>
    <w:rsid w:val="00FF0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A564C"/>
  <w15:chartTrackingRefBased/>
  <w15:docId w15:val="{7AC26112-9BAE-4B0B-84C4-4A144F2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07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62"/>
    <w:rPr>
      <w:rFonts w:ascii="Segoe UI" w:hAnsi="Segoe UI" w:cs="Segoe UI"/>
      <w:sz w:val="18"/>
      <w:szCs w:val="18"/>
    </w:rPr>
  </w:style>
  <w:style w:type="character" w:styleId="CommentReference">
    <w:name w:val="annotation reference"/>
    <w:basedOn w:val="DefaultParagraphFont"/>
    <w:semiHidden/>
    <w:unhideWhenUsed/>
    <w:rsid w:val="0043118B"/>
    <w:rPr>
      <w:sz w:val="16"/>
      <w:szCs w:val="16"/>
    </w:rPr>
  </w:style>
  <w:style w:type="paragraph" w:styleId="CommentText">
    <w:name w:val="annotation text"/>
    <w:basedOn w:val="Normal"/>
    <w:link w:val="CommentTextChar"/>
    <w:uiPriority w:val="99"/>
    <w:semiHidden/>
    <w:unhideWhenUsed/>
    <w:rsid w:val="0043118B"/>
    <w:pPr>
      <w:spacing w:line="240" w:lineRule="auto"/>
    </w:pPr>
    <w:rPr>
      <w:sz w:val="20"/>
      <w:szCs w:val="20"/>
    </w:rPr>
  </w:style>
  <w:style w:type="character" w:customStyle="1" w:styleId="CommentTextChar">
    <w:name w:val="Comment Text Char"/>
    <w:basedOn w:val="DefaultParagraphFont"/>
    <w:link w:val="CommentText"/>
    <w:uiPriority w:val="99"/>
    <w:semiHidden/>
    <w:rsid w:val="0043118B"/>
    <w:rPr>
      <w:sz w:val="20"/>
      <w:szCs w:val="20"/>
    </w:rPr>
  </w:style>
  <w:style w:type="paragraph" w:styleId="CommentSubject">
    <w:name w:val="annotation subject"/>
    <w:basedOn w:val="CommentText"/>
    <w:next w:val="CommentText"/>
    <w:link w:val="CommentSubjectChar"/>
    <w:uiPriority w:val="99"/>
    <w:semiHidden/>
    <w:unhideWhenUsed/>
    <w:rsid w:val="00BA7D37"/>
    <w:rPr>
      <w:b/>
      <w:bCs/>
    </w:rPr>
  </w:style>
  <w:style w:type="character" w:customStyle="1" w:styleId="CommentSubjectChar">
    <w:name w:val="Comment Subject Char"/>
    <w:basedOn w:val="CommentTextChar"/>
    <w:link w:val="CommentSubject"/>
    <w:uiPriority w:val="99"/>
    <w:semiHidden/>
    <w:rsid w:val="00BA7D37"/>
    <w:rPr>
      <w:b/>
      <w:bCs/>
      <w:sz w:val="20"/>
      <w:szCs w:val="20"/>
    </w:rPr>
  </w:style>
  <w:style w:type="character" w:styleId="Hyperlink">
    <w:name w:val="Hyperlink"/>
    <w:basedOn w:val="DefaultParagraphFont"/>
    <w:uiPriority w:val="99"/>
    <w:unhideWhenUsed/>
    <w:rsid w:val="00340EE8"/>
    <w:rPr>
      <w:color w:val="0000FF" w:themeColor="hyperlink"/>
      <w:u w:val="single"/>
    </w:rPr>
  </w:style>
  <w:style w:type="paragraph" w:customStyle="1" w:styleId="CM1">
    <w:name w:val="CM1"/>
    <w:basedOn w:val="Normal"/>
    <w:next w:val="Normal"/>
    <w:uiPriority w:val="99"/>
    <w:rsid w:val="00340EE8"/>
    <w:pPr>
      <w:autoSpaceDE w:val="0"/>
      <w:autoSpaceDN w:val="0"/>
      <w:adjustRightInd w:val="0"/>
      <w:spacing w:after="0" w:line="240" w:lineRule="auto"/>
    </w:pPr>
    <w:rPr>
      <w:rFonts w:ascii="FLNBK G+ Adv T T 7169e 447" w:eastAsiaTheme="minorEastAsia" w:hAnsi="FLNBK G+ Adv T T 7169e 447"/>
      <w:sz w:val="24"/>
      <w:szCs w:val="24"/>
    </w:rPr>
  </w:style>
  <w:style w:type="character" w:styleId="FollowedHyperlink">
    <w:name w:val="FollowedHyperlink"/>
    <w:basedOn w:val="DefaultParagraphFont"/>
    <w:uiPriority w:val="99"/>
    <w:semiHidden/>
    <w:unhideWhenUsed/>
    <w:rsid w:val="00340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7638">
      <w:bodyDiv w:val="1"/>
      <w:marLeft w:val="0"/>
      <w:marRight w:val="0"/>
      <w:marTop w:val="0"/>
      <w:marBottom w:val="0"/>
      <w:divBdr>
        <w:top w:val="none" w:sz="0" w:space="0" w:color="auto"/>
        <w:left w:val="none" w:sz="0" w:space="0" w:color="auto"/>
        <w:bottom w:val="none" w:sz="0" w:space="0" w:color="auto"/>
        <w:right w:val="none" w:sz="0" w:space="0" w:color="auto"/>
      </w:divBdr>
      <w:divsChild>
        <w:div w:id="1522357958">
          <w:marLeft w:val="0"/>
          <w:marRight w:val="0"/>
          <w:marTop w:val="0"/>
          <w:marBottom w:val="0"/>
          <w:divBdr>
            <w:top w:val="single" w:sz="36" w:space="0" w:color="075290"/>
            <w:left w:val="none" w:sz="0" w:space="0" w:color="auto"/>
            <w:bottom w:val="none" w:sz="0" w:space="0" w:color="auto"/>
            <w:right w:val="none" w:sz="0" w:space="0" w:color="auto"/>
          </w:divBdr>
          <w:divsChild>
            <w:div w:id="1122305127">
              <w:marLeft w:val="0"/>
              <w:marRight w:val="0"/>
              <w:marTop w:val="0"/>
              <w:marBottom w:val="0"/>
              <w:divBdr>
                <w:top w:val="none" w:sz="0" w:space="0" w:color="auto"/>
                <w:left w:val="none" w:sz="0" w:space="0" w:color="auto"/>
                <w:bottom w:val="none" w:sz="0" w:space="0" w:color="auto"/>
                <w:right w:val="none" w:sz="0" w:space="0" w:color="auto"/>
              </w:divBdr>
              <w:divsChild>
                <w:div w:id="894969276">
                  <w:marLeft w:val="0"/>
                  <w:marRight w:val="0"/>
                  <w:marTop w:val="150"/>
                  <w:marBottom w:val="0"/>
                  <w:divBdr>
                    <w:top w:val="none" w:sz="0" w:space="0" w:color="auto"/>
                    <w:left w:val="none" w:sz="0" w:space="0" w:color="auto"/>
                    <w:bottom w:val="none" w:sz="0" w:space="0" w:color="auto"/>
                    <w:right w:val="none" w:sz="0" w:space="0" w:color="auto"/>
                  </w:divBdr>
                  <w:divsChild>
                    <w:div w:id="771509728">
                      <w:marLeft w:val="-150"/>
                      <w:marRight w:val="0"/>
                      <w:marTop w:val="0"/>
                      <w:marBottom w:val="0"/>
                      <w:divBdr>
                        <w:top w:val="none" w:sz="0" w:space="0" w:color="auto"/>
                        <w:left w:val="none" w:sz="0" w:space="0" w:color="auto"/>
                        <w:bottom w:val="none" w:sz="0" w:space="0" w:color="auto"/>
                        <w:right w:val="none" w:sz="0" w:space="0" w:color="auto"/>
                      </w:divBdr>
                      <w:divsChild>
                        <w:div w:id="1971202746">
                          <w:marLeft w:val="0"/>
                          <w:marRight w:val="0"/>
                          <w:marTop w:val="0"/>
                          <w:marBottom w:val="0"/>
                          <w:divBdr>
                            <w:top w:val="none" w:sz="0" w:space="0" w:color="auto"/>
                            <w:left w:val="none" w:sz="0" w:space="0" w:color="auto"/>
                            <w:bottom w:val="none" w:sz="0" w:space="0" w:color="auto"/>
                            <w:right w:val="none" w:sz="0" w:space="0" w:color="auto"/>
                          </w:divBdr>
                          <w:divsChild>
                            <w:div w:id="250432867">
                              <w:marLeft w:val="0"/>
                              <w:marRight w:val="0"/>
                              <w:marTop w:val="0"/>
                              <w:marBottom w:val="0"/>
                              <w:divBdr>
                                <w:top w:val="none" w:sz="0" w:space="0" w:color="auto"/>
                                <w:left w:val="none" w:sz="0" w:space="0" w:color="auto"/>
                                <w:bottom w:val="none" w:sz="0" w:space="0" w:color="auto"/>
                                <w:right w:val="none" w:sz="0" w:space="0" w:color="auto"/>
                              </w:divBdr>
                              <w:divsChild>
                                <w:div w:id="811873884">
                                  <w:marLeft w:val="0"/>
                                  <w:marRight w:val="0"/>
                                  <w:marTop w:val="0"/>
                                  <w:marBottom w:val="0"/>
                                  <w:divBdr>
                                    <w:top w:val="none" w:sz="0" w:space="0" w:color="auto"/>
                                    <w:left w:val="none" w:sz="0" w:space="0" w:color="auto"/>
                                    <w:bottom w:val="none" w:sz="0" w:space="0" w:color="auto"/>
                                    <w:right w:val="none" w:sz="0" w:space="0" w:color="auto"/>
                                  </w:divBdr>
                                  <w:divsChild>
                                    <w:div w:id="1265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3D49-24CD-41CA-84EF-A1F4CCD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Alissa (CDC/OID/NCIRD) (CTR)</dc:creator>
  <cp:keywords/>
  <dc:description/>
  <cp:lastModifiedBy>Hung, Mei-Chuan (CDC/DDID/NCIRD/ISD) (CTR)</cp:lastModifiedBy>
  <cp:revision>9</cp:revision>
  <cp:lastPrinted>2019-02-13T15:48:00Z</cp:lastPrinted>
  <dcterms:created xsi:type="dcterms:W3CDTF">2019-03-19T16:44:00Z</dcterms:created>
  <dcterms:modified xsi:type="dcterms:W3CDTF">2019-03-19T18:43:00Z</dcterms:modified>
</cp:coreProperties>
</file>