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sdt>
      <w:sdtPr>
        <w:rPr>
          <w:color w:val="auto"/>
          <w:sz w:val="22"/>
          <w:szCs w:val="22"/>
        </w:rPr>
        <w:id w:val="-1420622821"/>
        <w:docPartObj>
          <w:docPartGallery w:val="Cover Pages"/>
          <w:docPartUnique/>
        </w:docPartObj>
      </w:sdtPr>
      <w:sdtEndPr/>
      <w:sdtContent>
        <w:p w14:paraId="3A830CB2" w14:textId="5AA4C07C" w:rsidR="0044123E" w:rsidRPr="004B0CBF" w:rsidRDefault="0044123E" w:rsidP="00784578">
          <w:pPr>
            <w:pStyle w:val="Heading1"/>
          </w:pPr>
          <w:r w:rsidRPr="00784578">
            <w:rPr>
              <w:rStyle w:val="Heading1Char"/>
            </w:rPr>
            <w:t>CDC’s Division of STD Prevention</w:t>
          </w:r>
          <w:r w:rsidR="003F17B0" w:rsidRPr="004B0CBF">
            <w:br/>
          </w:r>
          <w:r w:rsidR="003F17B0" w:rsidRPr="00784578">
            <w:rPr>
              <w:sz w:val="32"/>
              <w:szCs w:val="32"/>
            </w:rPr>
            <w:t xml:space="preserve">Ceftriaxone-Resistant Gonorrhea Outbreak </w:t>
          </w:r>
          <w:r w:rsidR="00784578" w:rsidRPr="00784578">
            <w:rPr>
              <w:sz w:val="32"/>
              <w:szCs w:val="32"/>
            </w:rPr>
            <w:t>R</w:t>
          </w:r>
          <w:r w:rsidR="003F17B0" w:rsidRPr="00784578">
            <w:rPr>
              <w:sz w:val="32"/>
              <w:szCs w:val="32"/>
            </w:rPr>
            <w:t>esponse Plan Guide</w:t>
          </w:r>
        </w:p>
        <w:p w14:paraId="65BADBB6" w14:textId="77777777" w:rsidR="002331EE" w:rsidRDefault="002331EE" w:rsidP="00274AB5"/>
        <w:p w14:paraId="2661D791" w14:textId="77777777" w:rsidR="002331EE" w:rsidRDefault="002331EE" w:rsidP="00274AB5"/>
        <w:p w14:paraId="5AEB4989" w14:textId="77777777" w:rsidR="002331EE" w:rsidRDefault="002331EE" w:rsidP="00274AB5"/>
        <w:p w14:paraId="7CA739AC" w14:textId="77777777" w:rsidR="002331EE" w:rsidRDefault="002331EE" w:rsidP="00274AB5"/>
        <w:p w14:paraId="14414947" w14:textId="77777777" w:rsidR="002331EE" w:rsidRDefault="002331EE" w:rsidP="00274AB5"/>
        <w:p w14:paraId="7BB42873" w14:textId="3B2DDCB5" w:rsidR="002331EE" w:rsidRDefault="002331EE" w:rsidP="00274AB5"/>
        <w:p w14:paraId="6978D5C8" w14:textId="5BAE452D" w:rsidR="00942EEB" w:rsidRDefault="00942EEB" w:rsidP="00274AB5"/>
        <w:p w14:paraId="290A9380" w14:textId="15C9641A" w:rsidR="00942EEB" w:rsidRDefault="00942EEB" w:rsidP="00274AB5"/>
        <w:p w14:paraId="6A1201AD" w14:textId="4FD72795" w:rsidR="00942EEB" w:rsidRDefault="00942EEB" w:rsidP="00274AB5"/>
        <w:p w14:paraId="0C1661E3" w14:textId="77777777" w:rsidR="00942EEB" w:rsidRDefault="00942EEB" w:rsidP="00274AB5"/>
        <w:p w14:paraId="6AAC3435" w14:textId="77777777" w:rsidR="002331EE" w:rsidRDefault="002331EE" w:rsidP="00274AB5"/>
        <w:p w14:paraId="4A52433C" w14:textId="4980BBAA" w:rsidR="00173EB9" w:rsidRDefault="0059631D" w:rsidP="002331EE">
          <w:pPr>
            <w:jc w:val="center"/>
          </w:pPr>
          <w:r w:rsidRPr="00784578">
            <w:rPr>
              <w:b/>
              <w:bCs/>
              <w:sz w:val="28"/>
              <w:szCs w:val="28"/>
            </w:rPr>
            <w:t>March, 2021</w:t>
          </w:r>
          <w:r w:rsidR="00173EB9">
            <w:br w:type="page"/>
          </w:r>
        </w:p>
      </w:sdtContent>
    </w:sdt>
    <w:p w14:paraId="50EA43C4" w14:textId="77777777" w:rsidR="00FC70C6" w:rsidRPr="00182692" w:rsidRDefault="001A754E" w:rsidP="00182692">
      <w:pPr>
        <w:pStyle w:val="Heading1"/>
        <w:spacing w:before="240" w:after="280" w:line="240" w:lineRule="auto"/>
        <w:jc w:val="center"/>
        <w:rPr>
          <w:b/>
          <w:bCs/>
          <w:color w:val="256169"/>
          <w:sz w:val="52"/>
          <w:szCs w:val="52"/>
        </w:rPr>
      </w:pPr>
      <w:r w:rsidRPr="00182692">
        <w:rPr>
          <w:b/>
          <w:bCs/>
          <w:color w:val="256169"/>
          <w:sz w:val="52"/>
          <w:szCs w:val="52"/>
        </w:rPr>
        <w:lastRenderedPageBreak/>
        <w:t>Ceftriaxone-</w:t>
      </w:r>
      <w:r w:rsidR="001C388C" w:rsidRPr="00182692">
        <w:rPr>
          <w:b/>
          <w:bCs/>
          <w:color w:val="256169"/>
          <w:sz w:val="52"/>
          <w:szCs w:val="52"/>
        </w:rPr>
        <w:t xml:space="preserve">Resistant Gonorrhea </w:t>
      </w:r>
      <w:r w:rsidR="00395C10" w:rsidRPr="00182692">
        <w:rPr>
          <w:b/>
          <w:bCs/>
          <w:color w:val="256169"/>
          <w:sz w:val="52"/>
          <w:szCs w:val="52"/>
        </w:rPr>
        <w:t xml:space="preserve">Outbreak Response Plan </w:t>
      </w:r>
      <w:r w:rsidR="00AC02D3" w:rsidRPr="00182692">
        <w:rPr>
          <w:b/>
          <w:bCs/>
          <w:color w:val="256169"/>
          <w:sz w:val="52"/>
          <w:szCs w:val="52"/>
        </w:rPr>
        <w:t>Guide</w:t>
      </w:r>
    </w:p>
    <w:p w14:paraId="20780E81" w14:textId="0065279D" w:rsidR="0059631D" w:rsidRPr="00182692" w:rsidRDefault="0059631D" w:rsidP="00182692">
      <w:r w:rsidRPr="00182692">
        <w:t xml:space="preserve">This document was prepared by Alison Ridpath, Karen Schlanger, Robert Kirkcaldy, and Cau Pham </w:t>
      </w:r>
    </w:p>
    <w:p w14:paraId="517F985E" w14:textId="2EBD9AD2" w:rsidR="0059631D" w:rsidRDefault="0059631D" w:rsidP="00274AB5">
      <w:r w:rsidRPr="0059631D">
        <w:t xml:space="preserve">Division of STD Prevention </w:t>
      </w:r>
      <w:r w:rsidR="005F1F98">
        <w:br/>
      </w:r>
      <w:r w:rsidRPr="0059631D">
        <w:t xml:space="preserve">National Center for HIV/AIDS, Viral Hepatitis, STD, and TB Prevention </w:t>
      </w:r>
      <w:r w:rsidR="005F1F98">
        <w:br/>
      </w:r>
      <w:r w:rsidRPr="0059631D">
        <w:t>Centers for Disease Control and Prevention</w:t>
      </w:r>
    </w:p>
    <w:p w14:paraId="592F4E35" w14:textId="4B2BCC83" w:rsidR="0059631D" w:rsidRPr="005F1F98" w:rsidRDefault="0059631D" w:rsidP="00274AB5">
      <w:r w:rsidRPr="005F1F98">
        <w:t>Suggested citation:  Centers for Disease Control and Prevention. Ceftriaxone-Resistant Gonorrhea Outbreak Response Plan Guide.  Atlanta, GA: US Department of Health and Human Services, CDC; 2021.  Accessed X, 2021, ADD LINK</w:t>
      </w:r>
    </w:p>
    <w:p w14:paraId="70E54DB7" w14:textId="09A666E4" w:rsidR="004B17CC" w:rsidRPr="00DF08A2" w:rsidRDefault="00395C10" w:rsidP="00274AB5">
      <w:pPr>
        <w:pStyle w:val="Heading2"/>
      </w:pPr>
      <w:r w:rsidRPr="00DF08A2">
        <w:t>Purpose and scope of this document</w:t>
      </w:r>
    </w:p>
    <w:p w14:paraId="48BAF9CD" w14:textId="1348F4D5" w:rsidR="00E478F3" w:rsidRPr="00274AB5" w:rsidRDefault="00E478F3" w:rsidP="00274AB5">
      <w:r w:rsidRPr="00274AB5">
        <w:t xml:space="preserve">The purpose of this document is to provide guidance to jurisdictions as they develop a Sexually Transmitted Disease Outbreak Response plan specific to a ceftriaxone-resistant gonorrhea outbreak. This document is intended to be used in conjunction with CDC’s Division of STD Prevention’s Sexually Transmitted Disease Outbreak Response Plan Guide. Whereas the Outbreak Response Plan Guide provides overarching guidance and considerations for developing an STD outbreak response plan, this document focuses on guidance and considerations unique to ceftriaxone-resistant gonorrhea outbreaks. This guidance is not meant to be prescriptive, but rather is meant to (1) highlight content areas and considerations that jurisdictions might choose to address in local plans and (2) spur discussions within health departments as response plans are bring crafted.  </w:t>
      </w:r>
    </w:p>
    <w:p w14:paraId="5D4ECA17" w14:textId="739ED489" w:rsidR="00DA4DBC" w:rsidRDefault="00E478F3" w:rsidP="00274AB5">
      <w:r w:rsidRPr="00E478F3">
        <w:t>This document includes guidance on objectives and scope of a ceftriaxone-resistant gonorrhea outbreak response plan, including approaches to enhance identification of an outbreak and public health response activities to consider in the setting of the local identification of one or more cases.</w:t>
      </w:r>
      <w:r w:rsidR="00DA4DBC">
        <w:br w:type="page"/>
      </w:r>
    </w:p>
    <w:p w14:paraId="6D32C504" w14:textId="77777777" w:rsidR="00D5699F" w:rsidRDefault="00D5699F" w:rsidP="00062EAD">
      <w:pPr>
        <w:pStyle w:val="Heading2"/>
        <w:spacing w:line="240" w:lineRule="auto"/>
      </w:pPr>
      <w:r>
        <w:lastRenderedPageBreak/>
        <w:t xml:space="preserve">Outline for </w:t>
      </w:r>
      <w:r w:rsidR="001A754E">
        <w:t xml:space="preserve">Ceftriaxone-Resistant Gonorrhea </w:t>
      </w:r>
      <w:r>
        <w:t>Outbreak Response Plan</w:t>
      </w:r>
    </w:p>
    <w:p w14:paraId="4FBD16F3" w14:textId="77777777" w:rsidR="00562951" w:rsidRDefault="00562951" w:rsidP="008305BE">
      <w:pPr>
        <w:pStyle w:val="ListParagraph"/>
        <w:numPr>
          <w:ilvl w:val="0"/>
          <w:numId w:val="19"/>
        </w:numPr>
        <w:spacing w:line="360" w:lineRule="auto"/>
      </w:pPr>
      <w:r>
        <w:t>Objectives</w:t>
      </w:r>
    </w:p>
    <w:p w14:paraId="649C9ECC" w14:textId="11E5E16D" w:rsidR="0068196F" w:rsidRDefault="0068196F" w:rsidP="008305BE">
      <w:pPr>
        <w:pStyle w:val="ListParagraph"/>
        <w:numPr>
          <w:ilvl w:val="0"/>
          <w:numId w:val="19"/>
        </w:numPr>
        <w:spacing w:line="360" w:lineRule="auto"/>
      </w:pPr>
      <w:r>
        <w:t xml:space="preserve">Outbreak </w:t>
      </w:r>
      <w:r w:rsidR="00182692">
        <w:t>p</w:t>
      </w:r>
      <w:r>
        <w:t>reparedness</w:t>
      </w:r>
    </w:p>
    <w:p w14:paraId="2D31B3EC" w14:textId="77777777" w:rsidR="00562951" w:rsidRPr="00DF51E3" w:rsidRDefault="00562951" w:rsidP="008305BE">
      <w:pPr>
        <w:pStyle w:val="ListParagraph"/>
        <w:numPr>
          <w:ilvl w:val="1"/>
          <w:numId w:val="19"/>
        </w:numPr>
        <w:spacing w:line="360" w:lineRule="auto"/>
      </w:pPr>
      <w:r>
        <w:t>Activation of outbreak response plan</w:t>
      </w:r>
    </w:p>
    <w:p w14:paraId="3BC6E022" w14:textId="77777777" w:rsidR="00B55408" w:rsidRDefault="00B55408" w:rsidP="008305BE">
      <w:pPr>
        <w:pStyle w:val="ListParagraph"/>
        <w:numPr>
          <w:ilvl w:val="2"/>
          <w:numId w:val="19"/>
        </w:numPr>
        <w:spacing w:line="360" w:lineRule="auto"/>
      </w:pPr>
      <w:r w:rsidRPr="00DF51E3">
        <w:t>Considerations for enhancing local surveillance for ceftriaxone-resistant gonorrhea</w:t>
      </w:r>
    </w:p>
    <w:p w14:paraId="295D8062" w14:textId="278CD63C" w:rsidR="00B7225E" w:rsidRDefault="00B7225E" w:rsidP="008305BE">
      <w:pPr>
        <w:pStyle w:val="ListParagraph"/>
        <w:numPr>
          <w:ilvl w:val="2"/>
          <w:numId w:val="19"/>
        </w:numPr>
        <w:spacing w:line="360" w:lineRule="auto"/>
      </w:pPr>
      <w:r>
        <w:t>Working case definition</w:t>
      </w:r>
    </w:p>
    <w:p w14:paraId="7FF253EC" w14:textId="77777777" w:rsidR="00B7225E" w:rsidRDefault="00B7225E" w:rsidP="008305BE">
      <w:pPr>
        <w:pStyle w:val="ListParagraph"/>
        <w:numPr>
          <w:ilvl w:val="1"/>
          <w:numId w:val="19"/>
        </w:numPr>
        <w:spacing w:line="360" w:lineRule="auto"/>
      </w:pPr>
      <w:r>
        <w:t>Roles and responsibilities</w:t>
      </w:r>
    </w:p>
    <w:p w14:paraId="0E8A7162" w14:textId="77777777" w:rsidR="00B7225E" w:rsidRDefault="00B7225E" w:rsidP="008305BE">
      <w:pPr>
        <w:pStyle w:val="ListParagraph"/>
        <w:numPr>
          <w:ilvl w:val="1"/>
          <w:numId w:val="19"/>
        </w:numPr>
        <w:spacing w:line="360" w:lineRule="auto"/>
      </w:pPr>
      <w:r>
        <w:t>Additional staffing and resource capacity</w:t>
      </w:r>
    </w:p>
    <w:p w14:paraId="702C7EC3" w14:textId="77777777" w:rsidR="00B7225E" w:rsidRDefault="00B7225E" w:rsidP="008305BE">
      <w:pPr>
        <w:pStyle w:val="ListParagraph"/>
        <w:numPr>
          <w:ilvl w:val="1"/>
          <w:numId w:val="19"/>
        </w:numPr>
        <w:spacing w:line="360" w:lineRule="auto"/>
      </w:pPr>
      <w:r>
        <w:t>Data security</w:t>
      </w:r>
    </w:p>
    <w:p w14:paraId="7607E796" w14:textId="77777777" w:rsidR="00B7225E" w:rsidRDefault="00B7225E" w:rsidP="008305BE">
      <w:pPr>
        <w:pStyle w:val="ListParagraph"/>
        <w:numPr>
          <w:ilvl w:val="1"/>
          <w:numId w:val="19"/>
        </w:numPr>
        <w:spacing w:line="360" w:lineRule="auto"/>
      </w:pPr>
      <w:r>
        <w:t xml:space="preserve">Communication plan </w:t>
      </w:r>
    </w:p>
    <w:p w14:paraId="284C634C" w14:textId="1925A633" w:rsidR="00B7225E" w:rsidRDefault="00B7225E" w:rsidP="008305BE">
      <w:pPr>
        <w:pStyle w:val="ListParagraph"/>
        <w:numPr>
          <w:ilvl w:val="1"/>
          <w:numId w:val="19"/>
        </w:numPr>
        <w:spacing w:line="360" w:lineRule="auto"/>
      </w:pPr>
      <w:r>
        <w:t>Identify partnerships</w:t>
      </w:r>
      <w:r w:rsidR="00F310D3">
        <w:t xml:space="preserve"> and collaborations</w:t>
      </w:r>
    </w:p>
    <w:p w14:paraId="6CC9CBD7" w14:textId="77777777" w:rsidR="00562951" w:rsidRDefault="00562951" w:rsidP="008305BE">
      <w:pPr>
        <w:pStyle w:val="ListParagraph"/>
        <w:numPr>
          <w:ilvl w:val="0"/>
          <w:numId w:val="19"/>
        </w:numPr>
        <w:spacing w:line="360" w:lineRule="auto"/>
      </w:pPr>
      <w:r>
        <w:t>Considerations for managing a response</w:t>
      </w:r>
    </w:p>
    <w:p w14:paraId="0196D759" w14:textId="77777777" w:rsidR="00B866BC" w:rsidRDefault="00B866BC" w:rsidP="008305BE">
      <w:pPr>
        <w:pStyle w:val="ListParagraph"/>
        <w:numPr>
          <w:ilvl w:val="1"/>
          <w:numId w:val="19"/>
        </w:numPr>
        <w:spacing w:line="360" w:lineRule="auto"/>
      </w:pPr>
      <w:r>
        <w:t>Management structure and staffing mix</w:t>
      </w:r>
    </w:p>
    <w:p w14:paraId="12D0343F" w14:textId="77777777" w:rsidR="00B866BC" w:rsidRDefault="00B866BC" w:rsidP="008305BE">
      <w:pPr>
        <w:pStyle w:val="ListParagraph"/>
        <w:numPr>
          <w:ilvl w:val="1"/>
          <w:numId w:val="19"/>
        </w:numPr>
        <w:spacing w:line="360" w:lineRule="auto"/>
      </w:pPr>
      <w:r>
        <w:t>Informing, coordinating, and engaging with partners</w:t>
      </w:r>
    </w:p>
    <w:p w14:paraId="5871103B" w14:textId="77777777" w:rsidR="00B866BC" w:rsidRDefault="00B866BC" w:rsidP="008305BE">
      <w:pPr>
        <w:pStyle w:val="ListParagraph"/>
        <w:numPr>
          <w:ilvl w:val="1"/>
          <w:numId w:val="19"/>
        </w:numPr>
        <w:spacing w:line="360" w:lineRule="auto"/>
      </w:pPr>
      <w:r>
        <w:t>Prioritization of disease</w:t>
      </w:r>
    </w:p>
    <w:p w14:paraId="63F50B37" w14:textId="6AEDD1A5" w:rsidR="00B866BC" w:rsidRDefault="00B866BC" w:rsidP="008305BE">
      <w:pPr>
        <w:pStyle w:val="ListParagraph"/>
        <w:numPr>
          <w:ilvl w:val="0"/>
          <w:numId w:val="19"/>
        </w:numPr>
        <w:spacing w:line="360" w:lineRule="auto"/>
      </w:pPr>
      <w:r>
        <w:t xml:space="preserve">Outbreak </w:t>
      </w:r>
      <w:r w:rsidR="00182692">
        <w:t>i</w:t>
      </w:r>
      <w:r>
        <w:t>nvestigation and response</w:t>
      </w:r>
    </w:p>
    <w:p w14:paraId="33BE474F" w14:textId="77777777" w:rsidR="00B866BC" w:rsidRDefault="00B866BC" w:rsidP="008305BE">
      <w:pPr>
        <w:pStyle w:val="ListParagraph"/>
        <w:numPr>
          <w:ilvl w:val="1"/>
          <w:numId w:val="19"/>
        </w:numPr>
        <w:spacing w:line="360" w:lineRule="auto"/>
      </w:pPr>
      <w:r>
        <w:t>Determine the existence of an outbreak</w:t>
      </w:r>
    </w:p>
    <w:p w14:paraId="25C27AA4" w14:textId="77777777" w:rsidR="00B866BC" w:rsidRDefault="00B866BC" w:rsidP="008305BE">
      <w:pPr>
        <w:pStyle w:val="ListParagraph"/>
        <w:numPr>
          <w:ilvl w:val="1"/>
          <w:numId w:val="19"/>
        </w:numPr>
        <w:spacing w:line="360" w:lineRule="auto"/>
      </w:pPr>
      <w:r>
        <w:t>Verify the diagnoses</w:t>
      </w:r>
    </w:p>
    <w:p w14:paraId="30E7B05C" w14:textId="77777777" w:rsidR="00B866BC" w:rsidRDefault="00B866BC" w:rsidP="008305BE">
      <w:pPr>
        <w:pStyle w:val="ListParagraph"/>
        <w:numPr>
          <w:ilvl w:val="1"/>
          <w:numId w:val="19"/>
        </w:numPr>
        <w:spacing w:line="360" w:lineRule="auto"/>
      </w:pPr>
      <w:r>
        <w:t>Establish a case definition and find cases</w:t>
      </w:r>
    </w:p>
    <w:p w14:paraId="4365778A" w14:textId="77777777" w:rsidR="00B866BC" w:rsidRDefault="00B866BC" w:rsidP="008305BE">
      <w:pPr>
        <w:pStyle w:val="ListParagraph"/>
        <w:numPr>
          <w:ilvl w:val="1"/>
          <w:numId w:val="19"/>
        </w:numPr>
        <w:spacing w:line="360" w:lineRule="auto"/>
      </w:pPr>
      <w:r>
        <w:t>Describe the data in terms of person, place, and time</w:t>
      </w:r>
    </w:p>
    <w:p w14:paraId="26A7B2DD" w14:textId="77777777" w:rsidR="00B866BC" w:rsidRDefault="00B866BC" w:rsidP="008305BE">
      <w:pPr>
        <w:pStyle w:val="ListParagraph"/>
        <w:numPr>
          <w:ilvl w:val="1"/>
          <w:numId w:val="19"/>
        </w:numPr>
        <w:spacing w:line="360" w:lineRule="auto"/>
      </w:pPr>
      <w:r>
        <w:t>Determine who is at risk of becoming ill</w:t>
      </w:r>
    </w:p>
    <w:p w14:paraId="41EA36DE" w14:textId="04918197" w:rsidR="00B866BC" w:rsidRDefault="00B866BC" w:rsidP="008305BE">
      <w:pPr>
        <w:pStyle w:val="ListParagraph"/>
        <w:numPr>
          <w:ilvl w:val="1"/>
          <w:numId w:val="19"/>
        </w:numPr>
        <w:spacing w:line="360" w:lineRule="auto"/>
      </w:pPr>
      <w:r>
        <w:t xml:space="preserve">Data </w:t>
      </w:r>
      <w:r w:rsidR="003D116D">
        <w:t>a</w:t>
      </w:r>
      <w:r>
        <w:t xml:space="preserve">nalysis and </w:t>
      </w:r>
      <w:r w:rsidR="003D116D">
        <w:t>s</w:t>
      </w:r>
      <w:r>
        <w:t xml:space="preserve">tudy </w:t>
      </w:r>
      <w:r w:rsidR="003D116D">
        <w:t>d</w:t>
      </w:r>
      <w:r>
        <w:t xml:space="preserve">esign </w:t>
      </w:r>
    </w:p>
    <w:p w14:paraId="5147CAA6" w14:textId="77777777" w:rsidR="00B866BC" w:rsidRDefault="00B866BC" w:rsidP="008305BE">
      <w:pPr>
        <w:pStyle w:val="ListParagraph"/>
        <w:numPr>
          <w:ilvl w:val="1"/>
          <w:numId w:val="19"/>
        </w:numPr>
        <w:spacing w:line="360" w:lineRule="auto"/>
      </w:pPr>
      <w:r>
        <w:t>Implement prevention and control measures</w:t>
      </w:r>
    </w:p>
    <w:p w14:paraId="7C5FAC3B" w14:textId="77777777" w:rsidR="00562951" w:rsidRDefault="00562951" w:rsidP="008305BE">
      <w:pPr>
        <w:pStyle w:val="ListParagraph"/>
        <w:numPr>
          <w:ilvl w:val="0"/>
          <w:numId w:val="19"/>
        </w:numPr>
        <w:spacing w:line="360" w:lineRule="auto"/>
      </w:pPr>
      <w:r>
        <w:t>Considerations for the recovery phase</w:t>
      </w:r>
    </w:p>
    <w:p w14:paraId="7D5F4B51" w14:textId="68B84CE4" w:rsidR="008D2731" w:rsidRDefault="008D2731" w:rsidP="008305BE">
      <w:pPr>
        <w:pStyle w:val="ListParagraph"/>
        <w:numPr>
          <w:ilvl w:val="0"/>
          <w:numId w:val="19"/>
        </w:numPr>
        <w:spacing w:line="360" w:lineRule="auto"/>
      </w:pPr>
      <w:r>
        <w:t>Appendices</w:t>
      </w:r>
    </w:p>
    <w:p w14:paraId="4BD9543E" w14:textId="77777777" w:rsidR="00FB6069" w:rsidRDefault="002F738C" w:rsidP="008305BE">
      <w:pPr>
        <w:pStyle w:val="ListParagraph"/>
        <w:numPr>
          <w:ilvl w:val="1"/>
          <w:numId w:val="19"/>
        </w:numPr>
        <w:spacing w:line="360" w:lineRule="auto"/>
      </w:pPr>
      <w:r>
        <w:t>Definitions</w:t>
      </w:r>
    </w:p>
    <w:p w14:paraId="67A64F25" w14:textId="77777777" w:rsidR="00611170" w:rsidRDefault="00611170" w:rsidP="00274AB5">
      <w:pPr>
        <w:pStyle w:val="ListParagraph"/>
      </w:pPr>
      <w:r>
        <w:br w:type="page"/>
      </w:r>
    </w:p>
    <w:p w14:paraId="33EADDD3" w14:textId="3D85182E" w:rsidR="003A0FA0" w:rsidRPr="00395C10" w:rsidRDefault="003A0FA0" w:rsidP="00256758">
      <w:pPr>
        <w:pStyle w:val="Heading2"/>
        <w:spacing w:line="240" w:lineRule="auto"/>
      </w:pPr>
      <w:r>
        <w:lastRenderedPageBreak/>
        <w:t>Objectives of a Ceftriaxone-Resistant Outbreak Response Plan</w:t>
      </w:r>
    </w:p>
    <w:p w14:paraId="544CA7A4" w14:textId="77777777" w:rsidR="003A0FA0" w:rsidRDefault="003A0FA0" w:rsidP="00274AB5">
      <w:r>
        <w:t>Pro-active development of a comprehensive and well-designed ceftriaxone-resistant gonorrhea outbreak response plan, prior to identification of an outbreak, may allow a jurisdiction to</w:t>
      </w:r>
    </w:p>
    <w:p w14:paraId="1BC81D11" w14:textId="77777777" w:rsidR="003A0FA0" w:rsidRDefault="003A0FA0" w:rsidP="00274AB5">
      <w:pPr>
        <w:pStyle w:val="ListParagraph"/>
        <w:numPr>
          <w:ilvl w:val="0"/>
          <w:numId w:val="29"/>
        </w:numPr>
      </w:pPr>
      <w:r>
        <w:t>Enhance systems to identify ceftriaxone-resistant infections in a timely manner</w:t>
      </w:r>
    </w:p>
    <w:p w14:paraId="670FCA86" w14:textId="77777777" w:rsidR="003A0FA0" w:rsidRDefault="003A0FA0" w:rsidP="00274AB5">
      <w:pPr>
        <w:pStyle w:val="ListParagraph"/>
        <w:numPr>
          <w:ilvl w:val="0"/>
          <w:numId w:val="29"/>
        </w:numPr>
      </w:pPr>
      <w:r>
        <w:t>Take steps to prepare for an outbreak well in advance of an actual event</w:t>
      </w:r>
    </w:p>
    <w:p w14:paraId="63D95D1B" w14:textId="77777777" w:rsidR="003A0FA0" w:rsidRDefault="003A0FA0" w:rsidP="00274AB5">
      <w:pPr>
        <w:pStyle w:val="ListParagraph"/>
        <w:numPr>
          <w:ilvl w:val="0"/>
          <w:numId w:val="29"/>
        </w:numPr>
      </w:pPr>
      <w:r>
        <w:t>Identify gaps that can be addressed prior to an actual event</w:t>
      </w:r>
    </w:p>
    <w:p w14:paraId="24D5BA43" w14:textId="77777777" w:rsidR="003A0FA0" w:rsidRDefault="003A0FA0" w:rsidP="00274AB5">
      <w:pPr>
        <w:pStyle w:val="ListParagraph"/>
        <w:numPr>
          <w:ilvl w:val="0"/>
          <w:numId w:val="29"/>
        </w:numPr>
      </w:pPr>
      <w:r>
        <w:t xml:space="preserve">Efficiently and rapidly organize and manage staffing and logistical support in the event of an outbreak </w:t>
      </w:r>
    </w:p>
    <w:p w14:paraId="365773EF" w14:textId="77777777" w:rsidR="003A0FA0" w:rsidRDefault="003A0FA0" w:rsidP="00274AB5">
      <w:pPr>
        <w:pStyle w:val="ListParagraph"/>
        <w:numPr>
          <w:ilvl w:val="0"/>
          <w:numId w:val="29"/>
        </w:numPr>
      </w:pPr>
      <w:r>
        <w:t>Efficiently and rapidly respond to an outbreak to halt spread of disease</w:t>
      </w:r>
    </w:p>
    <w:p w14:paraId="54075843" w14:textId="77777777" w:rsidR="003A0FA0" w:rsidRDefault="003A0FA0" w:rsidP="00274AB5">
      <w:r>
        <w:t xml:space="preserve">These plan objectives are explained in further detail on the </w:t>
      </w:r>
      <w:proofErr w:type="gramStart"/>
      <w:r>
        <w:t>pages</w:t>
      </w:r>
      <w:proofErr w:type="gramEnd"/>
      <w:r>
        <w:t xml:space="preserve"> hereafter. </w:t>
      </w:r>
    </w:p>
    <w:p w14:paraId="39B096A3" w14:textId="16046E62" w:rsidR="0068196F" w:rsidRPr="008C266B" w:rsidRDefault="0068196F" w:rsidP="00274AB5">
      <w:pPr>
        <w:pStyle w:val="Heading2"/>
      </w:pPr>
      <w:r>
        <w:t xml:space="preserve">Outbreak Preparedness </w:t>
      </w:r>
    </w:p>
    <w:p w14:paraId="0E6CABC5" w14:textId="290D5A91" w:rsidR="0068196F" w:rsidRDefault="0068196F" w:rsidP="00274AB5">
      <w:r>
        <w:t xml:space="preserve">Actions taken to enhance preparedness and bolster local surveillance may increase the likelihood of detecting a </w:t>
      </w:r>
      <w:r w:rsidR="00107250">
        <w:t xml:space="preserve">ceftriaxone-resistant gonococcal </w:t>
      </w:r>
      <w:r>
        <w:t xml:space="preserve">infection in a timely manner and may improve the efficiency and effectiveness of a subsequent outbreak response. Preparedness efforts, prior to an outbreak, can also include development of systems, capabilities, partnerships, or materials that may be utilized during an outbreak. </w:t>
      </w:r>
    </w:p>
    <w:p w14:paraId="7A064ED3" w14:textId="3062B9C7" w:rsidR="0068196F" w:rsidRDefault="00B7225E" w:rsidP="00274AB5">
      <w:r>
        <w:t xml:space="preserve">While the overall preparedness for </w:t>
      </w:r>
      <w:r w:rsidR="003D116D">
        <w:t xml:space="preserve">ceftriaxone-resistant gonorrhea </w:t>
      </w:r>
      <w:r>
        <w:t xml:space="preserve">outbreaks are </w:t>
      </w:r>
      <w:proofErr w:type="gramStart"/>
      <w:r>
        <w:t>similar to</w:t>
      </w:r>
      <w:proofErr w:type="gramEnd"/>
      <w:r>
        <w:t xml:space="preserve"> any STD outbreak as described in the </w:t>
      </w:r>
      <w:r w:rsidR="00457DB8">
        <w:t>“STD Outbreak Response Plan Guide</w:t>
      </w:r>
      <w:r w:rsidR="00107250">
        <w:t>,</w:t>
      </w:r>
      <w:r w:rsidR="00457DB8">
        <w:t xml:space="preserve">” unique considerations are described below.  </w:t>
      </w:r>
    </w:p>
    <w:p w14:paraId="17C5DA5A" w14:textId="409099E2" w:rsidR="00CA405F" w:rsidRPr="00763200" w:rsidRDefault="00CA405F" w:rsidP="00763200">
      <w:pPr>
        <w:pStyle w:val="Heading3"/>
      </w:pPr>
      <w:r w:rsidRPr="00763200">
        <w:rPr>
          <w:b/>
          <w:bCs/>
        </w:rPr>
        <w:t>2.a.</w:t>
      </w:r>
      <w:r w:rsidRPr="00763200">
        <w:t xml:space="preserve"> Activation of the </w:t>
      </w:r>
      <w:r w:rsidR="00AA12F9">
        <w:t>O</w:t>
      </w:r>
      <w:r w:rsidRPr="00763200">
        <w:t>utbreak Response Plan</w:t>
      </w:r>
    </w:p>
    <w:p w14:paraId="1C567428" w14:textId="6FD41048" w:rsidR="00CA405F" w:rsidRDefault="00CA405F" w:rsidP="00274AB5">
      <w:r>
        <w:t xml:space="preserve">See </w:t>
      </w:r>
      <w:r w:rsidR="008374CA">
        <w:t xml:space="preserve">CDC’s </w:t>
      </w:r>
      <w:hyperlink r:id="rId8" w:history="1">
        <w:r w:rsidR="008374CA" w:rsidRPr="008374CA">
          <w:rPr>
            <w:rStyle w:val="Hyperlink"/>
          </w:rPr>
          <w:t>STD Outbreak Response Plan Guide</w:t>
        </w:r>
      </w:hyperlink>
      <w:r>
        <w:t xml:space="preserve"> for general discussion of when to activate the plan. Specific considerations for </w:t>
      </w:r>
      <w:r w:rsidR="003D116D">
        <w:t xml:space="preserve">ceftriaxone-resistant gonorrhea </w:t>
      </w:r>
      <w:r>
        <w:t>outbreaks include:</w:t>
      </w:r>
    </w:p>
    <w:p w14:paraId="5F0ADF93" w14:textId="08A1B53B" w:rsidR="0068196F" w:rsidRPr="00F27140" w:rsidRDefault="00B7225E" w:rsidP="00F6526D">
      <w:pPr>
        <w:pStyle w:val="Heading4"/>
      </w:pPr>
      <w:r>
        <w:t>E</w:t>
      </w:r>
      <w:r w:rsidR="0068196F" w:rsidRPr="00F27140">
        <w:t>nhancing local surveillance for ceftriaxone-resistant gonorrhea</w:t>
      </w:r>
    </w:p>
    <w:p w14:paraId="3F2FEC09" w14:textId="77777777" w:rsidR="0068196F" w:rsidRDefault="0068196F" w:rsidP="00274AB5">
      <w:r>
        <w:t>While technically not part of outbreak response, enhanced surveillance may assist local jurisdictions with timely detection of an outbreak, which will both trigger a response and, particularly if detection is timely, may increase the likelihood of an effective response.</w:t>
      </w:r>
    </w:p>
    <w:p w14:paraId="1ACD8C2F" w14:textId="77777777" w:rsidR="0068196F" w:rsidRPr="00F6526D" w:rsidRDefault="0068196F" w:rsidP="00F6526D">
      <w:pPr>
        <w:pStyle w:val="Heading5"/>
      </w:pPr>
      <w:r w:rsidRPr="00F6526D">
        <w:lastRenderedPageBreak/>
        <w:t>Laboratory-based surveillance</w:t>
      </w:r>
    </w:p>
    <w:p w14:paraId="5A87B5E6" w14:textId="52C767F5" w:rsidR="0068196F" w:rsidRDefault="0068196F" w:rsidP="00274AB5">
      <w:pPr>
        <w:pStyle w:val="ListParagraph"/>
        <w:numPr>
          <w:ilvl w:val="0"/>
          <w:numId w:val="32"/>
        </w:numPr>
      </w:pPr>
      <w:r>
        <w:t xml:space="preserve">Jurisdictions may want to consider establishing ongoing surveillance of local </w:t>
      </w:r>
      <w:r w:rsidRPr="003E3705">
        <w:rPr>
          <w:i/>
        </w:rPr>
        <w:t>N. gonorrhoeae</w:t>
      </w:r>
      <w:r>
        <w:t xml:space="preserve"> antibiotic susceptibility patterns through the routine collection of specimens for </w:t>
      </w:r>
      <w:r w:rsidRPr="003E3705">
        <w:rPr>
          <w:i/>
        </w:rPr>
        <w:t>N. gonorrhoeae</w:t>
      </w:r>
      <w:r>
        <w:t xml:space="preserve"> culture and local performance of antibiotic susceptibility testing</w:t>
      </w:r>
      <w:r w:rsidR="004C6B12">
        <w:t xml:space="preserve"> (AST)</w:t>
      </w:r>
      <w:r>
        <w:t xml:space="preserve">. Jurisdictions may already participate in such surveillance activities as part of CDC’s GISP (Gonococcal Isolate Surveillance Project), </w:t>
      </w:r>
      <w:proofErr w:type="spellStart"/>
      <w:r>
        <w:t>eGISP</w:t>
      </w:r>
      <w:proofErr w:type="spellEnd"/>
      <w:r>
        <w:t xml:space="preserve"> (enhanced-GISP) programs, or SURRG (Strengthening US Response for Resistant Gonorrhea) initiatives. </w:t>
      </w:r>
    </w:p>
    <w:p w14:paraId="235A15B1" w14:textId="46EBF5DA" w:rsidR="0068196F" w:rsidRDefault="0068196F" w:rsidP="00274AB5">
      <w:pPr>
        <w:pStyle w:val="ListParagraph"/>
        <w:numPr>
          <w:ilvl w:val="0"/>
          <w:numId w:val="32"/>
        </w:numPr>
      </w:pPr>
      <w:r>
        <w:t xml:space="preserve">Even without ongoing surveillance via AST, jurisdictions can consider identifying local laboratories </w:t>
      </w:r>
      <w:r w:rsidR="001A3A04">
        <w:t xml:space="preserve">(public, academic, or commercial) </w:t>
      </w:r>
      <w:r>
        <w:t xml:space="preserve">with the capacity to conduct </w:t>
      </w:r>
      <w:r w:rsidRPr="003E3705">
        <w:rPr>
          <w:i/>
        </w:rPr>
        <w:t>N. gonorrhoeae</w:t>
      </w:r>
      <w:r>
        <w:t xml:space="preserve"> culture and AST in the case of suspected treatment failures and/or ARGC outbreaks.  In the absence of such capacity, jurisdictions can consider building up such capacity at a local or state public health laboratory and/or develop memoranda of understanding with other laboratories to provide such capacity. Jurisdictions can also determine whether laboratories that can conduct culture and AST are able and willing to receive specimens from local providers. </w:t>
      </w:r>
    </w:p>
    <w:p w14:paraId="51FEF8AC" w14:textId="77777777" w:rsidR="0068196F" w:rsidRDefault="0068196F" w:rsidP="00274AB5">
      <w:pPr>
        <w:pStyle w:val="ListParagraph"/>
        <w:numPr>
          <w:ilvl w:val="0"/>
          <w:numId w:val="32"/>
        </w:numPr>
      </w:pPr>
      <w:r>
        <w:t xml:space="preserve">Community healthcare providers may not have ready access to supplies for collecting specimens for culture (such as culture plates). Jurisdictions are encouraged to provide guidance or identify strategies to increasing provider access to these culture collection </w:t>
      </w:r>
      <w:proofErr w:type="gramStart"/>
      <w:r>
        <w:t>supplies, and</w:t>
      </w:r>
      <w:proofErr w:type="gramEnd"/>
      <w:r>
        <w:t xml:space="preserve"> provide guidance or establish strategies for rapid transport of specimens to a laboratory that can conduct culture/AST. </w:t>
      </w:r>
    </w:p>
    <w:p w14:paraId="3D96C25D" w14:textId="654377DF" w:rsidR="0068196F" w:rsidRDefault="0068196F" w:rsidP="00274AB5">
      <w:pPr>
        <w:pStyle w:val="ListParagraph"/>
        <w:numPr>
          <w:ilvl w:val="0"/>
          <w:numId w:val="32"/>
        </w:numPr>
      </w:pPr>
      <w:r>
        <w:t xml:space="preserve">Jurisdictions can develop systems or partnerships to ensure that local laboratories that conduct AST will rapidly notify the health department STD program of isolates with </w:t>
      </w:r>
      <w:r w:rsidR="00107250">
        <w:t xml:space="preserve">elevated </w:t>
      </w:r>
      <w:r>
        <w:t xml:space="preserve">ceftriaxone </w:t>
      </w:r>
      <w:r w:rsidR="00107250">
        <w:t>minimum inhibitory concentrations (MICs)</w:t>
      </w:r>
      <w:r>
        <w:t>.</w:t>
      </w:r>
    </w:p>
    <w:p w14:paraId="5508FA64" w14:textId="6A305F00" w:rsidR="0068196F" w:rsidRDefault="0068196F" w:rsidP="00BA1181">
      <w:pPr>
        <w:pStyle w:val="ListParagraph"/>
        <w:numPr>
          <w:ilvl w:val="0"/>
          <w:numId w:val="32"/>
        </w:numPr>
      </w:pPr>
      <w:r>
        <w:t xml:space="preserve">CDC is interested in exploring the use of molecular surveillance in the setting of an outbreak to define the scope and scale of the outbreak. This might involve the local development or validation of a molecular probe and associated primers that can be implemented on a real-time PCR to look for one or more specific molecular markers of </w:t>
      </w:r>
      <w:r w:rsidR="001A3A04">
        <w:t xml:space="preserve">ceftriaxone </w:t>
      </w:r>
      <w:r>
        <w:t xml:space="preserve">resistance using remnant </w:t>
      </w:r>
      <w:r w:rsidR="00107250">
        <w:t>n</w:t>
      </w:r>
      <w:r w:rsidR="004C6B12">
        <w:t>ucleic acid amplification test (</w:t>
      </w:r>
      <w:r>
        <w:t>NAAT</w:t>
      </w:r>
      <w:r w:rsidR="004C6B12">
        <w:t>)</w:t>
      </w:r>
      <w:r w:rsidR="00107250">
        <w:t xml:space="preserve"> specimens</w:t>
      </w:r>
      <w:r>
        <w:t xml:space="preserve">.  Jurisdictions can consider collaborating with CDC to implement and/or pilot molecular surveillance.  Molecular surveillance </w:t>
      </w:r>
      <w:r w:rsidR="00B604D6">
        <w:t xml:space="preserve">may </w:t>
      </w:r>
      <w:r>
        <w:t>facilitate identif</w:t>
      </w:r>
      <w:r w:rsidR="00B604D6">
        <w:t>ication of</w:t>
      </w:r>
      <w:r>
        <w:t xml:space="preserve"> resistan</w:t>
      </w:r>
      <w:r w:rsidR="00B3223A">
        <w:t>t</w:t>
      </w:r>
      <w:r>
        <w:t xml:space="preserve"> infections without rely</w:t>
      </w:r>
      <w:r w:rsidR="00B3223A">
        <w:t>ing</w:t>
      </w:r>
      <w:r w:rsidR="00B55408">
        <w:t xml:space="preserve"> on</w:t>
      </w:r>
      <w:r>
        <w:t xml:space="preserve"> </w:t>
      </w:r>
      <w:r w:rsidR="00B3223A">
        <w:t>performance of</w:t>
      </w:r>
      <w:r>
        <w:t xml:space="preserve"> GC culture and AST.</w:t>
      </w:r>
    </w:p>
    <w:p w14:paraId="547AA864" w14:textId="77777777" w:rsidR="0068196F" w:rsidRPr="00110897" w:rsidRDefault="0068196F" w:rsidP="00BA1181">
      <w:pPr>
        <w:pStyle w:val="Heading5"/>
      </w:pPr>
      <w:r>
        <w:t>T</w:t>
      </w:r>
      <w:r w:rsidRPr="00110897">
        <w:t>reatment failure-based surveillance</w:t>
      </w:r>
    </w:p>
    <w:p w14:paraId="009AEAE9" w14:textId="676F577F" w:rsidR="0068196F" w:rsidRDefault="0068196F" w:rsidP="00274AB5">
      <w:pPr>
        <w:pStyle w:val="ListParagraph"/>
        <w:numPr>
          <w:ilvl w:val="0"/>
          <w:numId w:val="33"/>
        </w:numPr>
      </w:pPr>
      <w:r>
        <w:t xml:space="preserve">Jurisdictions can consider establishing systems to allow providers to </w:t>
      </w:r>
      <w:proofErr w:type="gramStart"/>
      <w:r>
        <w:t>rapidly and easily report possible gonorrhea treatment failures</w:t>
      </w:r>
      <w:proofErr w:type="gramEnd"/>
      <w:r>
        <w:t xml:space="preserve"> to the </w:t>
      </w:r>
      <w:r w:rsidR="00B3223A">
        <w:t xml:space="preserve">health department </w:t>
      </w:r>
      <w:r>
        <w:t xml:space="preserve">STD program, including the identification of a single phone number or point of contact. Jurisdictions can determine whether reporting systems will be available after-hours and on weekends and holidays. Jurisdictions can determine if and how to make clinicians aware of the established system. </w:t>
      </w:r>
    </w:p>
    <w:p w14:paraId="5232934F" w14:textId="77777777" w:rsidR="0068196F" w:rsidRDefault="0068196F" w:rsidP="00274AB5">
      <w:pPr>
        <w:pStyle w:val="ListParagraph"/>
        <w:numPr>
          <w:ilvl w:val="0"/>
          <w:numId w:val="33"/>
        </w:numPr>
      </w:pPr>
      <w:r>
        <w:t>Jurisdictions can consider developing a protocol for managing possible gonorrhea treatment failures, including:</w:t>
      </w:r>
    </w:p>
    <w:p w14:paraId="794A0D0C" w14:textId="500FF49B" w:rsidR="0068196F" w:rsidRDefault="0068196F" w:rsidP="00274AB5">
      <w:pPr>
        <w:pStyle w:val="ListParagraph"/>
        <w:numPr>
          <w:ilvl w:val="1"/>
          <w:numId w:val="33"/>
        </w:numPr>
      </w:pPr>
      <w:r>
        <w:t xml:space="preserve">Developing a set of questions </w:t>
      </w:r>
      <w:r w:rsidR="00807145">
        <w:t xml:space="preserve">that </w:t>
      </w:r>
      <w:r>
        <w:t>a designated point of contact will use to ascertain critical information from providers about possible treatment failures (</w:t>
      </w:r>
      <w:r w:rsidR="00807145">
        <w:t>e</w:t>
      </w:r>
      <w:r>
        <w:t>.</w:t>
      </w:r>
      <w:r w:rsidR="00807145">
        <w:t>g</w:t>
      </w:r>
      <w:r>
        <w:t>.</w:t>
      </w:r>
      <w:r w:rsidR="00807145">
        <w:t>,</w:t>
      </w:r>
      <w:r>
        <w:t xml:space="preserve"> recent testing </w:t>
      </w:r>
      <w:r>
        <w:lastRenderedPageBreak/>
        <w:t xml:space="preserve">across exposed anatomic sites, recent treatment, recent sexual history/possible re-exposure, </w:t>
      </w:r>
      <w:r w:rsidR="00807145">
        <w:t xml:space="preserve">and </w:t>
      </w:r>
      <w:r>
        <w:t>recent travel)</w:t>
      </w:r>
    </w:p>
    <w:p w14:paraId="28E37860" w14:textId="36C8A2B0" w:rsidR="0068196F" w:rsidRDefault="0068196F" w:rsidP="00274AB5">
      <w:pPr>
        <w:pStyle w:val="ListParagraph"/>
        <w:numPr>
          <w:ilvl w:val="1"/>
          <w:numId w:val="33"/>
        </w:numPr>
      </w:pPr>
      <w:r>
        <w:t xml:space="preserve">Guidance to clinicians on </w:t>
      </w:r>
      <w:r w:rsidR="00807145">
        <w:t xml:space="preserve">specimen </w:t>
      </w:r>
      <w:r>
        <w:t xml:space="preserve">collection for culture and AST, including </w:t>
      </w:r>
      <w:r w:rsidR="00807145">
        <w:t xml:space="preserve">what supplies are needed, </w:t>
      </w:r>
      <w:r>
        <w:t xml:space="preserve">how to obtain </w:t>
      </w:r>
      <w:r w:rsidR="00807145">
        <w:t>necessary</w:t>
      </w:r>
      <w:r>
        <w:t xml:space="preserve"> supplies, how to collect samples, </w:t>
      </w:r>
      <w:r w:rsidR="00807145">
        <w:t xml:space="preserve">and to </w:t>
      </w:r>
      <w:r>
        <w:t>what laboratory to transport specimens for culture and AST.</w:t>
      </w:r>
    </w:p>
    <w:p w14:paraId="398DCDD2" w14:textId="0C65620D" w:rsidR="0068196F" w:rsidRDefault="0068196F" w:rsidP="00274AB5">
      <w:pPr>
        <w:pStyle w:val="ListParagraph"/>
        <w:numPr>
          <w:ilvl w:val="1"/>
          <w:numId w:val="33"/>
        </w:numPr>
      </w:pPr>
      <w:r>
        <w:t>Guidance for local STD clinic</w:t>
      </w:r>
      <w:r w:rsidR="00807145">
        <w:t>s</w:t>
      </w:r>
      <w:r>
        <w:t xml:space="preserve"> regarding specimen collection, as STD clinics may also be a resource for the collection of specimens for culture and AST</w:t>
      </w:r>
    </w:p>
    <w:p w14:paraId="101DCE0E" w14:textId="4C21298B" w:rsidR="0068196F" w:rsidRDefault="0068196F" w:rsidP="00274AB5">
      <w:pPr>
        <w:pStyle w:val="ListParagraph"/>
        <w:numPr>
          <w:ilvl w:val="1"/>
          <w:numId w:val="33"/>
        </w:numPr>
      </w:pPr>
      <w:r>
        <w:t xml:space="preserve">Specific roles and responsibilities for health department staff in regards to clinical management of suspected treatment failure cases, ensuring provider access to specimen collection materials, proper transport of the inoculated </w:t>
      </w:r>
      <w:r w:rsidR="00807145">
        <w:t>culture media</w:t>
      </w:r>
      <w:r>
        <w:t xml:space="preserve"> to an appropriate laboratory for culture and AST, interpretation of AST results</w:t>
      </w:r>
      <w:r w:rsidR="00807145">
        <w:t>,</w:t>
      </w:r>
      <w:r>
        <w:t xml:space="preserve"> and communication of AST results (with accurate interpretation and guidance on management) to relevant persons.</w:t>
      </w:r>
    </w:p>
    <w:p w14:paraId="62769D9D" w14:textId="3EF94835" w:rsidR="0068196F" w:rsidRDefault="0068196F" w:rsidP="00274AB5">
      <w:pPr>
        <w:pStyle w:val="ListParagraph"/>
        <w:numPr>
          <w:ilvl w:val="0"/>
          <w:numId w:val="33"/>
        </w:numPr>
      </w:pPr>
      <w:r>
        <w:t>Jurisdictions can develop systems to collect and manage data on suspected treatment failures so that data can be easily analyzed.</w:t>
      </w:r>
    </w:p>
    <w:p w14:paraId="0F6CCEDC" w14:textId="698F5835" w:rsidR="004D323C" w:rsidRDefault="0068196F" w:rsidP="00BA1181">
      <w:pPr>
        <w:pStyle w:val="ListParagraph"/>
        <w:numPr>
          <w:ilvl w:val="0"/>
          <w:numId w:val="33"/>
        </w:numPr>
      </w:pPr>
      <w:r>
        <w:t>Jurisdictions may want also to consider establishing systems to</w:t>
      </w:r>
      <w:r w:rsidR="001A3A04">
        <w:t xml:space="preserve"> implement and</w:t>
      </w:r>
      <w:r>
        <w:t xml:space="preserve"> </w:t>
      </w:r>
      <w:r w:rsidR="001A3A04">
        <w:t xml:space="preserve">track </w:t>
      </w:r>
      <w:r>
        <w:t xml:space="preserve">tests of cure </w:t>
      </w:r>
      <w:r w:rsidR="004C6B12">
        <w:t xml:space="preserve">(TOC) </w:t>
      </w:r>
      <w:r>
        <w:t xml:space="preserve">at the STD clinic if enhanced emphasis or recommendations for </w:t>
      </w:r>
      <w:r w:rsidR="004C6B12">
        <w:t xml:space="preserve">TOC </w:t>
      </w:r>
      <w:r>
        <w:t>are issues in an outbreak setting</w:t>
      </w:r>
      <w:r w:rsidR="00B55408">
        <w:t>.</w:t>
      </w:r>
    </w:p>
    <w:p w14:paraId="6F3F543E" w14:textId="5B30E908" w:rsidR="00B7225E" w:rsidRPr="00721407" w:rsidRDefault="00721407" w:rsidP="00BA1181">
      <w:pPr>
        <w:pStyle w:val="Heading4"/>
      </w:pPr>
      <w:r w:rsidRPr="00721407">
        <w:t xml:space="preserve">Developing </w:t>
      </w:r>
      <w:r w:rsidR="00457DB8" w:rsidRPr="00721407">
        <w:t xml:space="preserve">a working case definition </w:t>
      </w:r>
    </w:p>
    <w:p w14:paraId="1609EFC0" w14:textId="77777777" w:rsidR="00B7225E" w:rsidRDefault="00B7225E" w:rsidP="00274AB5">
      <w:r>
        <w:t xml:space="preserve">Development of at least preliminary working case definitions can inform planned approaches to preparedness and surveillance, identification of an outbreak, and activation of a response plan.  </w:t>
      </w:r>
    </w:p>
    <w:p w14:paraId="163F561F" w14:textId="35819E08" w:rsidR="00B7225E" w:rsidRDefault="00B7225E" w:rsidP="00274AB5">
      <w:r>
        <w:t>Identification of a single case of ceftriaxone-resistant gonorrhea has substantial local, national, and international public health implications; jurisdictions may determine that identification of a single case of ceftriaxone-resistant gonorrhea constitutes an outbreak.  Jurisdictions may want to consider case definitions based on clinical criteria (e</w:t>
      </w:r>
      <w:r w:rsidR="00807145">
        <w:t>.</w:t>
      </w:r>
      <w:r>
        <w:t>g.</w:t>
      </w:r>
      <w:r w:rsidR="00807145">
        <w:t>,</w:t>
      </w:r>
      <w:r>
        <w:t xml:space="preserve"> treatment failure to recommended therapy), laboratory criteria (e.g.</w:t>
      </w:r>
      <w:r w:rsidR="00807145">
        <w:t>,</w:t>
      </w:r>
      <w:r>
        <w:t xml:space="preserve"> ceftria</w:t>
      </w:r>
      <w:r w:rsidR="00807145">
        <w:t>x</w:t>
      </w:r>
      <w:r>
        <w:t xml:space="preserve">one MICs </w:t>
      </w:r>
      <w:r w:rsidR="00807145">
        <w:rPr>
          <w:rFonts w:ascii="Arial" w:hAnsi="Arial" w:cs="Arial"/>
        </w:rPr>
        <w:t>≥</w:t>
      </w:r>
      <w:r>
        <w:t>0.5</w:t>
      </w:r>
      <w:r w:rsidRPr="002D7270">
        <w:rPr>
          <w:rFonts w:cstheme="minorHAnsi"/>
        </w:rPr>
        <w:t xml:space="preserve"> </w:t>
      </w:r>
      <w:r w:rsidRPr="00F010ED">
        <w:rPr>
          <w:rFonts w:cstheme="minorHAnsi"/>
        </w:rPr>
        <w:t>µ</w:t>
      </w:r>
      <w:r w:rsidRPr="00F010ED">
        <w:t>g/ml</w:t>
      </w:r>
      <w:r>
        <w:t xml:space="preserve">), or both.  </w:t>
      </w:r>
    </w:p>
    <w:p w14:paraId="16D78DAD" w14:textId="21C29B2C" w:rsidR="00B7225E" w:rsidRDefault="00B7225E" w:rsidP="00274AB5">
      <w:r w:rsidRPr="00F010ED">
        <w:t xml:space="preserve">Currently, there are no fully agreed-upon definitions of ceftriaxone-resistant </w:t>
      </w:r>
      <w:r w:rsidRPr="00F010ED">
        <w:rPr>
          <w:i/>
        </w:rPr>
        <w:t>Neisseria gonorrhoeae</w:t>
      </w:r>
      <w:r w:rsidRPr="00F010ED">
        <w:t xml:space="preserve">, multidrug-resistant (MDR) gonorrhea, or extensively drug-resistant (XDR) gonorrhea. There is also a lack of data on the ceftriaxone MIC threshold that predicts unsuccessful clinical cure after treatment with CDC-recommended therapy. Available data from case reports suggest that ceftriaxone MICs </w:t>
      </w:r>
      <w:r w:rsidRPr="00F010ED">
        <w:rPr>
          <w:rFonts w:ascii="Arial" w:hAnsi="Arial" w:cs="Arial"/>
        </w:rPr>
        <w:t>≥</w:t>
      </w:r>
      <w:r w:rsidRPr="00F010ED">
        <w:t>0.5</w:t>
      </w:r>
      <w:r w:rsidRPr="00F010ED">
        <w:rPr>
          <w:rFonts w:cstheme="minorHAnsi"/>
        </w:rPr>
        <w:t xml:space="preserve"> µ</w:t>
      </w:r>
      <w:r w:rsidRPr="00F010ED">
        <w:t xml:space="preserve">g/ml may be associated with unsuccessful treatment; this MIC threshold is consistent with the Clinical and Laboratory Standards Institute (CLSI) interpretation of ceftriaxone MIC of </w:t>
      </w:r>
      <w:r w:rsidR="00907AE2">
        <w:rPr>
          <w:rFonts w:ascii="Arial" w:hAnsi="Arial" w:cs="Arial"/>
        </w:rPr>
        <w:t>≤</w:t>
      </w:r>
      <w:r w:rsidRPr="00F010ED">
        <w:rPr>
          <w:rFonts w:cstheme="minorHAnsi"/>
        </w:rPr>
        <w:t xml:space="preserve">0.25 µg/ml as susceptible (and </w:t>
      </w:r>
      <w:r w:rsidR="00907AE2">
        <w:rPr>
          <w:rFonts w:ascii="Arial" w:hAnsi="Arial" w:cs="Arial"/>
        </w:rPr>
        <w:t>≥</w:t>
      </w:r>
      <w:r w:rsidRPr="00F010ED">
        <w:t xml:space="preserve">0.5 </w:t>
      </w:r>
      <w:r w:rsidRPr="00F010ED">
        <w:rPr>
          <w:rFonts w:cstheme="minorHAnsi"/>
        </w:rPr>
        <w:t>µ</w:t>
      </w:r>
      <w:r w:rsidRPr="00F010ED">
        <w:t>g/ml as non-susceptible).</w:t>
      </w:r>
    </w:p>
    <w:p w14:paraId="6662D1FA" w14:textId="3DD6CC54" w:rsidR="00B7225E" w:rsidRDefault="00B7225E" w:rsidP="00274AB5">
      <w:r>
        <w:t>Although there are limited data on the ceftriaxone MIC threshold that predicts unsuccessful clinical cure after treatment with CDC-recommended therapy</w:t>
      </w:r>
      <w:r w:rsidR="00907AE2">
        <w:t>,</w:t>
      </w:r>
      <w:r>
        <w:t xml:space="preserve"> </w:t>
      </w:r>
      <w:r w:rsidR="00907AE2">
        <w:t>l</w:t>
      </w:r>
      <w:r>
        <w:t>ocal jurisdictions are encouraged to develop local working case definitions for resistant infections that will trigger a local response plan.</w:t>
      </w:r>
    </w:p>
    <w:p w14:paraId="781E637F" w14:textId="77777777" w:rsidR="00B7225E" w:rsidRDefault="00B7225E" w:rsidP="00274AB5">
      <w:r>
        <w:lastRenderedPageBreak/>
        <w:t xml:space="preserve">The cephalosporin-resistant gonorrhea classifications noted below in Textbox A were adapted from CDC’s </w:t>
      </w:r>
      <w:hyperlink r:id="rId9" w:history="1">
        <w:r w:rsidRPr="001F6F46">
          <w:rPr>
            <w:rStyle w:val="Hyperlink"/>
          </w:rPr>
          <w:t xml:space="preserve">Cephalosporin-Resistant </w:t>
        </w:r>
        <w:r w:rsidRPr="00256108">
          <w:rPr>
            <w:rStyle w:val="Hyperlink"/>
            <w:i/>
          </w:rPr>
          <w:t>Neisseria gonorrhoeae</w:t>
        </w:r>
        <w:r w:rsidRPr="001F6F46">
          <w:rPr>
            <w:rStyle w:val="Hyperlink"/>
          </w:rPr>
          <w:t xml:space="preserve"> Public Health Response Plan</w:t>
        </w:r>
      </w:hyperlink>
      <w:r>
        <w:t xml:space="preserve"> (August, 2012) and may provide a starting point for local decision-making. Please note: Since release of CDC’s Public Health Response Plan in 2012, recent case reports have suggested that treatment failures after ceftriaxone-based treatment have been associated with ceftriaxone MICs of </w:t>
      </w:r>
      <w:r>
        <w:rPr>
          <w:rFonts w:ascii="Arial" w:hAnsi="Arial" w:cs="Arial"/>
        </w:rPr>
        <w:t>≥</w:t>
      </w:r>
      <w:r>
        <w:t xml:space="preserve">0.5 </w:t>
      </w:r>
      <w:r>
        <w:rPr>
          <w:rFonts w:cstheme="minorHAnsi"/>
        </w:rPr>
        <w:t>µ</w:t>
      </w:r>
      <w:r>
        <w:t>g/ml.</w:t>
      </w:r>
    </w:p>
    <w:p w14:paraId="5DA77E37" w14:textId="2DE7A188" w:rsidR="00EA6D28" w:rsidRPr="00EA6D28" w:rsidRDefault="00B7225E" w:rsidP="00EA6D28">
      <w:pPr>
        <w:pStyle w:val="Heading5"/>
      </w:pPr>
      <w:r>
        <w:rPr>
          <w:noProof/>
        </w:rPr>
        <mc:AlternateContent>
          <mc:Choice Requires="wps">
            <w:drawing>
              <wp:anchor distT="0" distB="0" distL="114300" distR="114300" simplePos="0" relativeHeight="251668480" behindDoc="0" locked="0" layoutInCell="1" allowOverlap="1" wp14:anchorId="3341908D" wp14:editId="004256E6">
                <wp:simplePos x="0" y="0"/>
                <wp:positionH relativeFrom="column">
                  <wp:posOffset>-73550</wp:posOffset>
                </wp:positionH>
                <wp:positionV relativeFrom="paragraph">
                  <wp:posOffset>257367</wp:posOffset>
                </wp:positionV>
                <wp:extent cx="6408752" cy="6623437"/>
                <wp:effectExtent l="0" t="0" r="11430" b="25400"/>
                <wp:wrapNone/>
                <wp:docPr id="5" name="Rectangle 5"/>
                <wp:cNvGraphicFramePr/>
                <a:graphic xmlns:a="http://schemas.openxmlformats.org/drawingml/2006/main">
                  <a:graphicData uri="http://schemas.microsoft.com/office/word/2010/wordprocessingShape">
                    <wps:wsp>
                      <wps:cNvSpPr/>
                      <wps:spPr>
                        <a:xfrm>
                          <a:off x="0" y="0"/>
                          <a:ext cx="6408752" cy="6623437"/>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8A14C19" id="Rectangle 5" o:spid="_x0000_s1026" style="position:absolute;margin-left:-5.8pt;margin-top:20.25pt;width:504.65pt;height:521.5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" filled="f" strokecolor="#1f4d78 [1604]" strokeweight="1pt"/>
            </w:pict>
          </mc:Fallback>
        </mc:AlternateContent>
      </w:r>
      <w:r>
        <w:t>Textbox A</w:t>
      </w:r>
    </w:p>
    <w:tbl>
      <w:tblPr>
        <w:tblW w:w="0" w:type="auto"/>
        <w:tblInd w:w="-108" w:type="dxa"/>
        <w:tblBorders>
          <w:top w:val="nil"/>
          <w:left w:val="nil"/>
          <w:bottom w:val="nil"/>
          <w:right w:val="nil"/>
        </w:tblBorders>
        <w:tblLayout w:type="fixed"/>
        <w:tblLook w:val="0000" w:firstRow="0" w:lastRow="0" w:firstColumn="0" w:lastColumn="0" w:noHBand="0" w:noVBand="0"/>
      </w:tblPr>
      <w:tblGrid>
        <w:gridCol w:w="9355"/>
      </w:tblGrid>
      <w:tr w:rsidR="00B7225E" w:rsidRPr="001F6F46" w14:paraId="4944C46B" w14:textId="77777777" w:rsidTr="00457DB8">
        <w:trPr>
          <w:trHeight w:val="172"/>
        </w:trPr>
        <w:tc>
          <w:tcPr>
            <w:tcW w:w="9355" w:type="dxa"/>
          </w:tcPr>
          <w:p w14:paraId="3F02E7E8" w14:textId="57F87C92" w:rsidR="00B7225E" w:rsidRPr="003712BA" w:rsidRDefault="00B7225E" w:rsidP="00274AB5">
            <w:r w:rsidRPr="00EA6D28">
              <w:rPr>
                <w:b/>
                <w:bCs/>
              </w:rPr>
              <w:t>Suspect Case</w:t>
            </w:r>
            <w:r w:rsidRPr="001F6F46">
              <w:t xml:space="preserve"> </w:t>
            </w:r>
            <w:r w:rsidR="00EA6D28">
              <w:br/>
            </w:r>
            <w:r w:rsidRPr="001F6F46">
              <w:t xml:space="preserve">A suspect case fulfills either the clinical criteria or laboratory criteria described below: </w:t>
            </w:r>
          </w:p>
          <w:p w14:paraId="003D4320" w14:textId="1C86CAA7" w:rsidR="00EA6D28" w:rsidRPr="001F6F46" w:rsidRDefault="00B7225E" w:rsidP="00274AB5">
            <w:r w:rsidRPr="00EA6D28">
              <w:rPr>
                <w:b/>
                <w:bCs/>
              </w:rPr>
              <w:t>Clinical Criteria</w:t>
            </w:r>
            <w:r w:rsidRPr="001F6F46">
              <w:t xml:space="preserve"> </w:t>
            </w:r>
            <w:r w:rsidR="00EA6D28">
              <w:br/>
            </w:r>
            <w:r w:rsidR="00EA6D28" w:rsidRPr="001F6F46">
              <w:t>Th</w:t>
            </w:r>
            <w:r w:rsidR="00EA6D28" w:rsidRPr="003712BA">
              <w:t xml:space="preserve">e patient experienced possible treatment failure </w:t>
            </w:r>
            <w:r w:rsidR="00EA6D28" w:rsidRPr="001F6F46">
              <w:t xml:space="preserve">with the following specific components: </w:t>
            </w:r>
          </w:p>
        </w:tc>
      </w:tr>
      <w:tr w:rsidR="00B7225E" w:rsidRPr="001F6F46" w14:paraId="1FFA90D8" w14:textId="77777777" w:rsidTr="00457DB8">
        <w:trPr>
          <w:trHeight w:val="1377"/>
        </w:trPr>
        <w:tc>
          <w:tcPr>
            <w:tcW w:w="9355" w:type="dxa"/>
          </w:tcPr>
          <w:p w14:paraId="456E497A" w14:textId="3F028232" w:rsidR="00B7225E" w:rsidRPr="00EA6D28" w:rsidRDefault="00B7225E" w:rsidP="00EA6D28">
            <w:pPr>
              <w:pStyle w:val="ListParagraph"/>
              <w:numPr>
                <w:ilvl w:val="1"/>
                <w:numId w:val="32"/>
              </w:numPr>
            </w:pPr>
            <w:r w:rsidRPr="00EA6D28">
              <w:t xml:space="preserve">Patient had laboratory-confirmed </w:t>
            </w:r>
            <w:r w:rsidRPr="00EA6D28">
              <w:rPr>
                <w:i/>
                <w:iCs/>
              </w:rPr>
              <w:t xml:space="preserve">N. gonorrhoeae </w:t>
            </w:r>
            <w:r w:rsidRPr="00EA6D28">
              <w:t xml:space="preserve">infection, and </w:t>
            </w:r>
          </w:p>
          <w:p w14:paraId="3305B180" w14:textId="26055FFD" w:rsidR="00B7225E" w:rsidRPr="00EA6D28" w:rsidRDefault="00B7225E" w:rsidP="00EA6D28">
            <w:pPr>
              <w:pStyle w:val="ListParagraph"/>
              <w:numPr>
                <w:ilvl w:val="1"/>
                <w:numId w:val="32"/>
              </w:numPr>
            </w:pPr>
            <w:r w:rsidRPr="00EA6D28">
              <w:t xml:space="preserve">Patient received CDC-recommended ceftriaxone-based antimicrobial regimen as treatment, and </w:t>
            </w:r>
          </w:p>
          <w:p w14:paraId="7C774FB7" w14:textId="4A647AEB" w:rsidR="00B7225E" w:rsidRPr="00EA6D28" w:rsidRDefault="00B7225E" w:rsidP="00EA6D28">
            <w:pPr>
              <w:pStyle w:val="ListParagraph"/>
              <w:numPr>
                <w:ilvl w:val="1"/>
                <w:numId w:val="32"/>
              </w:numPr>
            </w:pPr>
            <w:r w:rsidRPr="00EA6D28">
              <w:t xml:space="preserve">Patient subsequently had a positive </w:t>
            </w:r>
            <w:r w:rsidRPr="00EA6D28">
              <w:rPr>
                <w:i/>
                <w:iCs/>
              </w:rPr>
              <w:t xml:space="preserve">N. gonorrhoeae </w:t>
            </w:r>
            <w:r w:rsidRPr="00EA6D28">
              <w:t xml:space="preserve">test result (positive culture </w:t>
            </w:r>
            <w:r w:rsidRPr="00EA6D28">
              <w:rPr>
                <w:rFonts w:ascii="Arial" w:hAnsi="Arial" w:cs="Arial"/>
              </w:rPr>
              <w:t>≥</w:t>
            </w:r>
            <w:r w:rsidRPr="00EA6D28">
              <w:t xml:space="preserve">72 hours after treatment or positive NAAT </w:t>
            </w:r>
            <w:r w:rsidRPr="00EA6D28">
              <w:rPr>
                <w:rFonts w:ascii="Arial" w:hAnsi="Arial" w:cs="Arial"/>
              </w:rPr>
              <w:t>≥</w:t>
            </w:r>
            <w:r w:rsidRPr="00EA6D28">
              <w:t xml:space="preserve">8 days after treatment), and </w:t>
            </w:r>
          </w:p>
          <w:p w14:paraId="39CFC375" w14:textId="4619E836" w:rsidR="00B7225E" w:rsidRPr="003712BA" w:rsidRDefault="00B7225E" w:rsidP="00BD4254">
            <w:pPr>
              <w:pStyle w:val="ListParagraph"/>
              <w:numPr>
                <w:ilvl w:val="1"/>
                <w:numId w:val="32"/>
              </w:numPr>
            </w:pPr>
            <w:r w:rsidRPr="00EA6D28">
              <w:t xml:space="preserve">Patient did not engage in sexual activity after treatment </w:t>
            </w:r>
          </w:p>
          <w:p w14:paraId="3C9E4CF1" w14:textId="3E983965" w:rsidR="00B7225E" w:rsidRPr="001F6F46" w:rsidRDefault="00B7225E" w:rsidP="00274AB5">
            <w:r w:rsidRPr="003712BA">
              <w:t xml:space="preserve">OR </w:t>
            </w:r>
          </w:p>
        </w:tc>
      </w:tr>
    </w:tbl>
    <w:p w14:paraId="36A50A1C" w14:textId="21B75A0B" w:rsidR="00B7225E" w:rsidRPr="003712BA" w:rsidRDefault="00B7225E" w:rsidP="00274AB5">
      <w:r w:rsidRPr="007648B4">
        <w:rPr>
          <w:b/>
          <w:iCs/>
        </w:rPr>
        <w:t>Laboratory Criteria:</w:t>
      </w:r>
      <w:r>
        <w:rPr>
          <w:b/>
          <w:i/>
        </w:rPr>
        <w:t xml:space="preserve"> </w:t>
      </w:r>
      <w:r w:rsidR="007648B4">
        <w:rPr>
          <w:b/>
          <w:i/>
        </w:rPr>
        <w:br/>
      </w:r>
      <w:r w:rsidRPr="003712BA">
        <w:t xml:space="preserve">Antimicrobial susceptibility testing (AST) of pre-treatment or post-treatment isolate demonstrates ceftriaxone MIC </w:t>
      </w:r>
      <w:r w:rsidRPr="003712BA">
        <w:rPr>
          <w:rFonts w:ascii="Arial" w:hAnsi="Arial" w:cs="Arial"/>
        </w:rPr>
        <w:t>≥</w:t>
      </w:r>
      <w:r w:rsidRPr="003712BA">
        <w:t xml:space="preserve">0.125 </w:t>
      </w:r>
      <w:r w:rsidRPr="003712BA">
        <w:rPr>
          <w:rFonts w:cstheme="minorHAnsi"/>
        </w:rPr>
        <w:t>µ</w:t>
      </w:r>
      <w:r w:rsidRPr="003712BA">
        <w:t>g/ml</w:t>
      </w:r>
    </w:p>
    <w:tbl>
      <w:tblPr>
        <w:tblW w:w="0" w:type="auto"/>
        <w:tblInd w:w="-108" w:type="dxa"/>
        <w:tblBorders>
          <w:top w:val="nil"/>
          <w:left w:val="nil"/>
          <w:bottom w:val="nil"/>
          <w:right w:val="nil"/>
        </w:tblBorders>
        <w:tblLayout w:type="fixed"/>
        <w:tblLook w:val="0000" w:firstRow="0" w:lastRow="0" w:firstColumn="0" w:lastColumn="0" w:noHBand="0" w:noVBand="0"/>
      </w:tblPr>
      <w:tblGrid>
        <w:gridCol w:w="9355"/>
      </w:tblGrid>
      <w:tr w:rsidR="00B7225E" w:rsidRPr="001F6F46" w14:paraId="6428941A" w14:textId="77777777" w:rsidTr="00457DB8">
        <w:trPr>
          <w:trHeight w:val="172"/>
        </w:trPr>
        <w:tc>
          <w:tcPr>
            <w:tcW w:w="9355" w:type="dxa"/>
          </w:tcPr>
          <w:p w14:paraId="17B7A165" w14:textId="5CB9618F" w:rsidR="00B7225E" w:rsidRPr="003712BA" w:rsidRDefault="00B7225E" w:rsidP="00274AB5">
            <w:r w:rsidRPr="007648B4">
              <w:rPr>
                <w:b/>
                <w:bCs/>
              </w:rPr>
              <w:t xml:space="preserve">Probable Case </w:t>
            </w:r>
            <w:r w:rsidR="007648B4">
              <w:rPr>
                <w:b/>
                <w:bCs/>
              </w:rPr>
              <w:br/>
            </w:r>
            <w:r w:rsidRPr="001F6F46">
              <w:t xml:space="preserve">A </w:t>
            </w:r>
            <w:r w:rsidR="008374CA">
              <w:t>probable</w:t>
            </w:r>
            <w:r w:rsidRPr="001F6F46">
              <w:t xml:space="preserve"> case fulfills the </w:t>
            </w:r>
            <w:r w:rsidRPr="003712BA">
              <w:t xml:space="preserve">clinical criteria </w:t>
            </w:r>
            <w:r w:rsidRPr="003712BA">
              <w:rPr>
                <w:i/>
              </w:rPr>
              <w:t>and</w:t>
            </w:r>
            <w:r w:rsidRPr="001F6F46">
              <w:t xml:space="preserve"> laboratory criteria described below: </w:t>
            </w:r>
          </w:p>
          <w:p w14:paraId="674BDB4A" w14:textId="49C415D6" w:rsidR="00B7225E" w:rsidRPr="00AE31E3" w:rsidRDefault="00B7225E" w:rsidP="00AE31E3">
            <w:pPr>
              <w:spacing w:after="0"/>
            </w:pPr>
            <w:r w:rsidRPr="00AE31E3">
              <w:rPr>
                <w:b/>
                <w:bCs/>
              </w:rPr>
              <w:t xml:space="preserve">Clinical Criteria </w:t>
            </w:r>
            <w:r w:rsidRPr="00AE31E3">
              <w:rPr>
                <w:b/>
                <w:bCs/>
                <w:u w:val="single"/>
              </w:rPr>
              <w:t>and</w:t>
            </w:r>
            <w:r w:rsidR="00AE31E3">
              <w:rPr>
                <w:b/>
                <w:bCs/>
              </w:rPr>
              <w:t xml:space="preserve"> L</w:t>
            </w:r>
            <w:r w:rsidRPr="00AE31E3">
              <w:rPr>
                <w:b/>
                <w:bCs/>
              </w:rPr>
              <w:t>aboratory Criteria</w:t>
            </w:r>
            <w:r w:rsidR="00AE31E3">
              <w:rPr>
                <w:b/>
                <w:bCs/>
              </w:rPr>
              <w:br/>
            </w:r>
            <w:r w:rsidR="00AE31E3" w:rsidRPr="001F6F46">
              <w:t>Th</w:t>
            </w:r>
            <w:r w:rsidR="00AE31E3" w:rsidRPr="003712BA">
              <w:t xml:space="preserve">e patient experienced possible treatment failure </w:t>
            </w:r>
            <w:r w:rsidR="00AE31E3" w:rsidRPr="001F6F46">
              <w:t xml:space="preserve">with the following specific components: </w:t>
            </w:r>
          </w:p>
        </w:tc>
      </w:tr>
      <w:tr w:rsidR="00B7225E" w:rsidRPr="001F6F46" w14:paraId="2726DA50" w14:textId="77777777" w:rsidTr="00457DB8">
        <w:trPr>
          <w:trHeight w:val="1377"/>
        </w:trPr>
        <w:tc>
          <w:tcPr>
            <w:tcW w:w="9355" w:type="dxa"/>
          </w:tcPr>
          <w:p w14:paraId="2F1F0261" w14:textId="77777777" w:rsidR="00AE31E3" w:rsidRDefault="00B7225E" w:rsidP="00717A01">
            <w:pPr>
              <w:pStyle w:val="ListParagraph"/>
              <w:numPr>
                <w:ilvl w:val="0"/>
                <w:numId w:val="48"/>
              </w:numPr>
            </w:pPr>
            <w:r w:rsidRPr="001F6F46">
              <w:t xml:space="preserve">Patient had laboratory-confirmed </w:t>
            </w:r>
            <w:r w:rsidRPr="00AE31E3">
              <w:rPr>
                <w:i/>
                <w:iCs/>
              </w:rPr>
              <w:t xml:space="preserve">N. gonorrhoeae </w:t>
            </w:r>
            <w:r w:rsidRPr="001F6F46">
              <w:t xml:space="preserve">infection, and </w:t>
            </w:r>
          </w:p>
          <w:p w14:paraId="52AF80A4" w14:textId="1A28ED29" w:rsidR="00AE31E3" w:rsidRDefault="00B7225E" w:rsidP="00717A01">
            <w:pPr>
              <w:pStyle w:val="ListParagraph"/>
              <w:numPr>
                <w:ilvl w:val="0"/>
                <w:numId w:val="48"/>
              </w:numPr>
            </w:pPr>
            <w:r w:rsidRPr="001F6F46">
              <w:t>Patient receiv</w:t>
            </w:r>
            <w:r w:rsidRPr="003712BA">
              <w:t>ed CDC-recommended ceftriaxone</w:t>
            </w:r>
            <w:r w:rsidRPr="001F6F46">
              <w:t xml:space="preserve">-based antimicrobial regimen as treatment, and </w:t>
            </w:r>
          </w:p>
          <w:p w14:paraId="1D8C4A64" w14:textId="40853E30" w:rsidR="00AE31E3" w:rsidRDefault="00B7225E" w:rsidP="00CD1E1D">
            <w:pPr>
              <w:pStyle w:val="ListParagraph"/>
              <w:numPr>
                <w:ilvl w:val="0"/>
                <w:numId w:val="48"/>
              </w:numPr>
            </w:pPr>
            <w:r w:rsidRPr="001F6F46">
              <w:t xml:space="preserve">Patient subsequently had a positive </w:t>
            </w:r>
            <w:r w:rsidRPr="00AE31E3">
              <w:rPr>
                <w:i/>
                <w:iCs/>
              </w:rPr>
              <w:t xml:space="preserve">N. gonorrhoeae </w:t>
            </w:r>
            <w:r w:rsidRPr="001F6F46">
              <w:t xml:space="preserve">test result (positive culture </w:t>
            </w:r>
            <w:r w:rsidRPr="00AE31E3">
              <w:rPr>
                <w:rFonts w:ascii="Arial" w:hAnsi="Arial" w:cs="Arial"/>
              </w:rPr>
              <w:t>≥</w:t>
            </w:r>
            <w:r w:rsidRPr="001F6F46">
              <w:t xml:space="preserve">72 hours after treatment or positive NAAT </w:t>
            </w:r>
            <w:r w:rsidRPr="00AE31E3">
              <w:rPr>
                <w:rFonts w:ascii="Arial" w:hAnsi="Arial" w:cs="Arial"/>
              </w:rPr>
              <w:t>≥</w:t>
            </w:r>
            <w:r>
              <w:t>8</w:t>
            </w:r>
            <w:r w:rsidRPr="001F6F46">
              <w:t xml:space="preserve"> days after treatment), and</w:t>
            </w:r>
          </w:p>
          <w:p w14:paraId="5069C2A4" w14:textId="5E6681BE" w:rsidR="00AE31E3" w:rsidRDefault="00B7225E" w:rsidP="000D1399">
            <w:pPr>
              <w:pStyle w:val="ListParagraph"/>
              <w:numPr>
                <w:ilvl w:val="0"/>
                <w:numId w:val="48"/>
              </w:numPr>
            </w:pPr>
            <w:r w:rsidRPr="001F6F46">
              <w:t xml:space="preserve">Patient did not engage in sexual activity after treatment </w:t>
            </w:r>
          </w:p>
          <w:p w14:paraId="22E0DA63" w14:textId="3D6505B9" w:rsidR="00B7225E" w:rsidRPr="001F6F46" w:rsidRDefault="00B7225E" w:rsidP="0054042B">
            <w:pPr>
              <w:pStyle w:val="ListParagraph"/>
              <w:numPr>
                <w:ilvl w:val="0"/>
                <w:numId w:val="48"/>
              </w:numPr>
            </w:pPr>
            <w:r w:rsidRPr="003712BA">
              <w:t xml:space="preserve">AST of pre-treatment or post-treatment </w:t>
            </w:r>
            <w:r w:rsidRPr="00AE31E3">
              <w:rPr>
                <w:i/>
              </w:rPr>
              <w:t>N. gonorrhoeae</w:t>
            </w:r>
            <w:r w:rsidRPr="003712BA">
              <w:t xml:space="preserve"> isolate demonstrates ceftriaxone MIC of </w:t>
            </w:r>
            <w:r w:rsidRPr="00AE31E3">
              <w:rPr>
                <w:rFonts w:ascii="Arial" w:hAnsi="Arial" w:cs="Arial"/>
              </w:rPr>
              <w:t>≥</w:t>
            </w:r>
            <w:r w:rsidRPr="003712BA">
              <w:t>0.2</w:t>
            </w:r>
            <w:r w:rsidRPr="001F6F46">
              <w:t xml:space="preserve">5 </w:t>
            </w:r>
            <w:proofErr w:type="spellStart"/>
            <w:r w:rsidRPr="00AE31E3">
              <w:rPr>
                <w:rFonts w:ascii="Calibri" w:hAnsi="Calibri" w:cs="Calibri"/>
              </w:rPr>
              <w:t>μ</w:t>
            </w:r>
            <w:r w:rsidRPr="001F6F46">
              <w:t>g</w:t>
            </w:r>
            <w:proofErr w:type="spellEnd"/>
            <w:r w:rsidRPr="001F6F46">
              <w:t>/ml</w:t>
            </w:r>
          </w:p>
        </w:tc>
      </w:tr>
    </w:tbl>
    <w:p w14:paraId="6439E5AC" w14:textId="5346ABCC" w:rsidR="00655A22" w:rsidRDefault="00655A22" w:rsidP="00274AB5">
      <w:r w:rsidRPr="00F83BA8">
        <w:rPr>
          <w:b/>
          <w:bCs/>
        </w:rPr>
        <w:lastRenderedPageBreak/>
        <w:t>Please note: Jurisdictions are strongly encouraged to promptly notify CDC of any suspected or probable ceftriaxone-resistant infections</w:t>
      </w:r>
      <w:r w:rsidR="00907AE2" w:rsidRPr="00F83BA8">
        <w:rPr>
          <w:b/>
          <w:bCs/>
        </w:rPr>
        <w:t xml:space="preserve"> at</w:t>
      </w:r>
      <w:r w:rsidR="00207EE5" w:rsidRPr="00F83BA8">
        <w:rPr>
          <w:b/>
          <w:bCs/>
        </w:rPr>
        <w:t xml:space="preserve"> (404) 718-5447</w:t>
      </w:r>
      <w:r w:rsidRPr="00F83BA8">
        <w:rPr>
          <w:b/>
          <w:bCs/>
        </w:rPr>
        <w:t>.</w:t>
      </w:r>
      <w:r>
        <w:t xml:space="preserve"> CDC can provide the jurisdiction with guidance</w:t>
      </w:r>
      <w:r w:rsidR="00207EE5">
        <w:t xml:space="preserve"> on treatment and response and can assist with coordinat</w:t>
      </w:r>
      <w:r w:rsidR="00907AE2">
        <w:t>ion</w:t>
      </w:r>
      <w:r w:rsidR="00207EE5">
        <w:t xml:space="preserve"> across states</w:t>
      </w:r>
      <w:r w:rsidR="00907AE2">
        <w:t xml:space="preserve">. </w:t>
      </w:r>
      <w:r>
        <w:t xml:space="preserve">CDC will also communicate critical information about the outbreak within the US Government and when appropriate, to international partners. </w:t>
      </w:r>
      <w:r w:rsidR="00207EE5">
        <w:t xml:space="preserve">Additional information is available at </w:t>
      </w:r>
      <w:r w:rsidR="00207EE5" w:rsidRPr="00207EE5">
        <w:t>https://www.cdc.gov/std/gonorrhea/arg/basic.htm</w:t>
      </w:r>
      <w:r w:rsidR="00207EE5">
        <w:t>.</w:t>
      </w:r>
    </w:p>
    <w:p w14:paraId="3E7F0F97" w14:textId="45299AA5" w:rsidR="006629F1" w:rsidRPr="00256108" w:rsidRDefault="009824D2" w:rsidP="00A4697F">
      <w:pPr>
        <w:pStyle w:val="Heading3"/>
      </w:pPr>
      <w:r w:rsidRPr="00A4697F">
        <w:rPr>
          <w:b/>
          <w:bCs/>
        </w:rPr>
        <w:t>2.b.</w:t>
      </w:r>
      <w:r w:rsidR="00A3778B">
        <w:t xml:space="preserve"> </w:t>
      </w:r>
      <w:r w:rsidR="006629F1" w:rsidRPr="00256108">
        <w:t>Roles and responsibilities</w:t>
      </w:r>
    </w:p>
    <w:p w14:paraId="54EC5569" w14:textId="668E7460" w:rsidR="009824D2" w:rsidRPr="009824D2" w:rsidRDefault="008E3396" w:rsidP="00274AB5">
      <w:pPr>
        <w:rPr>
          <w:iCs/>
        </w:rPr>
      </w:pPr>
      <w:r>
        <w:t xml:space="preserve">Refer to </w:t>
      </w:r>
      <w:r w:rsidR="008374CA">
        <w:t xml:space="preserve">CDC’s </w:t>
      </w:r>
      <w:hyperlink r:id="rId10" w:history="1">
        <w:r w:rsidR="008374CA" w:rsidRPr="008374CA">
          <w:rPr>
            <w:rStyle w:val="Hyperlink"/>
          </w:rPr>
          <w:t>STD Outbreak Response Plan Guide</w:t>
        </w:r>
      </w:hyperlink>
      <w:r w:rsidR="008374CA">
        <w:t xml:space="preserve"> </w:t>
      </w:r>
      <w:r>
        <w:t>for general considerations related to</w:t>
      </w:r>
      <w:r>
        <w:rPr>
          <w:iCs/>
        </w:rPr>
        <w:t xml:space="preserve"> roles and responsibilities. </w:t>
      </w:r>
      <w:r w:rsidR="00907AE2">
        <w:rPr>
          <w:iCs/>
        </w:rPr>
        <w:t>When planning for</w:t>
      </w:r>
      <w:r w:rsidR="00E63FC6">
        <w:rPr>
          <w:iCs/>
        </w:rPr>
        <w:t xml:space="preserve"> an ARGC outbreak</w:t>
      </w:r>
      <w:r w:rsidR="00907AE2">
        <w:rPr>
          <w:iCs/>
        </w:rPr>
        <w:t>,</w:t>
      </w:r>
      <w:r w:rsidR="00E63FC6">
        <w:rPr>
          <w:iCs/>
        </w:rPr>
        <w:t xml:space="preserve"> j</w:t>
      </w:r>
      <w:r w:rsidR="00F227F2">
        <w:rPr>
          <w:iCs/>
        </w:rPr>
        <w:t xml:space="preserve">urisdictions may want to </w:t>
      </w:r>
      <w:r w:rsidR="00E63FC6">
        <w:rPr>
          <w:iCs/>
        </w:rPr>
        <w:t xml:space="preserve">further </w:t>
      </w:r>
      <w:r w:rsidR="00F227F2">
        <w:rPr>
          <w:iCs/>
        </w:rPr>
        <w:t xml:space="preserve">describe specific roles and responsibilities </w:t>
      </w:r>
      <w:r w:rsidR="00E63FC6">
        <w:rPr>
          <w:iCs/>
        </w:rPr>
        <w:t>in advance</w:t>
      </w:r>
      <w:r w:rsidR="00907AE2">
        <w:rPr>
          <w:iCs/>
        </w:rPr>
        <w:t>,</w:t>
      </w:r>
      <w:r w:rsidR="00B55408">
        <w:rPr>
          <w:iCs/>
        </w:rPr>
        <w:t xml:space="preserve"> such as</w:t>
      </w:r>
      <w:r w:rsidR="00F227F2">
        <w:rPr>
          <w:iCs/>
        </w:rPr>
        <w:t xml:space="preserve"> the incident commander, epidemiology, laboratory, surveillance,</w:t>
      </w:r>
      <w:r w:rsidR="00CA405F">
        <w:rPr>
          <w:iCs/>
        </w:rPr>
        <w:t xml:space="preserve"> partner services, STD clinic</w:t>
      </w:r>
      <w:r w:rsidR="00907AE2">
        <w:rPr>
          <w:iCs/>
        </w:rPr>
        <w:t xml:space="preserve"> </w:t>
      </w:r>
      <w:r w:rsidR="00E638E7">
        <w:rPr>
          <w:iCs/>
        </w:rPr>
        <w:t>operations and clinical care</w:t>
      </w:r>
      <w:r w:rsidR="00CA405F">
        <w:rPr>
          <w:iCs/>
        </w:rPr>
        <w:t>,</w:t>
      </w:r>
      <w:r w:rsidR="00F227F2">
        <w:rPr>
          <w:iCs/>
        </w:rPr>
        <w:t xml:space="preserve"> communication, finance, training,</w:t>
      </w:r>
      <w:r w:rsidR="00E638E7">
        <w:rPr>
          <w:iCs/>
        </w:rPr>
        <w:t xml:space="preserve"> and</w:t>
      </w:r>
      <w:r w:rsidR="00F227F2">
        <w:rPr>
          <w:iCs/>
        </w:rPr>
        <w:t xml:space="preserve"> operations. </w:t>
      </w:r>
      <w:r>
        <w:rPr>
          <w:iCs/>
        </w:rPr>
        <w:t>Responsibilities</w:t>
      </w:r>
      <w:r w:rsidR="009824D2">
        <w:rPr>
          <w:iCs/>
        </w:rPr>
        <w:t xml:space="preserve"> </w:t>
      </w:r>
      <w:r>
        <w:rPr>
          <w:iCs/>
        </w:rPr>
        <w:t xml:space="preserve">that may be unique to </w:t>
      </w:r>
      <w:r w:rsidR="00457DB8">
        <w:rPr>
          <w:iCs/>
        </w:rPr>
        <w:t>a</w:t>
      </w:r>
      <w:r w:rsidR="00B55408">
        <w:rPr>
          <w:iCs/>
        </w:rPr>
        <w:t xml:space="preserve"> </w:t>
      </w:r>
      <w:r w:rsidR="00B55408">
        <w:t xml:space="preserve">ceftriaxone-resistant gonorrhea </w:t>
      </w:r>
      <w:r w:rsidR="00457DB8">
        <w:rPr>
          <w:iCs/>
        </w:rPr>
        <w:t xml:space="preserve">outbreak </w:t>
      </w:r>
      <w:r w:rsidR="009824D2">
        <w:rPr>
          <w:iCs/>
        </w:rPr>
        <w:t xml:space="preserve">include </w:t>
      </w:r>
    </w:p>
    <w:p w14:paraId="5622F9F8" w14:textId="3382C5EA" w:rsidR="00991480" w:rsidRDefault="00E638E7" w:rsidP="00274AB5">
      <w:pPr>
        <w:pStyle w:val="ListParagraph"/>
        <w:numPr>
          <w:ilvl w:val="0"/>
          <w:numId w:val="9"/>
        </w:numPr>
      </w:pPr>
      <w:r>
        <w:t>Clinical history taking, work-up, specimen collection,</w:t>
      </w:r>
      <w:r w:rsidR="00991480">
        <w:t xml:space="preserve"> and treatment</w:t>
      </w:r>
    </w:p>
    <w:p w14:paraId="5ACDDE33" w14:textId="15C8B171" w:rsidR="009824D2" w:rsidRPr="009824D2" w:rsidRDefault="009824D2" w:rsidP="00274AB5">
      <w:pPr>
        <w:pStyle w:val="ListParagraph"/>
        <w:numPr>
          <w:ilvl w:val="0"/>
          <w:numId w:val="9"/>
        </w:numPr>
      </w:pPr>
      <w:r w:rsidRPr="009824D2">
        <w:t>Laboratory specimen collection, transport, and testing oversight</w:t>
      </w:r>
    </w:p>
    <w:p w14:paraId="6750A4AB" w14:textId="5C1AB0F3" w:rsidR="00E0044C" w:rsidRPr="00E63FC6" w:rsidRDefault="00E63FC6" w:rsidP="00274AB5">
      <w:r>
        <w:t>An e</w:t>
      </w:r>
      <w:r w:rsidRPr="00E63FC6">
        <w:t xml:space="preserve">xample of </w:t>
      </w:r>
      <w:r>
        <w:t>a</w:t>
      </w:r>
      <w:r w:rsidR="00B55408">
        <w:t xml:space="preserve"> ceftriaxone-resistant gonorrhea </w:t>
      </w:r>
      <w:r>
        <w:t>response structure with specific</w:t>
      </w:r>
      <w:r w:rsidR="00E638E7">
        <w:t xml:space="preserve"> defined</w:t>
      </w:r>
      <w:r>
        <w:t xml:space="preserve"> roles and responsibilities is included in Appendix B. </w:t>
      </w:r>
    </w:p>
    <w:p w14:paraId="1BCA2C89" w14:textId="6F5EC680" w:rsidR="00B574CB" w:rsidRPr="009450CA" w:rsidRDefault="0002029D" w:rsidP="00A4697F">
      <w:pPr>
        <w:pStyle w:val="Heading3"/>
      </w:pPr>
      <w:r w:rsidRPr="00A4697F">
        <w:rPr>
          <w:b/>
          <w:bCs/>
        </w:rPr>
        <w:t>2.c.</w:t>
      </w:r>
      <w:r>
        <w:t xml:space="preserve"> </w:t>
      </w:r>
      <w:r w:rsidR="00B574CB" w:rsidRPr="009450CA">
        <w:t>Additional staffing</w:t>
      </w:r>
      <w:r w:rsidR="003460C7" w:rsidRPr="009450CA">
        <w:t xml:space="preserve"> </w:t>
      </w:r>
      <w:r w:rsidR="00562ED3">
        <w:t xml:space="preserve">and resource </w:t>
      </w:r>
      <w:r w:rsidR="003460C7" w:rsidRPr="009450CA">
        <w:t>capacity</w:t>
      </w:r>
    </w:p>
    <w:p w14:paraId="07698423" w14:textId="2652C960" w:rsidR="002E2577" w:rsidRDefault="0002029D" w:rsidP="00274AB5">
      <w:r>
        <w:t xml:space="preserve">Refer to </w:t>
      </w:r>
      <w:r w:rsidR="008374CA">
        <w:t xml:space="preserve">CDC’s </w:t>
      </w:r>
      <w:hyperlink r:id="rId11" w:history="1">
        <w:r w:rsidR="000D7C94" w:rsidRPr="008374CA">
          <w:rPr>
            <w:rStyle w:val="Hyperlink"/>
          </w:rPr>
          <w:t>STD Outbreak Response Plan Guide</w:t>
        </w:r>
      </w:hyperlink>
      <w:r>
        <w:t xml:space="preserve"> for general considerations related to additional staffing and resource capacity. Specific questions to consider for </w:t>
      </w:r>
      <w:r w:rsidR="00B55408">
        <w:t xml:space="preserve">ceftriaxone-resistant gonorrhea </w:t>
      </w:r>
      <w:r>
        <w:t>outbreaks are listed below:</w:t>
      </w:r>
    </w:p>
    <w:p w14:paraId="157AC3A2" w14:textId="77777777" w:rsidR="00562ED3" w:rsidRPr="00256108" w:rsidRDefault="00562ED3" w:rsidP="004A27E2">
      <w:pPr>
        <w:pStyle w:val="Heading4"/>
      </w:pPr>
      <w:r>
        <w:t>Laboratory staffing</w:t>
      </w:r>
      <w:r w:rsidR="00167969">
        <w:t xml:space="preserve"> and supplies</w:t>
      </w:r>
    </w:p>
    <w:p w14:paraId="21AFE376" w14:textId="77777777" w:rsidR="00AD7200" w:rsidRDefault="00AD7200" w:rsidP="00274AB5">
      <w:pPr>
        <w:pStyle w:val="ListParagraph"/>
        <w:numPr>
          <w:ilvl w:val="0"/>
          <w:numId w:val="15"/>
        </w:numPr>
      </w:pPr>
      <w:r w:rsidRPr="00AD7200">
        <w:t>What are the available STD laboratory services</w:t>
      </w:r>
      <w:r w:rsidR="00562ED3">
        <w:t xml:space="preserve"> and what is the workload capacity of the current laboratory workforce</w:t>
      </w:r>
      <w:r w:rsidRPr="00AD7200">
        <w:t>?</w:t>
      </w:r>
    </w:p>
    <w:p w14:paraId="73B5F5E3" w14:textId="77777777" w:rsidR="00456A8B" w:rsidRDefault="00456A8B" w:rsidP="00274AB5">
      <w:pPr>
        <w:pStyle w:val="ListParagraph"/>
        <w:numPr>
          <w:ilvl w:val="0"/>
          <w:numId w:val="15"/>
        </w:numPr>
      </w:pPr>
      <w:r>
        <w:t>What are the culture and antibiotic testing capabilities for the public health and other local laboratories?</w:t>
      </w:r>
    </w:p>
    <w:p w14:paraId="26A7055F" w14:textId="77777777" w:rsidR="00562ED3" w:rsidRDefault="00562ED3" w:rsidP="00274AB5">
      <w:pPr>
        <w:pStyle w:val="ListParagraph"/>
        <w:numPr>
          <w:ilvl w:val="0"/>
          <w:numId w:val="15"/>
        </w:numPr>
      </w:pPr>
      <w:r>
        <w:t>What is the estimated maximum workload (such as the number of cultures that can be processed or isolates that can undergo AST in a timely manner) of the laboratory staff?</w:t>
      </w:r>
    </w:p>
    <w:p w14:paraId="7085C362" w14:textId="5EC3475E" w:rsidR="00B17B7B" w:rsidRPr="00D3295D" w:rsidRDefault="00B17B7B" w:rsidP="00274AB5">
      <w:pPr>
        <w:pStyle w:val="ListParagraph"/>
        <w:numPr>
          <w:ilvl w:val="0"/>
          <w:numId w:val="15"/>
        </w:numPr>
      </w:pPr>
      <w:r w:rsidRPr="00D3295D">
        <w:t>What additional laboratory supplies may be needed in an outbreak situation (</w:t>
      </w:r>
      <w:r w:rsidR="00E638E7">
        <w:t>e</w:t>
      </w:r>
      <w:r w:rsidRPr="00D3295D">
        <w:t>.</w:t>
      </w:r>
      <w:r w:rsidR="00E638E7">
        <w:t>g</w:t>
      </w:r>
      <w:r w:rsidRPr="00D3295D">
        <w:t>.</w:t>
      </w:r>
      <w:r w:rsidR="00E638E7">
        <w:t>,</w:t>
      </w:r>
      <w:r w:rsidRPr="00D3295D">
        <w:t xml:space="preserve"> culture collection and AST supplies including culture plates and media, culture collection transport systems</w:t>
      </w:r>
      <w:r w:rsidR="00E638E7">
        <w:t>,</w:t>
      </w:r>
      <w:r w:rsidRPr="00D3295D">
        <w:t xml:space="preserve"> such as </w:t>
      </w:r>
      <w:proofErr w:type="spellStart"/>
      <w:r w:rsidRPr="00D3295D">
        <w:t>E</w:t>
      </w:r>
      <w:r w:rsidR="00E638E7">
        <w:t>S</w:t>
      </w:r>
      <w:r w:rsidRPr="00D3295D">
        <w:t>wab</w:t>
      </w:r>
      <w:proofErr w:type="spellEnd"/>
      <w:r w:rsidRPr="00D3295D">
        <w:t xml:space="preserve"> or </w:t>
      </w:r>
      <w:proofErr w:type="spellStart"/>
      <w:r w:rsidRPr="00D3295D">
        <w:t>Intray</w:t>
      </w:r>
      <w:proofErr w:type="spellEnd"/>
      <w:r w:rsidRPr="00D3295D">
        <w:t xml:space="preserve">, specimen collection swabs, </w:t>
      </w:r>
      <w:proofErr w:type="spellStart"/>
      <w:r w:rsidRPr="00D3295D">
        <w:t>Etest</w:t>
      </w:r>
      <w:proofErr w:type="spellEnd"/>
      <w:r w:rsidR="00AA5BB3">
        <w:rPr>
          <w:rFonts w:cstheme="minorHAnsi"/>
        </w:rPr>
        <w:t>™</w:t>
      </w:r>
      <w:r w:rsidRPr="00D3295D">
        <w:t xml:space="preserve"> AST strips, shipping supplies)</w:t>
      </w:r>
      <w:r w:rsidR="00D3295D">
        <w:t>, and can they be procured quickly when needed</w:t>
      </w:r>
      <w:r w:rsidRPr="00D3295D">
        <w:t xml:space="preserve">? </w:t>
      </w:r>
    </w:p>
    <w:p w14:paraId="56A57771" w14:textId="5F9F66B7" w:rsidR="00B17B7B" w:rsidRDefault="00B17B7B" w:rsidP="00274AB5">
      <w:pPr>
        <w:pStyle w:val="ListParagraph"/>
        <w:numPr>
          <w:ilvl w:val="0"/>
          <w:numId w:val="15"/>
        </w:numPr>
      </w:pPr>
      <w:r w:rsidRPr="00D3295D">
        <w:t>Does routine courier service exist between local STD clinic and lab that will be performing culture and AST?</w:t>
      </w:r>
    </w:p>
    <w:p w14:paraId="01347451" w14:textId="5149E092" w:rsidR="00321A0B" w:rsidRDefault="003E227E" w:rsidP="00274AB5">
      <w:pPr>
        <w:pStyle w:val="ListParagraph"/>
        <w:numPr>
          <w:ilvl w:val="0"/>
          <w:numId w:val="15"/>
        </w:numPr>
      </w:pPr>
      <w:r>
        <w:lastRenderedPageBreak/>
        <w:t>If</w:t>
      </w:r>
      <w:r w:rsidR="00321A0B">
        <w:t xml:space="preserve"> considering molecular surveillance as part of an outbreak response</w:t>
      </w:r>
      <w:r w:rsidR="00245E12">
        <w:t xml:space="preserve"> (</w:t>
      </w:r>
      <w:r w:rsidR="00E638E7">
        <w:t>e</w:t>
      </w:r>
      <w:r w:rsidR="00245E12">
        <w:t>.</w:t>
      </w:r>
      <w:r w:rsidR="00E638E7">
        <w:t>g</w:t>
      </w:r>
      <w:r w:rsidR="00245E12">
        <w:t>.</w:t>
      </w:r>
      <w:r w:rsidR="00E638E7">
        <w:t>,</w:t>
      </w:r>
      <w:r w:rsidR="00245E12">
        <w:t xml:space="preserve"> </w:t>
      </w:r>
      <w:r>
        <w:t>testing remnant NAAT</w:t>
      </w:r>
      <w:r w:rsidR="00E638E7">
        <w:t xml:space="preserve"> specimen</w:t>
      </w:r>
      <w:r>
        <w:t xml:space="preserve">s to </w:t>
      </w:r>
      <w:r w:rsidR="00E638E7">
        <w:t>detect</w:t>
      </w:r>
      <w:r w:rsidR="00245E12">
        <w:t xml:space="preserve"> molecular markers </w:t>
      </w:r>
      <w:r>
        <w:t xml:space="preserve">of antibiotic resistance observed in the </w:t>
      </w:r>
      <w:r w:rsidR="00245E12">
        <w:t>outbreak strain)</w:t>
      </w:r>
      <w:r w:rsidR="00321A0B">
        <w:t xml:space="preserve">, </w:t>
      </w:r>
      <w:r>
        <w:t xml:space="preserve">jurisdiction </w:t>
      </w:r>
      <w:r w:rsidR="00321A0B">
        <w:t>may want to consider these additional questions:</w:t>
      </w:r>
    </w:p>
    <w:p w14:paraId="15747DC3" w14:textId="1A3927C5" w:rsidR="00321A0B" w:rsidRDefault="00245E12" w:rsidP="00274AB5">
      <w:pPr>
        <w:pStyle w:val="ListParagraph"/>
        <w:numPr>
          <w:ilvl w:val="1"/>
          <w:numId w:val="15"/>
        </w:numPr>
      </w:pPr>
      <w:r>
        <w:t xml:space="preserve">Is there capacity at the </w:t>
      </w:r>
      <w:r w:rsidR="00E638E7">
        <w:t>public health laboratory (</w:t>
      </w:r>
      <w:r>
        <w:t>PHL</w:t>
      </w:r>
      <w:r w:rsidR="00E638E7">
        <w:t>)</w:t>
      </w:r>
      <w:r>
        <w:t xml:space="preserve"> or perhaps a local university lab to conduct</w:t>
      </w:r>
      <w:r w:rsidR="00E638E7">
        <w:t xml:space="preserve"> requisite</w:t>
      </w:r>
      <w:r>
        <w:t xml:space="preserve"> molecular </w:t>
      </w:r>
      <w:r w:rsidR="00E638E7">
        <w:t>testing</w:t>
      </w:r>
      <w:r>
        <w:t xml:space="preserve"> (e.g.</w:t>
      </w:r>
      <w:r w:rsidR="00E638E7">
        <w:t>,</w:t>
      </w:r>
      <w:r>
        <w:t xml:space="preserve"> access to real-time PCR, capacity to develop and/or validate and run a molecular probe, staffing to coordinate collection of remnant NAAT</w:t>
      </w:r>
      <w:r w:rsidR="00E638E7">
        <w:t xml:space="preserve"> specimen</w:t>
      </w:r>
      <w:r>
        <w:t>s, staffing to extract DNA from remnant NAAT</w:t>
      </w:r>
      <w:r w:rsidR="00E638E7">
        <w:t xml:space="preserve"> specimen</w:t>
      </w:r>
      <w:r>
        <w:t>s, staffing for related coordination roles</w:t>
      </w:r>
      <w:r w:rsidR="00E638E7">
        <w:t>)</w:t>
      </w:r>
      <w:r>
        <w:t xml:space="preserve">. </w:t>
      </w:r>
    </w:p>
    <w:p w14:paraId="7E8D115B" w14:textId="7CD2A94D" w:rsidR="00245E12" w:rsidRPr="00D3295D" w:rsidRDefault="00245E12" w:rsidP="00274AB5">
      <w:pPr>
        <w:pStyle w:val="ListParagraph"/>
        <w:numPr>
          <w:ilvl w:val="1"/>
          <w:numId w:val="15"/>
        </w:numPr>
      </w:pPr>
      <w:r>
        <w:t xml:space="preserve">What additional staffing resources </w:t>
      </w:r>
      <w:r w:rsidR="001F77BF">
        <w:t xml:space="preserve">and/or relationships with other health care facilities or labs </w:t>
      </w:r>
      <w:r>
        <w:t xml:space="preserve">may be needed </w:t>
      </w:r>
      <w:r w:rsidR="00E55E9D">
        <w:t xml:space="preserve">(perhaps in advance of an outbreak) </w:t>
      </w:r>
      <w:r>
        <w:t xml:space="preserve">to coordinate access to remnant NAAT specimens (perhaps from multiple labs) to use for the molecular surveillance, and perform associated tracking? </w:t>
      </w:r>
    </w:p>
    <w:p w14:paraId="24E4192C" w14:textId="77777777" w:rsidR="00562ED3" w:rsidRPr="00256108" w:rsidRDefault="00562ED3" w:rsidP="00EA27AD">
      <w:pPr>
        <w:pStyle w:val="Heading4"/>
      </w:pPr>
      <w:r w:rsidRPr="00256108">
        <w:t>Clinical services</w:t>
      </w:r>
    </w:p>
    <w:p w14:paraId="54F467D6" w14:textId="17A63BCC" w:rsidR="00562ED3" w:rsidRDefault="00562ED3" w:rsidP="00274AB5">
      <w:pPr>
        <w:pStyle w:val="ListParagraph"/>
        <w:numPr>
          <w:ilvl w:val="0"/>
          <w:numId w:val="15"/>
        </w:numPr>
      </w:pPr>
      <w:r>
        <w:t xml:space="preserve">Which healthcare settings </w:t>
      </w:r>
      <w:r w:rsidR="00782CAA">
        <w:t xml:space="preserve">are </w:t>
      </w:r>
      <w:r>
        <w:t>currently able to</w:t>
      </w:r>
      <w:r w:rsidR="00D3295D">
        <w:t xml:space="preserve"> collect specimens for and/or perform GC culture</w:t>
      </w:r>
      <w:r w:rsidR="00AE5BD0">
        <w:t xml:space="preserve"> and/or AST </w:t>
      </w:r>
      <w:r>
        <w:t xml:space="preserve">for </w:t>
      </w:r>
      <w:r w:rsidRPr="00182692">
        <w:rPr>
          <w:i/>
          <w:iCs/>
        </w:rPr>
        <w:t>N. gonorrhoeae</w:t>
      </w:r>
      <w:r w:rsidRPr="00AE5BD0">
        <w:t>?</w:t>
      </w:r>
      <w:r>
        <w:t xml:space="preserve"> What is the maximum patient volume that these settings could handle if there was an outbreak?</w:t>
      </w:r>
    </w:p>
    <w:p w14:paraId="3F4068A4" w14:textId="77777777" w:rsidR="00562ED3" w:rsidRDefault="00562ED3" w:rsidP="00274AB5">
      <w:pPr>
        <w:pStyle w:val="ListParagraph"/>
        <w:numPr>
          <w:ilvl w:val="0"/>
          <w:numId w:val="15"/>
        </w:numPr>
      </w:pPr>
      <w:r>
        <w:t>Which healthcare settings stock ceftriaxone and can treat patients diagnosed with gonorrhea?</w:t>
      </w:r>
    </w:p>
    <w:p w14:paraId="24FB24A3" w14:textId="77777777" w:rsidR="008C3170" w:rsidRDefault="008C3170" w:rsidP="00274AB5">
      <w:pPr>
        <w:pStyle w:val="ListParagraph"/>
        <w:numPr>
          <w:ilvl w:val="0"/>
          <w:numId w:val="15"/>
        </w:numPr>
      </w:pPr>
      <w:r>
        <w:t>Which healthcare settings stock and can administer intramuscular gentamicin?</w:t>
      </w:r>
    </w:p>
    <w:p w14:paraId="51B93883" w14:textId="5F50C092" w:rsidR="00B17B7B" w:rsidRDefault="00207EE5" w:rsidP="00274AB5">
      <w:pPr>
        <w:pStyle w:val="ListParagraph"/>
        <w:numPr>
          <w:ilvl w:val="0"/>
          <w:numId w:val="15"/>
        </w:numPr>
      </w:pPr>
      <w:r>
        <w:t>If needed for very rare instances of extensively drug-resistant infections, w</w:t>
      </w:r>
      <w:r w:rsidR="00B17B7B">
        <w:t xml:space="preserve">hich area hospitals could </w:t>
      </w:r>
      <w:r w:rsidR="008C3170">
        <w:t>administer</w:t>
      </w:r>
      <w:r w:rsidR="002560FC">
        <w:t xml:space="preserve"> an</w:t>
      </w:r>
      <w:r w:rsidR="008C3170">
        <w:t xml:space="preserve"> </w:t>
      </w:r>
      <w:r w:rsidR="00B17B7B">
        <w:t xml:space="preserve">IV </w:t>
      </w:r>
      <w:r w:rsidR="00E41AF7">
        <w:t>antibiotic to patients diagnosed with gonorrhea</w:t>
      </w:r>
      <w:r w:rsidR="00B17B7B">
        <w:t xml:space="preserve">?  </w:t>
      </w:r>
    </w:p>
    <w:p w14:paraId="793BB144" w14:textId="0290BE99" w:rsidR="00AE5BD0" w:rsidRDefault="00562ED3" w:rsidP="00EA27AD">
      <w:pPr>
        <w:pStyle w:val="ListParagraph"/>
        <w:numPr>
          <w:ilvl w:val="0"/>
          <w:numId w:val="15"/>
        </w:numPr>
      </w:pPr>
      <w:r>
        <w:t xml:space="preserve">Are other healthcare settings able to rapidly establish culture for </w:t>
      </w:r>
      <w:r w:rsidRPr="00182692">
        <w:rPr>
          <w:i/>
          <w:iCs/>
        </w:rPr>
        <w:t>N. gonorrhoeae</w:t>
      </w:r>
      <w:r>
        <w:t xml:space="preserve"> or offer gonorrhea NAAT testing if there was an outbreak?</w:t>
      </w:r>
    </w:p>
    <w:p w14:paraId="7CF1854C" w14:textId="2EAADB3D" w:rsidR="00457DB8" w:rsidRDefault="00457DB8" w:rsidP="00EA27AD">
      <w:pPr>
        <w:pStyle w:val="Heading3"/>
      </w:pPr>
      <w:r w:rsidRPr="00EA27AD">
        <w:rPr>
          <w:b/>
          <w:bCs/>
        </w:rPr>
        <w:t>2.d.</w:t>
      </w:r>
      <w:r>
        <w:t xml:space="preserve"> </w:t>
      </w:r>
      <w:r w:rsidRPr="009450CA">
        <w:t xml:space="preserve">Data security </w:t>
      </w:r>
    </w:p>
    <w:p w14:paraId="2C27BEF7" w14:textId="152FF675" w:rsidR="000D7C94" w:rsidRDefault="000D7C94" w:rsidP="00274AB5">
      <w:r>
        <w:t xml:space="preserve">Refer to </w:t>
      </w:r>
      <w:r w:rsidR="008374CA">
        <w:t xml:space="preserve">CDC’s </w:t>
      </w:r>
      <w:hyperlink r:id="rId12" w:history="1">
        <w:r w:rsidR="008374CA" w:rsidRPr="008374CA">
          <w:rPr>
            <w:rStyle w:val="Hyperlink"/>
          </w:rPr>
          <w:t>STD Outbreak Response Plan Guide</w:t>
        </w:r>
      </w:hyperlink>
      <w:r>
        <w:t xml:space="preserve"> for general considerations related to data security.</w:t>
      </w:r>
    </w:p>
    <w:p w14:paraId="29EE92FB" w14:textId="31B29C6D" w:rsidR="00457DB8" w:rsidRPr="009450CA" w:rsidRDefault="00457DB8" w:rsidP="00EA27AD">
      <w:pPr>
        <w:pStyle w:val="Heading3"/>
      </w:pPr>
      <w:r w:rsidRPr="00EA27AD">
        <w:rPr>
          <w:b/>
          <w:bCs/>
        </w:rPr>
        <w:t>2.e.</w:t>
      </w:r>
      <w:r>
        <w:t xml:space="preserve"> </w:t>
      </w:r>
      <w:r w:rsidRPr="009450CA">
        <w:t>Communications Plan</w:t>
      </w:r>
    </w:p>
    <w:p w14:paraId="020C8567" w14:textId="071D1401" w:rsidR="00AE5BD0" w:rsidRPr="0002029D" w:rsidRDefault="000D7C94" w:rsidP="00274AB5">
      <w:pPr>
        <w:rPr>
          <w:iCs/>
        </w:rPr>
      </w:pPr>
      <w:r>
        <w:t xml:space="preserve">Refer to </w:t>
      </w:r>
      <w:bookmarkStart w:id="0" w:name="_Hlk70518307"/>
      <w:r w:rsidR="008374CA">
        <w:t xml:space="preserve">CDC’s </w:t>
      </w:r>
      <w:hyperlink r:id="rId13" w:history="1">
        <w:r w:rsidR="008374CA" w:rsidRPr="008374CA">
          <w:rPr>
            <w:rStyle w:val="Hyperlink"/>
          </w:rPr>
          <w:t>STD Outbreak Response Plan Guide</w:t>
        </w:r>
      </w:hyperlink>
      <w:bookmarkEnd w:id="0"/>
      <w:r>
        <w:t xml:space="preserve"> for general considerations related to communication. </w:t>
      </w:r>
      <w:r w:rsidR="008548B7">
        <w:t xml:space="preserve">CDC has developed a Health Alert HAN template for </w:t>
      </w:r>
      <w:r w:rsidR="00E638E7">
        <w:t>g</w:t>
      </w:r>
      <w:r w:rsidR="008548B7">
        <w:t xml:space="preserve">onorrhea with reduced susceptibility available at </w:t>
      </w:r>
      <w:hyperlink r:id="rId14" w:history="1">
        <w:r w:rsidR="008548B7" w:rsidRPr="00197728">
          <w:rPr>
            <w:rStyle w:val="Hyperlink"/>
          </w:rPr>
          <w:t>https://www.cdc.gov/std/program/outbreakresources/HANtemplate-gono.htm</w:t>
        </w:r>
      </w:hyperlink>
      <w:r w:rsidR="008548B7">
        <w:t xml:space="preserve">. </w:t>
      </w:r>
      <w:r w:rsidR="00782CAA">
        <w:t>In preparing a ceftriaxone-resistant gonorrhea outbreak plan, jurisdictions may want to consider drafting a HAN template to report on a gonorrhea case(s) with known ceftriaxone resistance and treatment failure with recommended treatment, or draft outbreak-related messages to key populations.</w:t>
      </w:r>
    </w:p>
    <w:p w14:paraId="1276812A" w14:textId="31F330EE" w:rsidR="000D7C94" w:rsidRPr="009450CA" w:rsidRDefault="000D7C94" w:rsidP="00EA27AD">
      <w:pPr>
        <w:pStyle w:val="Heading3"/>
      </w:pPr>
      <w:r w:rsidRPr="00E94C2C">
        <w:rPr>
          <w:b/>
          <w:bCs/>
        </w:rPr>
        <w:t>2.f.</w:t>
      </w:r>
      <w:r>
        <w:t xml:space="preserve"> </w:t>
      </w:r>
      <w:r w:rsidRPr="009450CA">
        <w:t>Identify partnerships</w:t>
      </w:r>
      <w:r>
        <w:t xml:space="preserve"> and collaborations</w:t>
      </w:r>
    </w:p>
    <w:p w14:paraId="7B47F76C" w14:textId="417AEF88" w:rsidR="0053506D" w:rsidRDefault="000D7C94" w:rsidP="00274AB5">
      <w:r>
        <w:lastRenderedPageBreak/>
        <w:t xml:space="preserve">Refer to </w:t>
      </w:r>
      <w:r w:rsidR="002A79D5">
        <w:t xml:space="preserve">CDC’s </w:t>
      </w:r>
      <w:hyperlink r:id="rId15" w:history="1">
        <w:r w:rsidR="002A79D5" w:rsidRPr="008374CA">
          <w:rPr>
            <w:rStyle w:val="Hyperlink"/>
          </w:rPr>
          <w:t>STD Outbreak Response Plan Guide</w:t>
        </w:r>
      </w:hyperlink>
      <w:r w:rsidR="0010532D">
        <w:rPr>
          <w:rStyle w:val="Hyperlink"/>
        </w:rPr>
        <w:t xml:space="preserve"> </w:t>
      </w:r>
      <w:r>
        <w:t xml:space="preserve">for general considerations related to partnerships and collaborations. Additional </w:t>
      </w:r>
      <w:bookmarkStart w:id="1" w:name="_Hlk55464358"/>
      <w:r>
        <w:t>partnerships that a jurisdiction can consider strengthening or developing to respond to a</w:t>
      </w:r>
      <w:r w:rsidR="00B55408">
        <w:t xml:space="preserve"> ceftriaxone-resistant gonorrhea </w:t>
      </w:r>
      <w:r w:rsidR="00E638E7">
        <w:t>o</w:t>
      </w:r>
      <w:r>
        <w:t xml:space="preserve">utbreak include: </w:t>
      </w:r>
    </w:p>
    <w:p w14:paraId="0BB7DB1D" w14:textId="7C26B232" w:rsidR="0053506D" w:rsidRDefault="0053506D" w:rsidP="00E94C2C">
      <w:pPr>
        <w:pStyle w:val="ListParagraph"/>
        <w:numPr>
          <w:ilvl w:val="0"/>
          <w:numId w:val="35"/>
        </w:numPr>
        <w:spacing w:after="120"/>
        <w:contextualSpacing w:val="0"/>
      </w:pPr>
      <w:r>
        <w:t xml:space="preserve">Local hospital that could administer IM gentamicin (or </w:t>
      </w:r>
      <w:r w:rsidR="008E660A">
        <w:t xml:space="preserve">an </w:t>
      </w:r>
      <w:r>
        <w:t xml:space="preserve">IV </w:t>
      </w:r>
      <w:r w:rsidR="008E660A">
        <w:t xml:space="preserve">antibiotic </w:t>
      </w:r>
      <w:r>
        <w:t>if recommended by CDC)</w:t>
      </w:r>
    </w:p>
    <w:p w14:paraId="275DABDF" w14:textId="1EA90AA5" w:rsidR="0053506D" w:rsidRDefault="0053506D" w:rsidP="00E94C2C">
      <w:pPr>
        <w:pStyle w:val="ListParagraph"/>
        <w:numPr>
          <w:ilvl w:val="0"/>
          <w:numId w:val="35"/>
        </w:numPr>
        <w:spacing w:after="120"/>
        <w:contextualSpacing w:val="0"/>
      </w:pPr>
      <w:r>
        <w:t>Local laboratories for GC culture, AST, molecular detection, and access to remnant NAAT</w:t>
      </w:r>
      <w:r w:rsidR="00E638E7">
        <w:t xml:space="preserve"> specimen</w:t>
      </w:r>
      <w:r>
        <w:t>s for molecular detection</w:t>
      </w:r>
    </w:p>
    <w:p w14:paraId="12EBDB74" w14:textId="5AAAF14B" w:rsidR="0053506D" w:rsidRDefault="0053506D" w:rsidP="00E94C2C">
      <w:pPr>
        <w:pStyle w:val="ListParagraph"/>
        <w:numPr>
          <w:ilvl w:val="0"/>
          <w:numId w:val="35"/>
        </w:numPr>
        <w:spacing w:after="120"/>
        <w:contextualSpacing w:val="0"/>
      </w:pPr>
      <w:r>
        <w:t>Key healthcare providers (e.g.</w:t>
      </w:r>
      <w:r w:rsidR="00E638E7">
        <w:t>,</w:t>
      </w:r>
      <w:r>
        <w:t xml:space="preserve"> those serving large numbers of at-risk populations</w:t>
      </w:r>
      <w:r w:rsidR="00E638E7">
        <w:t>,</w:t>
      </w:r>
      <w:r>
        <w:t xml:space="preserve"> such as MSM)</w:t>
      </w:r>
    </w:p>
    <w:p w14:paraId="7D4EB64C" w14:textId="77777777" w:rsidR="0053506D" w:rsidRDefault="0053506D" w:rsidP="00E94C2C">
      <w:pPr>
        <w:pStyle w:val="ListParagraph"/>
        <w:numPr>
          <w:ilvl w:val="0"/>
          <w:numId w:val="35"/>
        </w:numPr>
        <w:spacing w:after="120"/>
        <w:contextualSpacing w:val="0"/>
      </w:pPr>
      <w:r>
        <w:t>Community-based organizations</w:t>
      </w:r>
    </w:p>
    <w:p w14:paraId="4FB4748C" w14:textId="6E9970FC" w:rsidR="0053506D" w:rsidRDefault="0053506D" w:rsidP="00E94C2C">
      <w:pPr>
        <w:pStyle w:val="ListParagraph"/>
        <w:numPr>
          <w:ilvl w:val="0"/>
          <w:numId w:val="35"/>
        </w:numPr>
        <w:spacing w:after="120"/>
        <w:contextualSpacing w:val="0"/>
      </w:pPr>
      <w:r>
        <w:t>Local businesses</w:t>
      </w:r>
      <w:r w:rsidR="00782CAA">
        <w:t xml:space="preserve"> serving at-risk populations</w:t>
      </w:r>
      <w:r>
        <w:t xml:space="preserve"> (e.g.</w:t>
      </w:r>
      <w:r w:rsidR="00E638E7">
        <w:t>,</w:t>
      </w:r>
      <w:r>
        <w:t xml:space="preserve"> massage parlors or bath houses)</w:t>
      </w:r>
    </w:p>
    <w:p w14:paraId="58E81146" w14:textId="77777777" w:rsidR="0053506D" w:rsidRDefault="0053506D" w:rsidP="00E94C2C">
      <w:pPr>
        <w:pStyle w:val="ListParagraph"/>
        <w:numPr>
          <w:ilvl w:val="0"/>
          <w:numId w:val="35"/>
        </w:numPr>
        <w:spacing w:after="120"/>
        <w:contextualSpacing w:val="0"/>
      </w:pPr>
      <w:r>
        <w:t>Professional provider organizations</w:t>
      </w:r>
    </w:p>
    <w:p w14:paraId="59EB9247" w14:textId="77777777" w:rsidR="0053506D" w:rsidRDefault="0053506D" w:rsidP="00E94C2C">
      <w:pPr>
        <w:pStyle w:val="ListParagraph"/>
        <w:numPr>
          <w:ilvl w:val="0"/>
          <w:numId w:val="35"/>
        </w:numPr>
        <w:spacing w:after="120"/>
        <w:contextualSpacing w:val="0"/>
      </w:pPr>
      <w:r>
        <w:t xml:space="preserve">Local laboratories </w:t>
      </w:r>
    </w:p>
    <w:p w14:paraId="3D57A48E" w14:textId="77777777" w:rsidR="0053506D" w:rsidRDefault="0053506D" w:rsidP="00E94C2C">
      <w:pPr>
        <w:pStyle w:val="ListParagraph"/>
        <w:numPr>
          <w:ilvl w:val="0"/>
          <w:numId w:val="35"/>
        </w:numPr>
        <w:spacing w:after="120"/>
        <w:contextualSpacing w:val="0"/>
      </w:pPr>
      <w:r>
        <w:t xml:space="preserve">National Network of STD Clinical Prevention Training Centers </w:t>
      </w:r>
      <w:hyperlink r:id="rId16" w:history="1">
        <w:r w:rsidRPr="00F61963">
          <w:rPr>
            <w:rStyle w:val="Hyperlink"/>
          </w:rPr>
          <w:t>https://nnptc.org/</w:t>
        </w:r>
      </w:hyperlink>
    </w:p>
    <w:bookmarkEnd w:id="1"/>
    <w:p w14:paraId="0116C64E" w14:textId="5C98F144" w:rsidR="00EB55B5" w:rsidRPr="00EF0DBA" w:rsidRDefault="00EB55B5" w:rsidP="00274AB5">
      <w:pPr>
        <w:pStyle w:val="Heading2"/>
      </w:pPr>
      <w:r>
        <w:t>Considerations for Managing a</w:t>
      </w:r>
      <w:r w:rsidRPr="000E216C">
        <w:t xml:space="preserve"> Response</w:t>
      </w:r>
    </w:p>
    <w:p w14:paraId="3D36E899" w14:textId="519D68D0" w:rsidR="00457DB8" w:rsidRDefault="005124E8" w:rsidP="00E94C2C">
      <w:bookmarkStart w:id="2" w:name="_Hlk55464471"/>
      <w:r>
        <w:t>This section</w:t>
      </w:r>
      <w:r w:rsidR="00EB55B5">
        <w:t xml:space="preserve"> covers several aspects of managing and conduc</w:t>
      </w:r>
      <w:r w:rsidR="00E638E7">
        <w:t>t</w:t>
      </w:r>
      <w:r w:rsidR="00EB55B5">
        <w:t xml:space="preserve">ing a response. This section is not meant to be template for how to conduct a response nor is it meant to be comprehensive of all aspects to consider. Rather, it is meant to highlight a few selected aspects that might be overlooked and/or are aspects of an outbreak response that might be unique to </w:t>
      </w:r>
      <w:r w:rsidR="00E638E7">
        <w:t xml:space="preserve">a </w:t>
      </w:r>
      <w:r w:rsidR="00EB55B5">
        <w:t>ceftriaxone-resistant gonorrhea</w:t>
      </w:r>
      <w:r w:rsidR="00E638E7">
        <w:t xml:space="preserve"> outbreak</w:t>
      </w:r>
      <w:r w:rsidR="00EB55B5">
        <w:t xml:space="preserve">. </w:t>
      </w:r>
      <w:bookmarkEnd w:id="2"/>
    </w:p>
    <w:p w14:paraId="7E8606E0" w14:textId="6978D35A" w:rsidR="00457DB8" w:rsidRPr="001B6A5A" w:rsidRDefault="00F66082" w:rsidP="00E94C2C">
      <w:pPr>
        <w:pStyle w:val="Heading3"/>
      </w:pPr>
      <w:r w:rsidRPr="00E94C2C">
        <w:rPr>
          <w:b/>
          <w:bCs/>
        </w:rPr>
        <w:t>3.a.</w:t>
      </w:r>
      <w:r w:rsidR="00457DB8" w:rsidRPr="001B6A5A">
        <w:t xml:space="preserve"> Management Structure</w:t>
      </w:r>
    </w:p>
    <w:p w14:paraId="5D68437B" w14:textId="2A16EC09" w:rsidR="00F66082" w:rsidRPr="0002029D" w:rsidRDefault="00457DB8" w:rsidP="00274AB5">
      <w:pPr>
        <w:rPr>
          <w:iCs/>
        </w:rPr>
      </w:pPr>
      <w:r>
        <w:t xml:space="preserve">Jurisdictions may also wish to outline whether (or under what circumstances) an incident command structure (ICS) will be established to manage a </w:t>
      </w:r>
      <w:r w:rsidR="00B55408">
        <w:t xml:space="preserve">ceftriaxone-resistant gonorrhea </w:t>
      </w:r>
      <w:r>
        <w:t xml:space="preserve">outbreak response, and will it be established at the state and/or local level. </w:t>
      </w:r>
      <w:r w:rsidR="00F66082">
        <w:t xml:space="preserve"> Refer to </w:t>
      </w:r>
      <w:r w:rsidR="008374CA">
        <w:t xml:space="preserve">CDC’s </w:t>
      </w:r>
      <w:hyperlink r:id="rId17" w:history="1">
        <w:r w:rsidR="008374CA" w:rsidRPr="008374CA">
          <w:rPr>
            <w:rStyle w:val="Hyperlink"/>
          </w:rPr>
          <w:t>STD Outbreak Response Plan Guide</w:t>
        </w:r>
      </w:hyperlink>
      <w:r w:rsidR="008374CA">
        <w:t xml:space="preserve"> </w:t>
      </w:r>
      <w:r w:rsidR="00F66082">
        <w:t>for general considerations related to management structure.</w:t>
      </w:r>
    </w:p>
    <w:p w14:paraId="0928A904" w14:textId="21F1926B" w:rsidR="001B6A5A" w:rsidRDefault="001B6A5A" w:rsidP="00E94C2C">
      <w:pPr>
        <w:pStyle w:val="Heading3"/>
      </w:pPr>
      <w:bookmarkStart w:id="3" w:name="_Hlk49345261"/>
      <w:r w:rsidRPr="00E94C2C">
        <w:rPr>
          <w:b/>
          <w:bCs/>
        </w:rPr>
        <w:t>3.b.</w:t>
      </w:r>
      <w:r>
        <w:t xml:space="preserve"> </w:t>
      </w:r>
      <w:r w:rsidRPr="00CA60EF">
        <w:t>Informing, Coordinating</w:t>
      </w:r>
      <w:r w:rsidR="00B866BC">
        <w:t>,</w:t>
      </w:r>
      <w:r w:rsidRPr="00CA60EF">
        <w:t xml:space="preserve"> and Engaging with Partners</w:t>
      </w:r>
    </w:p>
    <w:p w14:paraId="6A65ABED" w14:textId="66111A6C" w:rsidR="001B6A5A" w:rsidRPr="0002029D" w:rsidRDefault="001B6A5A" w:rsidP="00274AB5">
      <w:pPr>
        <w:rPr>
          <w:iCs/>
        </w:rPr>
      </w:pPr>
      <w:r>
        <w:t xml:space="preserve">Refer to </w:t>
      </w:r>
      <w:r w:rsidR="008374CA">
        <w:t xml:space="preserve">CDC’s </w:t>
      </w:r>
      <w:hyperlink r:id="rId18" w:history="1">
        <w:r w:rsidR="008374CA" w:rsidRPr="008374CA">
          <w:rPr>
            <w:rStyle w:val="Hyperlink"/>
          </w:rPr>
          <w:t>STD Outbreak Response Plan Guide</w:t>
        </w:r>
      </w:hyperlink>
      <w:r>
        <w:t xml:space="preserve"> for general considerations related to communication. </w:t>
      </w:r>
    </w:p>
    <w:p w14:paraId="38F18296" w14:textId="7698EDA1" w:rsidR="001B6A5A" w:rsidRPr="00CA60EF" w:rsidRDefault="001B6A5A" w:rsidP="00E94C2C">
      <w:pPr>
        <w:pStyle w:val="Heading3"/>
      </w:pPr>
      <w:r w:rsidRPr="00E94C2C">
        <w:rPr>
          <w:b/>
          <w:bCs/>
        </w:rPr>
        <w:t>3.c.</w:t>
      </w:r>
      <w:r>
        <w:t xml:space="preserve"> </w:t>
      </w:r>
      <w:r w:rsidRPr="00CA60EF">
        <w:t>Prioritization of disease</w:t>
      </w:r>
    </w:p>
    <w:p w14:paraId="2662507A" w14:textId="5A8D1EA2" w:rsidR="001B6A5A" w:rsidRPr="0002029D" w:rsidRDefault="001B6A5A" w:rsidP="00274AB5">
      <w:pPr>
        <w:rPr>
          <w:iCs/>
        </w:rPr>
      </w:pPr>
      <w:r>
        <w:t xml:space="preserve">Refer to </w:t>
      </w:r>
      <w:r w:rsidR="008374CA">
        <w:t xml:space="preserve">CDC’s </w:t>
      </w:r>
      <w:hyperlink r:id="rId19" w:history="1">
        <w:r w:rsidR="008374CA" w:rsidRPr="008374CA">
          <w:rPr>
            <w:rStyle w:val="Hyperlink"/>
          </w:rPr>
          <w:t>STD Outbreak Response Plan Guide</w:t>
        </w:r>
      </w:hyperlink>
      <w:r>
        <w:t xml:space="preserve"> for general considerations related to disease prioritization. </w:t>
      </w:r>
      <w:r w:rsidR="00D61115">
        <w:t xml:space="preserve">In many jurisdictions DIS do not typically investigate gonorrhea cases.  Jurisdictions </w:t>
      </w:r>
      <w:r w:rsidR="00D61115">
        <w:lastRenderedPageBreak/>
        <w:t>should consider how they will quickly pivot DIS staff to focus on cases of resistant gonorrhea and/or provide updated training and support for DIS staff who may not be as familiar with gonorrhea investigations, ceftriaxone</w:t>
      </w:r>
      <w:r w:rsidR="00C650F9">
        <w:t>,</w:t>
      </w:r>
      <w:r w:rsidR="00D61115">
        <w:t xml:space="preserve"> and/or who may need to encourage and facilitate patient access to antibiotic susceptibility testing and/or tests of cure.    </w:t>
      </w:r>
    </w:p>
    <w:p w14:paraId="2864B4B1" w14:textId="4A347FEA" w:rsidR="001B6A5A" w:rsidRPr="006C79F5" w:rsidRDefault="001B6A5A" w:rsidP="00274AB5">
      <w:pPr>
        <w:pStyle w:val="Heading2"/>
      </w:pPr>
      <w:bookmarkStart w:id="4" w:name="_Hlk49345739"/>
      <w:r>
        <w:t>Outbreak Investigation and Response</w:t>
      </w:r>
    </w:p>
    <w:bookmarkEnd w:id="4"/>
    <w:p w14:paraId="4DC8589A" w14:textId="1451169E" w:rsidR="0053506D" w:rsidRDefault="0053506D" w:rsidP="00274AB5">
      <w:r>
        <w:t xml:space="preserve">This section is not meant to be template for how to conduct a response nor is it meant to be comprehensive of all aspects to consider. Rather, it is meant to highlight a few selected aspects that might be overlooked and/or are aspects of an outbreak response that might be unique to </w:t>
      </w:r>
      <w:r w:rsidR="00E638E7">
        <w:t xml:space="preserve">a </w:t>
      </w:r>
      <w:r>
        <w:t>ceftriaxone-resistant gonorrhea</w:t>
      </w:r>
      <w:r w:rsidR="00E638E7">
        <w:t xml:space="preserve"> outbreak</w:t>
      </w:r>
      <w:r>
        <w:t xml:space="preserve">. </w:t>
      </w:r>
    </w:p>
    <w:p w14:paraId="67FD4749" w14:textId="19FBE82F" w:rsidR="001B6A5A" w:rsidRPr="001B6A5A" w:rsidRDefault="001B6A5A" w:rsidP="00E94C2C">
      <w:pPr>
        <w:pStyle w:val="Heading3"/>
      </w:pPr>
      <w:r w:rsidRPr="00E94C2C">
        <w:rPr>
          <w:b/>
          <w:bCs/>
        </w:rPr>
        <w:t>4.a.</w:t>
      </w:r>
      <w:r w:rsidRPr="001B6A5A">
        <w:t xml:space="preserve"> Determine the existence of an outbreak</w:t>
      </w:r>
    </w:p>
    <w:p w14:paraId="47178595" w14:textId="52010B0B" w:rsidR="00721407" w:rsidRPr="0002029D" w:rsidRDefault="00721407" w:rsidP="00274AB5">
      <w:pPr>
        <w:rPr>
          <w:iCs/>
        </w:rPr>
      </w:pPr>
      <w:r>
        <w:t xml:space="preserve">Refer to </w:t>
      </w:r>
      <w:r w:rsidR="008374CA">
        <w:t xml:space="preserve">CDC’s </w:t>
      </w:r>
      <w:hyperlink r:id="rId20" w:history="1">
        <w:r w:rsidR="008374CA" w:rsidRPr="008374CA">
          <w:rPr>
            <w:rStyle w:val="Hyperlink"/>
          </w:rPr>
          <w:t>STD Outbreak Response Plan Guide</w:t>
        </w:r>
      </w:hyperlink>
      <w:r>
        <w:t xml:space="preserve"> for general considerations related to determining the existence of an outbreak. </w:t>
      </w:r>
      <w:r w:rsidR="00D20D91">
        <w:t xml:space="preserve">See also section 2a. above on “Activation of the Outbreak Response Plan” for specific considerations for a </w:t>
      </w:r>
      <w:r w:rsidR="004C6B12">
        <w:t xml:space="preserve">ceftriaxone-resistant gonorrhea </w:t>
      </w:r>
      <w:r w:rsidR="00D20D91">
        <w:t xml:space="preserve">outbreak.  </w:t>
      </w:r>
    </w:p>
    <w:p w14:paraId="0ACAC1C3" w14:textId="77777777" w:rsidR="001B6A5A" w:rsidRPr="001B6A5A" w:rsidRDefault="001B6A5A" w:rsidP="00E94C2C">
      <w:pPr>
        <w:pStyle w:val="Heading3"/>
      </w:pPr>
      <w:r w:rsidRPr="00E94C2C">
        <w:rPr>
          <w:b/>
          <w:bCs/>
        </w:rPr>
        <w:t>4b.</w:t>
      </w:r>
      <w:r w:rsidRPr="001B6A5A">
        <w:t xml:space="preserve"> Verify the diagnoses</w:t>
      </w:r>
    </w:p>
    <w:p w14:paraId="4387BD7E" w14:textId="6C058169" w:rsidR="00277F05" w:rsidRDefault="00721407" w:rsidP="00274AB5">
      <w:r>
        <w:t xml:space="preserve">Refer to </w:t>
      </w:r>
      <w:r w:rsidR="008374CA">
        <w:t xml:space="preserve">CDC’s </w:t>
      </w:r>
      <w:hyperlink r:id="rId21" w:history="1">
        <w:r w:rsidR="008374CA" w:rsidRPr="008374CA">
          <w:rPr>
            <w:rStyle w:val="Hyperlink"/>
          </w:rPr>
          <w:t>STD Outbreak Response Plan Guide</w:t>
        </w:r>
      </w:hyperlink>
      <w:r>
        <w:t xml:space="preserve"> for general considerations related to verifying the diagnoses.</w:t>
      </w:r>
      <w:r w:rsidR="00277F05">
        <w:t xml:space="preserve"> Ceftriaxone resistance can be verified via clinical examination and laboratory testing. When a patient presents with what is suspected to be treatment failure after recommended therapy, providers are encouraged to </w:t>
      </w:r>
    </w:p>
    <w:p w14:paraId="753A37BB" w14:textId="738F1CE6" w:rsidR="00277F05" w:rsidRPr="00277F05" w:rsidRDefault="008374CA" w:rsidP="00274AB5">
      <w:pPr>
        <w:pStyle w:val="ListParagraph"/>
        <w:numPr>
          <w:ilvl w:val="0"/>
          <w:numId w:val="43"/>
        </w:numPr>
        <w:rPr>
          <w:iCs/>
        </w:rPr>
      </w:pPr>
      <w:r>
        <w:t>A</w:t>
      </w:r>
      <w:r w:rsidR="00277F05">
        <w:t xml:space="preserve">sk the patient about sexual exposure following treatment (to investigate whether the patient </w:t>
      </w:r>
      <w:r w:rsidR="00796D0B">
        <w:t xml:space="preserve">may have been </w:t>
      </w:r>
      <w:r w:rsidR="00277F05">
        <w:t>re-infected)</w:t>
      </w:r>
    </w:p>
    <w:p w14:paraId="64F940BD" w14:textId="58A1F641" w:rsidR="00277F05" w:rsidRPr="00277F05" w:rsidRDefault="008374CA" w:rsidP="00274AB5">
      <w:pPr>
        <w:pStyle w:val="ListParagraph"/>
        <w:numPr>
          <w:ilvl w:val="0"/>
          <w:numId w:val="43"/>
        </w:numPr>
        <w:rPr>
          <w:iCs/>
        </w:rPr>
      </w:pPr>
      <w:r>
        <w:t>T</w:t>
      </w:r>
      <w:r w:rsidR="00277F05">
        <w:t>est for other STDs that may be causing persistent symptoms</w:t>
      </w:r>
    </w:p>
    <w:p w14:paraId="45DF78EE" w14:textId="03EF0D80" w:rsidR="00721407" w:rsidRPr="00277F05" w:rsidRDefault="008374CA" w:rsidP="00274AB5">
      <w:pPr>
        <w:pStyle w:val="ListParagraph"/>
        <w:numPr>
          <w:ilvl w:val="0"/>
          <w:numId w:val="43"/>
        </w:numPr>
        <w:rPr>
          <w:iCs/>
        </w:rPr>
      </w:pPr>
      <w:r>
        <w:t>C</w:t>
      </w:r>
      <w:r w:rsidR="00277F05">
        <w:t xml:space="preserve">ollect specimens for culture and AST to determine the bacterial antimicrobial susceptibility profile. </w:t>
      </w:r>
      <w:r w:rsidR="00721407">
        <w:t xml:space="preserve"> </w:t>
      </w:r>
    </w:p>
    <w:p w14:paraId="6E11BA27" w14:textId="67034C1D" w:rsidR="001B6A5A" w:rsidRDefault="001B6A5A" w:rsidP="00E94C2C">
      <w:pPr>
        <w:pStyle w:val="Heading3"/>
      </w:pPr>
      <w:r w:rsidRPr="00E94C2C">
        <w:rPr>
          <w:b/>
          <w:bCs/>
        </w:rPr>
        <w:t>4c.</w:t>
      </w:r>
      <w:r w:rsidRPr="001B6A5A">
        <w:t xml:space="preserve"> </w:t>
      </w:r>
      <w:bookmarkStart w:id="5" w:name="_Hlk49346398"/>
      <w:r w:rsidRPr="001B6A5A">
        <w:t>Establish a case definition and find cases</w:t>
      </w:r>
      <w:bookmarkEnd w:id="5"/>
    </w:p>
    <w:p w14:paraId="04815325" w14:textId="4B3D7D50" w:rsidR="00721407" w:rsidRPr="0002029D" w:rsidRDefault="00721407" w:rsidP="00274AB5">
      <w:pPr>
        <w:rPr>
          <w:iCs/>
        </w:rPr>
      </w:pPr>
      <w:r>
        <w:t xml:space="preserve">Refer to </w:t>
      </w:r>
      <w:r w:rsidR="008374CA">
        <w:t xml:space="preserve">CDC’s </w:t>
      </w:r>
      <w:hyperlink r:id="rId22" w:history="1">
        <w:r w:rsidR="008374CA" w:rsidRPr="008374CA">
          <w:rPr>
            <w:rStyle w:val="Hyperlink"/>
          </w:rPr>
          <w:t>STD Outbreak Response Plan Guide</w:t>
        </w:r>
      </w:hyperlink>
      <w:r>
        <w:t xml:space="preserve"> for general considerations related to establishing a case definition and finding cases.  See also section 2a. above on “Developing a working case definition” for specific considerations for a</w:t>
      </w:r>
      <w:r w:rsidR="004C6B12">
        <w:t xml:space="preserve"> ceftriaxone-resistant gonorrhea </w:t>
      </w:r>
      <w:r>
        <w:t xml:space="preserve">outbreak.  </w:t>
      </w:r>
    </w:p>
    <w:p w14:paraId="744025E1" w14:textId="7AD0842B" w:rsidR="001B6A5A" w:rsidRDefault="001B6A5A" w:rsidP="00E94C2C">
      <w:pPr>
        <w:pStyle w:val="Heading3"/>
      </w:pPr>
      <w:r w:rsidRPr="00E94C2C">
        <w:rPr>
          <w:b/>
          <w:bCs/>
        </w:rPr>
        <w:t>4d.</w:t>
      </w:r>
      <w:r w:rsidRPr="001B6A5A">
        <w:t xml:space="preserve"> </w:t>
      </w:r>
      <w:bookmarkStart w:id="6" w:name="_Hlk49346613"/>
      <w:r w:rsidRPr="001B6A5A">
        <w:t>Describe the data in terms of time, place, and person</w:t>
      </w:r>
      <w:bookmarkEnd w:id="6"/>
    </w:p>
    <w:p w14:paraId="2C6B6FA4" w14:textId="7CBB6F11" w:rsidR="00721407" w:rsidRPr="001B6A5A" w:rsidRDefault="00721407" w:rsidP="00274AB5">
      <w:pPr>
        <w:rPr>
          <w:b/>
          <w:u w:val="single"/>
        </w:rPr>
      </w:pPr>
      <w:r>
        <w:lastRenderedPageBreak/>
        <w:t xml:space="preserve">Refer to </w:t>
      </w:r>
      <w:r w:rsidR="008374CA">
        <w:t xml:space="preserve">CDC’s </w:t>
      </w:r>
      <w:hyperlink r:id="rId23" w:history="1">
        <w:r w:rsidR="008374CA" w:rsidRPr="008374CA">
          <w:rPr>
            <w:rStyle w:val="Hyperlink"/>
          </w:rPr>
          <w:t>STD Outbreak Response Plan Guide</w:t>
        </w:r>
      </w:hyperlink>
      <w:r>
        <w:t xml:space="preserve"> for general considerations related to describing data.  </w:t>
      </w:r>
    </w:p>
    <w:p w14:paraId="30F67A39" w14:textId="77777777" w:rsidR="001B6A5A" w:rsidRPr="001B6A5A" w:rsidRDefault="001B6A5A" w:rsidP="00E94C2C">
      <w:pPr>
        <w:pStyle w:val="Heading3"/>
      </w:pPr>
      <w:r w:rsidRPr="00E94C2C">
        <w:rPr>
          <w:b/>
          <w:bCs/>
        </w:rPr>
        <w:t>4e.</w:t>
      </w:r>
      <w:r w:rsidRPr="001B6A5A">
        <w:t xml:space="preserve"> Determine who is at risk of becoming ill</w:t>
      </w:r>
    </w:p>
    <w:p w14:paraId="2EFBA99A" w14:textId="0E13E537" w:rsidR="00721407" w:rsidRDefault="00721407" w:rsidP="00274AB5">
      <w:pPr>
        <w:rPr>
          <w:b/>
          <w:u w:val="single"/>
        </w:rPr>
      </w:pPr>
      <w:r>
        <w:t xml:space="preserve">Refer to </w:t>
      </w:r>
      <w:r w:rsidR="008374CA">
        <w:t xml:space="preserve">CDC’s </w:t>
      </w:r>
      <w:hyperlink r:id="rId24" w:history="1">
        <w:r w:rsidR="008374CA" w:rsidRPr="008374CA">
          <w:rPr>
            <w:rStyle w:val="Hyperlink"/>
          </w:rPr>
          <w:t>STD Outbreak Response Plan Guide</w:t>
        </w:r>
      </w:hyperlink>
      <w:r>
        <w:t xml:space="preserve"> for general considerations related to determining who is at risk.  </w:t>
      </w:r>
    </w:p>
    <w:p w14:paraId="6029DE46" w14:textId="3B814536" w:rsidR="00B866BC" w:rsidRDefault="001B6A5A" w:rsidP="00E640B8">
      <w:pPr>
        <w:pStyle w:val="Heading3"/>
      </w:pPr>
      <w:r w:rsidRPr="00E640B8">
        <w:rPr>
          <w:b/>
          <w:bCs/>
        </w:rPr>
        <w:t>4f.</w:t>
      </w:r>
      <w:r w:rsidRPr="001B6A5A">
        <w:t xml:space="preserve"> </w:t>
      </w:r>
      <w:r w:rsidR="00B866BC">
        <w:t>Data analysis and Study Design</w:t>
      </w:r>
    </w:p>
    <w:p w14:paraId="7D2AD70D" w14:textId="68406163" w:rsidR="00B866BC" w:rsidRDefault="00B866BC" w:rsidP="00274AB5">
      <w:r w:rsidRPr="00256108">
        <w:t>Jurisdictions may opt to</w:t>
      </w:r>
      <w:r>
        <w:t xml:space="preserve"> outline planned epidemiological investigations and data analyses so that </w:t>
      </w:r>
      <w:r w:rsidR="00277F05">
        <w:t>any</w:t>
      </w:r>
      <w:r>
        <w:t xml:space="preserve"> new collection of supplemental epidemiological data or use of existing data sources can be conducted efficiently. Such analyses might include description of factors associated with ceftriaxone-resistant infection</w:t>
      </w:r>
      <w:r w:rsidR="00277F05">
        <w:t xml:space="preserve">, </w:t>
      </w:r>
      <w:r>
        <w:t xml:space="preserve">such as </w:t>
      </w:r>
      <w:r w:rsidR="00A54C0F">
        <w:t xml:space="preserve">demographics, </w:t>
      </w:r>
      <w:r>
        <w:t>recent travel to a specific location or recent sex with partners who traveled to a specific location,</w:t>
      </w:r>
      <w:r w:rsidR="00277F05">
        <w:t xml:space="preserve"> </w:t>
      </w:r>
      <w:r>
        <w:t xml:space="preserve">recent sex with commercial sex workers, common locations for finding partners, or geographical location of residence. Plotting of an epidemic curve and mapping of cases may provide insights into the outbreak. </w:t>
      </w:r>
    </w:p>
    <w:p w14:paraId="7FFF52DE" w14:textId="215BBBC2" w:rsidR="001B6A5A" w:rsidRPr="00721407" w:rsidRDefault="001B6A5A" w:rsidP="00E640B8">
      <w:pPr>
        <w:pStyle w:val="Heading3"/>
      </w:pPr>
      <w:bookmarkStart w:id="7" w:name="_Hlk49347212"/>
      <w:r w:rsidRPr="00E640B8">
        <w:rPr>
          <w:b/>
          <w:bCs/>
        </w:rPr>
        <w:t>4i.</w:t>
      </w:r>
      <w:r w:rsidR="00721407">
        <w:t xml:space="preserve"> </w:t>
      </w:r>
      <w:r w:rsidRPr="00721407">
        <w:t>Implement prevention and control measures</w:t>
      </w:r>
    </w:p>
    <w:bookmarkEnd w:id="7"/>
    <w:p w14:paraId="573ED7DE" w14:textId="68D42229" w:rsidR="00721407" w:rsidRPr="001B6A5A" w:rsidRDefault="00721407" w:rsidP="00274AB5">
      <w:pPr>
        <w:rPr>
          <w:b/>
          <w:u w:val="single"/>
        </w:rPr>
      </w:pPr>
      <w:r>
        <w:t xml:space="preserve">Refer to </w:t>
      </w:r>
      <w:r w:rsidR="008374CA">
        <w:t xml:space="preserve">CDC’s </w:t>
      </w:r>
      <w:hyperlink r:id="rId25" w:history="1">
        <w:r w:rsidR="008374CA" w:rsidRPr="008374CA">
          <w:rPr>
            <w:rStyle w:val="Hyperlink"/>
          </w:rPr>
          <w:t>STD Outbreak Response Plan Guide</w:t>
        </w:r>
      </w:hyperlink>
      <w:r>
        <w:t xml:space="preserve"> for general considerations related to prevention and control measures.  Below are some specific considerations for </w:t>
      </w:r>
      <w:r w:rsidR="004C6B12">
        <w:t xml:space="preserve">ceftriaxone-resistant gonorrhea </w:t>
      </w:r>
      <w:r>
        <w:t xml:space="preserve">outbreaks. </w:t>
      </w:r>
    </w:p>
    <w:bookmarkEnd w:id="3"/>
    <w:p w14:paraId="7816DB3B" w14:textId="77777777" w:rsidR="00FA1ADB" w:rsidRPr="00256108" w:rsidRDefault="00820C41" w:rsidP="00A367CC">
      <w:pPr>
        <w:pStyle w:val="Heading4"/>
      </w:pPr>
      <w:r>
        <w:t xml:space="preserve">Clinical management of cases and </w:t>
      </w:r>
      <w:r w:rsidR="00562951">
        <w:t xml:space="preserve">sexual </w:t>
      </w:r>
      <w:r>
        <w:t>partners</w:t>
      </w:r>
    </w:p>
    <w:p w14:paraId="1FE55FF8" w14:textId="5454A3C2" w:rsidR="00113063" w:rsidRDefault="00234D23" w:rsidP="00274AB5">
      <w:r>
        <w:t xml:space="preserve">A foundational element of an outbreak response and control efforts is likely to be clinical management of the cases and the cases’ recent sex partners. </w:t>
      </w:r>
      <w:r w:rsidR="00721407">
        <w:t xml:space="preserve">Please refer to </w:t>
      </w:r>
      <w:hyperlink r:id="rId26" w:history="1">
        <w:r w:rsidR="00721407" w:rsidRPr="00913F23">
          <w:rPr>
            <w:rStyle w:val="Hyperlink"/>
          </w:rPr>
          <w:t xml:space="preserve">CDC’s </w:t>
        </w:r>
        <w:r w:rsidR="00913F23" w:rsidRPr="00913F23">
          <w:rPr>
            <w:rStyle w:val="Hyperlink"/>
          </w:rPr>
          <w:t>STD Treatment Guidelines</w:t>
        </w:r>
      </w:hyperlink>
      <w:r w:rsidR="00913F23">
        <w:t xml:space="preserve"> </w:t>
      </w:r>
      <w:r w:rsidR="00721407">
        <w:t xml:space="preserve">for the latest treatment recommendations. </w:t>
      </w:r>
      <w:r w:rsidR="0038548F">
        <w:t xml:space="preserve">Jurisdictions are encouraged to outline in the response plan the planned steps in clinical management of cases and partners. When developing these planned steps, jurisdictions should be aware that there remains uncertainty about the optimal approaches to testing and </w:t>
      </w:r>
      <w:r w:rsidR="00893529">
        <w:t>treating</w:t>
      </w:r>
      <w:r w:rsidR="0038548F">
        <w:t xml:space="preserve"> persons with ceftriaxone-resistant infections. CDC</w:t>
      </w:r>
      <w:r w:rsidR="000E1152">
        <w:t xml:space="preserve"> </w:t>
      </w:r>
      <w:r w:rsidR="00965B02">
        <w:t xml:space="preserve">is </w:t>
      </w:r>
      <w:r w:rsidR="0038548F">
        <w:t>invested in being a resource to local and state STD programs and in assisting with clinical decision-making</w:t>
      </w:r>
      <w:r w:rsidR="00113063">
        <w:t xml:space="preserve"> (such as providing guidance on treatment and re-testing)</w:t>
      </w:r>
      <w:r w:rsidR="0038548F">
        <w:t xml:space="preserve">. </w:t>
      </w:r>
    </w:p>
    <w:p w14:paraId="29E06954" w14:textId="00F03A12" w:rsidR="00AE5BD0" w:rsidRDefault="002A7AC0" w:rsidP="00274AB5">
      <w:r>
        <w:t>C</w:t>
      </w:r>
      <w:r w:rsidR="00113063">
        <w:t xml:space="preserve">linicians who diagnose </w:t>
      </w:r>
      <w:r w:rsidR="00113063" w:rsidRPr="00256108">
        <w:rPr>
          <w:i/>
        </w:rPr>
        <w:t>N. gonorrhoeae</w:t>
      </w:r>
      <w:r w:rsidR="00B17B7B">
        <w:t xml:space="preserve"> in</w:t>
      </w:r>
      <w:r w:rsidR="00113063">
        <w:t xml:space="preserve"> a patient with suspected treatment failure should</w:t>
      </w:r>
      <w:r w:rsidR="005E66EE">
        <w:t>:</w:t>
      </w:r>
      <w:r w:rsidR="00113063">
        <w:t xml:space="preserve"> perform </w:t>
      </w:r>
      <w:r w:rsidR="00E61EE7">
        <w:t xml:space="preserve">specimen collection for </w:t>
      </w:r>
      <w:r w:rsidR="00113063">
        <w:t xml:space="preserve">culture and AST of relevant clinical specimens from </w:t>
      </w:r>
      <w:r w:rsidR="00113063" w:rsidRPr="00B17B7B">
        <w:rPr>
          <w:u w:val="single"/>
        </w:rPr>
        <w:t>all potentially exposed anatomic sites</w:t>
      </w:r>
      <w:r w:rsidR="005E66EE">
        <w:t xml:space="preserve"> prior to retreatment;</w:t>
      </w:r>
      <w:r w:rsidR="00113063">
        <w:t xml:space="preserve"> consult an infectious-disease specialist</w:t>
      </w:r>
      <w:r w:rsidR="00B17B7B">
        <w:t xml:space="preserve">, </w:t>
      </w:r>
      <w:r w:rsidR="00820C41">
        <w:t>STD/HIV Prevention Training Center (</w:t>
      </w:r>
      <w:hyperlink r:id="rId27" w:history="1">
        <w:r w:rsidR="00B17B7B" w:rsidRPr="001F056D">
          <w:rPr>
            <w:rStyle w:val="Hyperlink"/>
          </w:rPr>
          <w:t>www.nnptc.org</w:t>
        </w:r>
      </w:hyperlink>
      <w:r w:rsidR="00820C41">
        <w:t>)</w:t>
      </w:r>
      <w:r w:rsidR="00B17B7B">
        <w:t xml:space="preserve">, </w:t>
      </w:r>
      <w:r w:rsidR="005E66EE">
        <w:t xml:space="preserve">and/or CDC (Sancta St Cyr: </w:t>
      </w:r>
      <w:r w:rsidR="005E66EE" w:rsidRPr="005E66EE">
        <w:t>404.718.5447</w:t>
      </w:r>
      <w:r w:rsidR="005E66EE">
        <w:t xml:space="preserve">, </w:t>
      </w:r>
      <w:r w:rsidR="005E66EE" w:rsidRPr="005E66EE">
        <w:t>oew3@cdc.gov</w:t>
      </w:r>
      <w:r w:rsidR="005E66EE">
        <w:t>)</w:t>
      </w:r>
      <w:r w:rsidR="00113063">
        <w:t xml:space="preserve"> for </w:t>
      </w:r>
      <w:r w:rsidR="005E66EE">
        <w:t>guidance in clinical management;</w:t>
      </w:r>
      <w:r w:rsidR="00113063">
        <w:t xml:space="preserve"> and report the case to CDC through state and local public health department authorities</w:t>
      </w:r>
      <w:r w:rsidR="00913F23">
        <w:t xml:space="preserve"> within 24 hours</w:t>
      </w:r>
      <w:r w:rsidR="00113063">
        <w:t xml:space="preserve">. </w:t>
      </w:r>
      <w:r w:rsidR="00113063" w:rsidRPr="005E66EE">
        <w:rPr>
          <w:u w:val="single"/>
        </w:rPr>
        <w:t>Because m</w:t>
      </w:r>
      <w:r w:rsidR="00893529">
        <w:rPr>
          <w:u w:val="single"/>
        </w:rPr>
        <w:t>any</w:t>
      </w:r>
      <w:r w:rsidR="00113063" w:rsidRPr="005E66EE">
        <w:rPr>
          <w:u w:val="single"/>
        </w:rPr>
        <w:t xml:space="preserve"> suspected treatment failures in the United States are due to re-infection, </w:t>
      </w:r>
      <w:r w:rsidR="006134A8">
        <w:rPr>
          <w:u w:val="single"/>
        </w:rPr>
        <w:t xml:space="preserve">any </w:t>
      </w:r>
      <w:r w:rsidR="00113063" w:rsidRPr="005E66EE">
        <w:rPr>
          <w:u w:val="single"/>
        </w:rPr>
        <w:t xml:space="preserve">suspected treatment failures should first be retreated with CDC </w:t>
      </w:r>
      <w:r w:rsidR="00113063" w:rsidRPr="005E66EE">
        <w:rPr>
          <w:u w:val="single"/>
        </w:rPr>
        <w:lastRenderedPageBreak/>
        <w:t xml:space="preserve">recommended </w:t>
      </w:r>
      <w:r w:rsidR="00BE6717" w:rsidRPr="005E66EE">
        <w:rPr>
          <w:u w:val="single"/>
        </w:rPr>
        <w:t>antimicrobial therapy.</w:t>
      </w:r>
      <w:r w:rsidR="00BE6717">
        <w:t xml:space="preserve"> In cases in which treatment failure is suspected, especially if supported by AST results suggesting resistance, dual therapy with single doses of intramuscular gentamicin 240 mg plus oral azithromycin 2 g can be considered. This regimen may not successfully cure pharyngeal infections, however. A TOC with NAAT and culture at relevant clinical sites should be performed </w:t>
      </w:r>
      <w:r w:rsidR="00504006">
        <w:t>7</w:t>
      </w:r>
      <w:r w:rsidR="00207EE5">
        <w:t>–</w:t>
      </w:r>
      <w:r w:rsidR="00BE6717">
        <w:t>14 days after retreatment.</w:t>
      </w:r>
      <w:r w:rsidR="009E01B7">
        <w:t xml:space="preserve"> Jurisdictions may want to consider how </w:t>
      </w:r>
      <w:r w:rsidR="00207EE5">
        <w:t>TOC</w:t>
      </w:r>
      <w:r w:rsidR="009E01B7">
        <w:t xml:space="preserve"> activities will be implemented and monitored in an outbreak situation.</w:t>
      </w:r>
    </w:p>
    <w:p w14:paraId="21358685" w14:textId="6EE4DE17" w:rsidR="00893529" w:rsidRDefault="00BE6717" w:rsidP="00274AB5">
      <w:r>
        <w:t xml:space="preserve">CDC requests to be involved in decision-making regarding treatment if the above treatment options are not feasible or are unsuccessful. </w:t>
      </w:r>
      <w:r w:rsidR="00207EE5">
        <w:t>CDC’s Neisseria Reference Laboratory requests that isolates from infections that do not respond to CDC-recommended therapy also be sent to CDC for confirmatory testing and further characterization</w:t>
      </w:r>
      <w:r w:rsidR="006134A8">
        <w:t>, including whole genome sequencing</w:t>
      </w:r>
      <w:r w:rsidR="00207EE5">
        <w:t xml:space="preserve"> (</w:t>
      </w:r>
      <w:hyperlink r:id="rId28" w:history="1">
        <w:r w:rsidR="00207EE5" w:rsidRPr="00DE3A60">
          <w:rPr>
            <w:rStyle w:val="Hyperlink"/>
          </w:rPr>
          <w:t>https://www.cdc.gov/std/gonorrhea/arg/basic.htm</w:t>
        </w:r>
      </w:hyperlink>
      <w:r w:rsidR="00207EE5">
        <w:t xml:space="preserve">). </w:t>
      </w:r>
    </w:p>
    <w:p w14:paraId="77DAE442" w14:textId="02E5795D" w:rsidR="00D04683" w:rsidRDefault="00BE6717" w:rsidP="00274AB5">
      <w:r>
        <w:t xml:space="preserve">Clinicians should ensure that the patient’s sex partners </w:t>
      </w:r>
      <w:r w:rsidR="004C6B12" w:rsidRPr="004C6B12">
        <w:t xml:space="preserve">within the 60 days preceding onset of symptoms or gonorrhea diagnosis </w:t>
      </w:r>
      <w:r>
        <w:t xml:space="preserve">are </w:t>
      </w:r>
      <w:r w:rsidR="00EE34BF">
        <w:t xml:space="preserve">ideally </w:t>
      </w:r>
      <w:r>
        <w:t xml:space="preserve">evaluated with culture and AST and presumptively treated </w:t>
      </w:r>
      <w:r w:rsidR="005E66EE">
        <w:t xml:space="preserve">ideally </w:t>
      </w:r>
      <w:r>
        <w:t xml:space="preserve">using the same regimen that successfully treated the patient. </w:t>
      </w:r>
      <w:r w:rsidR="00913F23" w:rsidRPr="00913F23">
        <w:t>Health departments should prioritize notification and culture evaluation for the patient’s sex partner(s) from the preceding 60 days for those with suspected cephalosporin treatment failure or persons whose gonococcal isolates demonstrate reduced susceptibility to cephalosporins.</w:t>
      </w:r>
      <w:r w:rsidR="00913F23">
        <w:t xml:space="preserve"> </w:t>
      </w:r>
      <w:r>
        <w:t xml:space="preserve">In the setting of an outbreak of ceftriaxone-resistant gonorrhea, jurisdictions might opt to conduct TOC for all </w:t>
      </w:r>
      <w:r w:rsidR="009E01B7">
        <w:t>infected</w:t>
      </w:r>
      <w:r>
        <w:t xml:space="preserve"> </w:t>
      </w:r>
      <w:r w:rsidR="009E01B7">
        <w:t xml:space="preserve">sexual </w:t>
      </w:r>
      <w:r>
        <w:t>partners</w:t>
      </w:r>
      <w:r w:rsidR="009E01B7">
        <w:t xml:space="preserve"> (even if culture and AST were not able to be performed</w:t>
      </w:r>
      <w:r w:rsidR="00207EE5">
        <w:t>)</w:t>
      </w:r>
      <w:r>
        <w:t xml:space="preserve">. </w:t>
      </w:r>
      <w:r w:rsidR="00C73433">
        <w:t>If appropriate based on local conditions and resources, patient</w:t>
      </w:r>
      <w:r w:rsidR="00992D77">
        <w:t>s</w:t>
      </w:r>
      <w:r w:rsidR="00C73433">
        <w:t xml:space="preserve"> and partners may be offered other sexual health services, such as referral f</w:t>
      </w:r>
      <w:r w:rsidR="00D77B59">
        <w:t>or HIV pre-exposure prophylaxis.</w:t>
      </w:r>
    </w:p>
    <w:p w14:paraId="29E3363B" w14:textId="2780160E" w:rsidR="00113063" w:rsidRPr="00256108" w:rsidRDefault="00820C41" w:rsidP="00A367CC">
      <w:pPr>
        <w:pStyle w:val="Heading4"/>
      </w:pPr>
      <w:r w:rsidRPr="00256108">
        <w:t>Laboratory activities</w:t>
      </w:r>
    </w:p>
    <w:p w14:paraId="0CA447EF" w14:textId="68710CD3" w:rsidR="005E66EE" w:rsidRDefault="005E66EE" w:rsidP="00274AB5">
      <w:r>
        <w:t xml:space="preserve">In a </w:t>
      </w:r>
      <w:r w:rsidR="00B75713">
        <w:t>ce</w:t>
      </w:r>
      <w:r w:rsidR="00130978">
        <w:t>ftriaxone</w:t>
      </w:r>
      <w:r w:rsidR="00B75713">
        <w:t xml:space="preserve">-resistant gonorrhea </w:t>
      </w:r>
      <w:r>
        <w:t xml:space="preserve">outbreak situation, local </w:t>
      </w:r>
      <w:r w:rsidR="009F632E">
        <w:t xml:space="preserve">or state public health </w:t>
      </w:r>
      <w:r>
        <w:t xml:space="preserve">laboratories </w:t>
      </w:r>
      <w:r w:rsidR="009F632E">
        <w:t>may</w:t>
      </w:r>
      <w:r>
        <w:t xml:space="preserve"> process </w:t>
      </w:r>
      <w:r w:rsidR="009F632E">
        <w:t>NAAT specimens</w:t>
      </w:r>
      <w:r w:rsidR="00D864BE">
        <w:t xml:space="preserve">, </w:t>
      </w:r>
      <w:r>
        <w:t>specimens collected for culture</w:t>
      </w:r>
      <w:r w:rsidR="000F4FEE">
        <w:t>,</w:t>
      </w:r>
      <w:r w:rsidR="009F632E">
        <w:t xml:space="preserve"> and</w:t>
      </w:r>
      <w:r>
        <w:t xml:space="preserve"> perform AST</w:t>
      </w:r>
      <w:r w:rsidR="009F632E">
        <w:t xml:space="preserve"> (likely via </w:t>
      </w:r>
      <w:proofErr w:type="spellStart"/>
      <w:r w:rsidR="009F632E">
        <w:t>Etest</w:t>
      </w:r>
      <w:proofErr w:type="spellEnd"/>
      <w:r w:rsidR="00AA5BB3">
        <w:rPr>
          <w:rFonts w:cstheme="minorHAnsi"/>
        </w:rPr>
        <w:t>™</w:t>
      </w:r>
      <w:r w:rsidR="009F632E">
        <w:t xml:space="preserve">).  SOPs and validation studies for conducting </w:t>
      </w:r>
      <w:r w:rsidR="00CB5C84" w:rsidRPr="00182692">
        <w:rPr>
          <w:i/>
          <w:iCs/>
        </w:rPr>
        <w:t xml:space="preserve">N. </w:t>
      </w:r>
      <w:r w:rsidR="009F632E" w:rsidRPr="00182692">
        <w:rPr>
          <w:i/>
          <w:iCs/>
        </w:rPr>
        <w:t>gonorrh</w:t>
      </w:r>
      <w:r w:rsidR="00CB5C84" w:rsidRPr="00182692">
        <w:rPr>
          <w:i/>
          <w:iCs/>
        </w:rPr>
        <w:t>o</w:t>
      </w:r>
      <w:r w:rsidR="009F632E" w:rsidRPr="00182692">
        <w:rPr>
          <w:i/>
          <w:iCs/>
        </w:rPr>
        <w:t>ea</w:t>
      </w:r>
      <w:r w:rsidR="00CB5C84" w:rsidRPr="00182692">
        <w:rPr>
          <w:i/>
          <w:iCs/>
        </w:rPr>
        <w:t>e</w:t>
      </w:r>
      <w:r w:rsidR="009F632E">
        <w:t xml:space="preserve"> culture and AST should ideally be </w:t>
      </w:r>
      <w:r w:rsidR="000F4FEE">
        <w:t>completed</w:t>
      </w:r>
      <w:r w:rsidR="009F632E">
        <w:t xml:space="preserve"> prior to an outbreak</w:t>
      </w:r>
      <w:r w:rsidR="00207EE5">
        <w:t>.</w:t>
      </w:r>
      <w:r w:rsidR="009F632E">
        <w:t xml:space="preserve"> </w:t>
      </w:r>
      <w:r w:rsidR="00207EE5">
        <w:t>H</w:t>
      </w:r>
      <w:r w:rsidR="009F632E">
        <w:t>owever</w:t>
      </w:r>
      <w:r w:rsidR="002A7AC0">
        <w:t>,</w:t>
      </w:r>
      <w:r w:rsidR="009F632E">
        <w:t xml:space="preserve"> outbreak plans could include details on how to build up this capacity quickly if needed.  If public health laboratories do not have the capacity to perform AST, </w:t>
      </w:r>
      <w:r w:rsidR="00AD0E9A">
        <w:t xml:space="preserve">the jurisdiction can identify another laboratory where AST can be performed and consider establishing in advance an MOU or other arrangement for rapid processing of specimens and communicating results. </w:t>
      </w:r>
    </w:p>
    <w:p w14:paraId="15684EC7" w14:textId="29F1C883" w:rsidR="005124E8" w:rsidRPr="005124E8" w:rsidRDefault="005124E8" w:rsidP="00A367CC">
      <w:r w:rsidRPr="005124E8">
        <w:t xml:space="preserve">It may be particularly useful in advance of an outbreak </w:t>
      </w:r>
      <w:r>
        <w:t xml:space="preserve">to </w:t>
      </w:r>
      <w:r w:rsidRPr="005124E8">
        <w:t>develop a specimen flow diagram that includes NAAT and culture specimen</w:t>
      </w:r>
      <w:r w:rsidR="006134A8">
        <w:t xml:space="preserve"> </w:t>
      </w:r>
      <w:r w:rsidRPr="005124E8">
        <w:t>collection and processing in health centers (or the field), specimen transport, specimen isolation and performance of AST</w:t>
      </w:r>
      <w:r w:rsidR="003528AA">
        <w:t>.</w:t>
      </w:r>
    </w:p>
    <w:p w14:paraId="4ECCC418" w14:textId="1BBA3DC5" w:rsidR="00D864BE" w:rsidRDefault="00820C41" w:rsidP="00274AB5">
      <w:r>
        <w:t>Jurisdictions may opt to ask that laboratories store isolates collected during an outbreak of ceftriaxone-resistant gonorrhea, particularly those demonstrating reduced susceptibility to c</w:t>
      </w:r>
      <w:r w:rsidR="00130978">
        <w:t>eftriaxone</w:t>
      </w:r>
      <w:r>
        <w:t xml:space="preserve">. </w:t>
      </w:r>
      <w:r w:rsidR="00D864BE">
        <w:t xml:space="preserve">As noted above, CDC’s Neisseria Reference Laboratory in the Laboratory Reference and Research Branch (LRRB) requests that isolates from infections that do not respond to CDC-recommended therapy </w:t>
      </w:r>
      <w:r w:rsidR="00CE46EA">
        <w:t xml:space="preserve">or and/or </w:t>
      </w:r>
      <w:r w:rsidR="00CE46EA">
        <w:lastRenderedPageBreak/>
        <w:t>isolates demonstrating reduced susceptibility or resistance to a cephalosporin (e.g.</w:t>
      </w:r>
      <w:r w:rsidR="00130978">
        <w:t>,</w:t>
      </w:r>
      <w:r w:rsidR="00CE46EA">
        <w:t xml:space="preserve"> ceftriaxone MIC</w:t>
      </w:r>
      <w:r w:rsidR="00130978">
        <w:t xml:space="preserve"> </w:t>
      </w:r>
      <w:r w:rsidR="00CE46EA">
        <w:rPr>
          <w:rFonts w:ascii="Arial" w:hAnsi="Arial" w:cs="Arial"/>
        </w:rPr>
        <w:t>≥</w:t>
      </w:r>
      <w:r w:rsidR="00CE46EA">
        <w:t>0.125</w:t>
      </w:r>
      <w:r w:rsidR="00CE46EA">
        <w:rPr>
          <w:rFonts w:cstheme="minorHAnsi"/>
        </w:rPr>
        <w:t>µ</w:t>
      </w:r>
      <w:r w:rsidR="00CE46EA">
        <w:t xml:space="preserve">g/mL) </w:t>
      </w:r>
      <w:r w:rsidR="00D864BE">
        <w:t>also be sent to CDC for confirmatory testing and further characterization</w:t>
      </w:r>
      <w:r w:rsidR="00CE46EA">
        <w:t xml:space="preserve"> (e.g.</w:t>
      </w:r>
      <w:r w:rsidR="00130978">
        <w:t>,</w:t>
      </w:r>
      <w:r w:rsidR="00CE46EA">
        <w:t xml:space="preserve"> molecular</w:t>
      </w:r>
      <w:r w:rsidR="00130978">
        <w:t xml:space="preserve"> characterization</w:t>
      </w:r>
      <w:r w:rsidR="00CE46EA">
        <w:t>)</w:t>
      </w:r>
      <w:r w:rsidR="00D864BE">
        <w:t xml:space="preserve"> (</w:t>
      </w:r>
      <w:hyperlink r:id="rId29" w:history="1">
        <w:r w:rsidR="00D864BE" w:rsidRPr="00DE3A60">
          <w:rPr>
            <w:rStyle w:val="Hyperlink"/>
          </w:rPr>
          <w:t>https://www.cdc.gov/std/gonorrhea/arg/basic.htm</w:t>
        </w:r>
      </w:hyperlink>
      <w:r w:rsidR="00D864BE">
        <w:t>)</w:t>
      </w:r>
      <w:r w:rsidR="00CE46EA">
        <w:t>, which may assist the outbreak response.</w:t>
      </w:r>
    </w:p>
    <w:p w14:paraId="252DCA0A" w14:textId="5754BC80" w:rsidR="006134A8" w:rsidRPr="00463A90" w:rsidRDefault="006134A8" w:rsidP="00274AB5">
      <w:r>
        <w:t xml:space="preserve">As noted above (under </w:t>
      </w:r>
      <w:r>
        <w:rPr>
          <w:i/>
          <w:iCs/>
        </w:rPr>
        <w:t>L</w:t>
      </w:r>
      <w:r w:rsidRPr="006134A8">
        <w:rPr>
          <w:i/>
          <w:iCs/>
        </w:rPr>
        <w:t>aboratory-</w:t>
      </w:r>
      <w:r>
        <w:rPr>
          <w:i/>
          <w:iCs/>
        </w:rPr>
        <w:t>B</w:t>
      </w:r>
      <w:r w:rsidRPr="006134A8">
        <w:rPr>
          <w:i/>
          <w:iCs/>
        </w:rPr>
        <w:t xml:space="preserve">ased </w:t>
      </w:r>
      <w:r>
        <w:rPr>
          <w:i/>
          <w:iCs/>
        </w:rPr>
        <w:t>S</w:t>
      </w:r>
      <w:r w:rsidRPr="006134A8">
        <w:rPr>
          <w:i/>
          <w:iCs/>
        </w:rPr>
        <w:t>urveillance</w:t>
      </w:r>
      <w:r>
        <w:t xml:space="preserve">), CDC is interested in exploring the use of molecular surveillance in the setting of an outbreak to </w:t>
      </w:r>
      <w:r w:rsidR="00502CCB">
        <w:t xml:space="preserve">identify </w:t>
      </w:r>
      <w:r>
        <w:t>define the scope and scale of the outbreak</w:t>
      </w:r>
      <w:r w:rsidR="00130978">
        <w:t xml:space="preserve"> and</w:t>
      </w:r>
      <w:r w:rsidR="00502CCB">
        <w:t xml:space="preserve"> potentially identifying additional cases</w:t>
      </w:r>
      <w:r>
        <w:t>. This might involve the local development or validation of a molecular probe and associated primers that can be implemented on a real-time PCR to look for one or more specific molecular markers of antibiotic resistance using remnant NAAT</w:t>
      </w:r>
      <w:r w:rsidR="00130978">
        <w:t xml:space="preserve"> specimens</w:t>
      </w:r>
      <w:r>
        <w:t xml:space="preserve">. </w:t>
      </w:r>
      <w:r w:rsidR="00EE34BF">
        <w:t xml:space="preserve"> </w:t>
      </w:r>
      <w:r w:rsidR="00EE34BF" w:rsidRPr="00463A90">
        <w:rPr>
          <w:iCs/>
        </w:rPr>
        <w:t>It also may involve</w:t>
      </w:r>
      <w:r w:rsidR="00A906A3" w:rsidRPr="00463A90">
        <w:rPr>
          <w:iCs/>
        </w:rPr>
        <w:t xml:space="preserve"> coordinating access to remnant GC-positive NAATs (potentially from area public health labs in addition to other laboratories that process NAATs locally), extracting DNA from these remnant NAATs, and performing the molecular assay.</w:t>
      </w:r>
      <w:r w:rsidR="00A906A3">
        <w:rPr>
          <w:i/>
        </w:rPr>
        <w:t xml:space="preserve"> </w:t>
      </w:r>
      <w:r>
        <w:t xml:space="preserve">Jurisdictions can consider collaborating with CDC to implement molecular surveillance.  </w:t>
      </w:r>
    </w:p>
    <w:p w14:paraId="208BBEB0" w14:textId="77777777" w:rsidR="00C135B7" w:rsidRDefault="00B17B7B" w:rsidP="00170663">
      <w:pPr>
        <w:pStyle w:val="Heading4"/>
      </w:pPr>
      <w:r>
        <w:t>Field Investigations</w:t>
      </w:r>
      <w:r w:rsidR="00E01B40">
        <w:t xml:space="preserve"> and Partner Services</w:t>
      </w:r>
    </w:p>
    <w:p w14:paraId="2C1F23FB" w14:textId="13DD5E4A" w:rsidR="00965B02" w:rsidRDefault="00E01B40" w:rsidP="00274AB5">
      <w:r>
        <w:t xml:space="preserve">Field investigations and partner services are an important component of </w:t>
      </w:r>
      <w:r w:rsidR="00D04683">
        <w:t xml:space="preserve">all </w:t>
      </w:r>
      <w:r>
        <w:t>STD outbreak control activities.  These activities may include conducting epidemiological interviews</w:t>
      </w:r>
      <w:r w:rsidR="000F4FEE">
        <w:t xml:space="preserve"> and eliciting partners</w:t>
      </w:r>
      <w:r>
        <w:t xml:space="preserve"> from cases, as well as partner notification, facilitation of appropriate treatment, testing and culturing</w:t>
      </w:r>
      <w:r w:rsidR="00C135B7">
        <w:t>, and test of cure visits for cases and their</w:t>
      </w:r>
      <w:r>
        <w:t xml:space="preserve"> sexual contacts. Partner services can be particularly challenging when case</w:t>
      </w:r>
      <w:r w:rsidR="00130978">
        <w:t>-patients</w:t>
      </w:r>
      <w:r>
        <w:t xml:space="preserve"> report high numbers of anonymous sexual partners</w:t>
      </w:r>
      <w:r w:rsidR="00A906A3">
        <w:t xml:space="preserve"> or are </w:t>
      </w:r>
      <w:r w:rsidR="00721E33">
        <w:t xml:space="preserve">reluctant </w:t>
      </w:r>
      <w:r w:rsidR="00A906A3">
        <w:t>to shar</w:t>
      </w:r>
      <w:r w:rsidR="00721E33">
        <w:t>e</w:t>
      </w:r>
      <w:r w:rsidR="00A906A3">
        <w:t xml:space="preserve"> name</w:t>
      </w:r>
      <w:r w:rsidR="00721E33">
        <w:t>s</w:t>
      </w:r>
      <w:r w:rsidR="00A906A3">
        <w:t xml:space="preserve"> and locating information of sexual partners</w:t>
      </w:r>
      <w:r>
        <w:t>. As part of a</w:t>
      </w:r>
      <w:r w:rsidR="0038739C">
        <w:t xml:space="preserve"> ceftriaxone-resistant gonorrhea </w:t>
      </w:r>
      <w:r>
        <w:t>outbreak response plan</w:t>
      </w:r>
      <w:r w:rsidR="00130978">
        <w:t>,</w:t>
      </w:r>
      <w:r>
        <w:t xml:space="preserve"> jurisdictions may want to consider how field investigations and partner services activities will be rolled out.  </w:t>
      </w:r>
      <w:r w:rsidR="00965B02">
        <w:t>Some questions about how such investigation protocols might differ from routine STD field investigations to consider include:</w:t>
      </w:r>
    </w:p>
    <w:p w14:paraId="7AAC24BD" w14:textId="77777777" w:rsidR="00D04683" w:rsidRPr="00D04683" w:rsidRDefault="0049414F" w:rsidP="00170663">
      <w:pPr>
        <w:pStyle w:val="ListParagraph"/>
        <w:numPr>
          <w:ilvl w:val="0"/>
          <w:numId w:val="37"/>
        </w:numPr>
        <w:spacing w:after="120"/>
        <w:contextualSpacing w:val="0"/>
        <w:rPr>
          <w:b/>
        </w:rPr>
      </w:pPr>
      <w:r w:rsidRPr="00CE46EA">
        <w:t>W</w:t>
      </w:r>
      <w:r w:rsidR="00EF5DFF" w:rsidRPr="00CE46EA">
        <w:t>hat</w:t>
      </w:r>
      <w:r w:rsidR="000F4FEE" w:rsidRPr="00CE46EA">
        <w:t xml:space="preserve"> </w:t>
      </w:r>
      <w:r w:rsidRPr="00CE46EA">
        <w:t xml:space="preserve">questions </w:t>
      </w:r>
      <w:r w:rsidR="00C135B7" w:rsidRPr="00CE46EA">
        <w:t>should</w:t>
      </w:r>
      <w:r w:rsidRPr="00CE46EA">
        <w:t xml:space="preserve"> DIS ask of cases </w:t>
      </w:r>
    </w:p>
    <w:p w14:paraId="3EEC1494" w14:textId="549DB565" w:rsidR="00D04683" w:rsidRPr="00D04683" w:rsidRDefault="00D04683" w:rsidP="00170663">
      <w:pPr>
        <w:pStyle w:val="ListParagraph"/>
        <w:numPr>
          <w:ilvl w:val="1"/>
          <w:numId w:val="37"/>
        </w:numPr>
        <w:spacing w:after="120"/>
        <w:contextualSpacing w:val="0"/>
        <w:rPr>
          <w:b/>
        </w:rPr>
      </w:pPr>
      <w:r>
        <w:t>T</w:t>
      </w:r>
      <w:r w:rsidR="00A042F3">
        <w:t xml:space="preserve">raditional questions such as </w:t>
      </w:r>
      <w:r w:rsidR="0049414F" w:rsidRPr="00CE46EA">
        <w:t>names and contact information for recent sexual partners</w:t>
      </w:r>
      <w:r w:rsidR="00A042F3">
        <w:t>, duration of partnership</w:t>
      </w:r>
      <w:r w:rsidR="00130978">
        <w:t>s</w:t>
      </w:r>
      <w:r w:rsidR="00A042F3">
        <w:t>, where</w:t>
      </w:r>
      <w:r w:rsidR="00130978">
        <w:t xml:space="preserve"> patients</w:t>
      </w:r>
      <w:r w:rsidR="00A042F3">
        <w:t xml:space="preserve"> found </w:t>
      </w:r>
      <w:r w:rsidR="00130978">
        <w:t xml:space="preserve">their </w:t>
      </w:r>
      <w:r w:rsidR="00A042F3">
        <w:t>partners, etc.</w:t>
      </w:r>
    </w:p>
    <w:p w14:paraId="41B416F2" w14:textId="701E399A" w:rsidR="0049414F" w:rsidRPr="00CE46EA" w:rsidRDefault="0038739C" w:rsidP="00170663">
      <w:pPr>
        <w:pStyle w:val="ListParagraph"/>
        <w:numPr>
          <w:ilvl w:val="1"/>
          <w:numId w:val="37"/>
        </w:numPr>
        <w:spacing w:after="120"/>
        <w:contextualSpacing w:val="0"/>
        <w:rPr>
          <w:b/>
        </w:rPr>
      </w:pPr>
      <w:r w:rsidRPr="0038739C">
        <w:rPr>
          <w:iCs/>
        </w:rPr>
        <w:t xml:space="preserve">Ceftriaxone-resistant gonorrhea </w:t>
      </w:r>
      <w:r w:rsidR="00A042F3" w:rsidRPr="0038739C">
        <w:rPr>
          <w:iCs/>
        </w:rPr>
        <w:t>specific</w:t>
      </w:r>
      <w:r w:rsidR="00A042F3">
        <w:t xml:space="preserve"> questions </w:t>
      </w:r>
      <w:r w:rsidR="00D04683">
        <w:t xml:space="preserve">such as </w:t>
      </w:r>
      <w:r w:rsidR="0049414F" w:rsidRPr="00CE46EA">
        <w:t xml:space="preserve">recent travel history of cases and their sex partners </w:t>
      </w:r>
    </w:p>
    <w:p w14:paraId="34E115AF" w14:textId="49FC999F" w:rsidR="00E01B40" w:rsidRPr="00CE46EA" w:rsidRDefault="0049414F" w:rsidP="00170663">
      <w:pPr>
        <w:pStyle w:val="ListParagraph"/>
        <w:numPr>
          <w:ilvl w:val="0"/>
          <w:numId w:val="37"/>
        </w:numPr>
        <w:spacing w:after="120"/>
        <w:contextualSpacing w:val="0"/>
        <w:rPr>
          <w:b/>
        </w:rPr>
      </w:pPr>
      <w:r w:rsidRPr="00CE46EA">
        <w:t xml:space="preserve">How and where will contacts be referred for testing, </w:t>
      </w:r>
      <w:r w:rsidRPr="00A042F3">
        <w:rPr>
          <w:u w:val="single"/>
        </w:rPr>
        <w:t>culturing</w:t>
      </w:r>
      <w:r w:rsidR="00D04683">
        <w:rPr>
          <w:u w:val="single"/>
        </w:rPr>
        <w:t>,</w:t>
      </w:r>
      <w:r w:rsidRPr="00CE46EA">
        <w:t xml:space="preserve"> and treatment? </w:t>
      </w:r>
      <w:r w:rsidR="00E01B40" w:rsidRPr="00CE46EA">
        <w:t xml:space="preserve"> </w:t>
      </w:r>
    </w:p>
    <w:p w14:paraId="3A09B743" w14:textId="2698E284" w:rsidR="0049414F" w:rsidRPr="00CE46EA" w:rsidRDefault="0049414F" w:rsidP="00170663">
      <w:pPr>
        <w:pStyle w:val="ListParagraph"/>
        <w:numPr>
          <w:ilvl w:val="0"/>
          <w:numId w:val="37"/>
        </w:numPr>
        <w:spacing w:after="120"/>
        <w:contextualSpacing w:val="0"/>
        <w:rPr>
          <w:b/>
        </w:rPr>
      </w:pPr>
      <w:r w:rsidRPr="00CE46EA">
        <w:t>How should information about ce</w:t>
      </w:r>
      <w:r w:rsidR="007E2730">
        <w:t>ftriaxone</w:t>
      </w:r>
      <w:r w:rsidRPr="00CE46EA">
        <w:t xml:space="preserve">-resistant gonorrhea, the importance of </w:t>
      </w:r>
      <w:r w:rsidR="00A906A3">
        <w:t xml:space="preserve">naming sexual partners to prevent further spread of resistant infections, the importance of </w:t>
      </w:r>
      <w:r w:rsidRPr="00CE46EA">
        <w:t xml:space="preserve">getting care </w:t>
      </w:r>
      <w:r w:rsidR="000F4FEE" w:rsidRPr="00CE46EA">
        <w:t xml:space="preserve">at a location where </w:t>
      </w:r>
      <w:r w:rsidRPr="00CE46EA">
        <w:t>specimens can be collected for culture, and the importance of a test of cure be communicated to cases and their sexual contacts?</w:t>
      </w:r>
    </w:p>
    <w:p w14:paraId="21C85344" w14:textId="77777777" w:rsidR="0049414F" w:rsidRPr="00CE46EA" w:rsidRDefault="0049414F" w:rsidP="00170663">
      <w:pPr>
        <w:pStyle w:val="ListParagraph"/>
        <w:numPr>
          <w:ilvl w:val="0"/>
          <w:numId w:val="37"/>
        </w:numPr>
        <w:spacing w:after="120"/>
        <w:contextualSpacing w:val="0"/>
        <w:rPr>
          <w:b/>
        </w:rPr>
      </w:pPr>
      <w:bookmarkStart w:id="8" w:name="_Hlk55466781"/>
      <w:r w:rsidRPr="00CE46EA">
        <w:t>How many attempts at contacting cases and sexual contacts</w:t>
      </w:r>
      <w:r w:rsidR="000F4FEE" w:rsidRPr="00CE46EA">
        <w:t xml:space="preserve"> should</w:t>
      </w:r>
      <w:r w:rsidRPr="00CE46EA">
        <w:t xml:space="preserve"> be made and within what time frame?  </w:t>
      </w:r>
    </w:p>
    <w:p w14:paraId="1D2F2DF3" w14:textId="570273F9" w:rsidR="0049414F" w:rsidRPr="00D04683" w:rsidRDefault="0049414F" w:rsidP="00170663">
      <w:pPr>
        <w:pStyle w:val="ListParagraph"/>
        <w:numPr>
          <w:ilvl w:val="0"/>
          <w:numId w:val="37"/>
        </w:numPr>
        <w:spacing w:after="120"/>
        <w:contextualSpacing w:val="0"/>
        <w:rPr>
          <w:b/>
        </w:rPr>
      </w:pPr>
      <w:r w:rsidRPr="00CE46EA">
        <w:t>Where will fie</w:t>
      </w:r>
      <w:r w:rsidR="00C135B7" w:rsidRPr="00CE46EA">
        <w:t>ld investigation data be stored?</w:t>
      </w:r>
    </w:p>
    <w:p w14:paraId="14280DD9" w14:textId="311A0C93" w:rsidR="00991480" w:rsidRPr="00D04683" w:rsidRDefault="00991480" w:rsidP="00170663">
      <w:pPr>
        <w:pStyle w:val="ListParagraph"/>
        <w:numPr>
          <w:ilvl w:val="0"/>
          <w:numId w:val="37"/>
        </w:numPr>
        <w:spacing w:after="120"/>
        <w:contextualSpacing w:val="0"/>
        <w:rPr>
          <w:b/>
        </w:rPr>
      </w:pPr>
      <w:r>
        <w:lastRenderedPageBreak/>
        <w:t xml:space="preserve">Will DIS </w:t>
      </w:r>
      <w:r w:rsidR="00380C9E">
        <w:t>hold case conferences?</w:t>
      </w:r>
    </w:p>
    <w:p w14:paraId="4F61311A" w14:textId="3C81B20F" w:rsidR="00A042F3" w:rsidRPr="00CE46EA" w:rsidRDefault="00A042F3" w:rsidP="00170663">
      <w:pPr>
        <w:pStyle w:val="ListParagraph"/>
        <w:numPr>
          <w:ilvl w:val="0"/>
          <w:numId w:val="37"/>
        </w:numPr>
        <w:spacing w:after="120"/>
        <w:contextualSpacing w:val="0"/>
        <w:rPr>
          <w:b/>
        </w:rPr>
      </w:pPr>
      <w:r>
        <w:t>How will out of jurisdiction and/or out of state partners be handled?</w:t>
      </w:r>
    </w:p>
    <w:bookmarkEnd w:id="8"/>
    <w:p w14:paraId="6F6D2948" w14:textId="77777777" w:rsidR="0002029D" w:rsidRDefault="0002029D" w:rsidP="00274AB5"/>
    <w:p w14:paraId="17F73743" w14:textId="0AF83746" w:rsidR="00717748" w:rsidRPr="0049414F" w:rsidRDefault="00717748" w:rsidP="00170663">
      <w:pPr>
        <w:pStyle w:val="Heading4"/>
      </w:pPr>
      <w:r w:rsidRPr="0049414F">
        <w:t>Implementation of other control measures</w:t>
      </w:r>
    </w:p>
    <w:p w14:paraId="547D96E0" w14:textId="5FC4831A" w:rsidR="00717748" w:rsidRDefault="00717748" w:rsidP="00274AB5">
      <w:r w:rsidRPr="00256108">
        <w:t xml:space="preserve">Jurisdictions can consider </w:t>
      </w:r>
      <w:r>
        <w:t xml:space="preserve">whether additional </w:t>
      </w:r>
      <w:r w:rsidR="00E93586">
        <w:t xml:space="preserve">control </w:t>
      </w:r>
      <w:r>
        <w:t>measures will be implemented and under what conditions. Additional measures</w:t>
      </w:r>
      <w:r w:rsidR="007E2730">
        <w:t xml:space="preserve"> to consider</w:t>
      </w:r>
      <w:r>
        <w:t xml:space="preserve"> m</w:t>
      </w:r>
      <w:r w:rsidR="007E2730">
        <w:t>ight</w:t>
      </w:r>
      <w:r>
        <w:t xml:space="preserve"> include enhanced screening</w:t>
      </w:r>
      <w:r w:rsidR="007E2730">
        <w:t xml:space="preserve">, </w:t>
      </w:r>
      <w:r w:rsidR="000102E7">
        <w:t xml:space="preserve">expanded collection of specimens for culture, expanded clinic hours or establishment of healthcare settings that can provide additional testing and treatment, </w:t>
      </w:r>
      <w:r w:rsidR="00F042DC">
        <w:t xml:space="preserve">education around GC and </w:t>
      </w:r>
      <w:r w:rsidR="004E017F">
        <w:t>promotion of condom use, enhanced partner services approaches</w:t>
      </w:r>
      <w:r w:rsidR="007E2730">
        <w:t xml:space="preserve"> (</w:t>
      </w:r>
      <w:r w:rsidR="004E017F">
        <w:t>such as the investigation of partners of partners</w:t>
      </w:r>
      <w:r w:rsidR="007E2730">
        <w:t>)</w:t>
      </w:r>
      <w:r w:rsidR="004E017F">
        <w:t>,</w:t>
      </w:r>
      <w:r w:rsidR="002A0A9D">
        <w:t xml:space="preserve"> expanded outreach and messaging to key providers or at-risk populations, implementation of molecular surveillance using remnant NAATs,</w:t>
      </w:r>
      <w:r w:rsidR="004E017F">
        <w:t xml:space="preserve"> or expansion of </w:t>
      </w:r>
      <w:r w:rsidR="00D04683">
        <w:t>test of cure (</w:t>
      </w:r>
      <w:r w:rsidR="004E017F">
        <w:t>TOC</w:t>
      </w:r>
      <w:r w:rsidR="00D04683">
        <w:t>)</w:t>
      </w:r>
      <w:r w:rsidR="004E017F">
        <w:t xml:space="preserve"> recommendations</w:t>
      </w:r>
      <w:r w:rsidR="00F0352F">
        <w:t xml:space="preserve"> (such as implementation of routine TOC in a selected subset or all patients with gonorrhea)</w:t>
      </w:r>
      <w:r w:rsidR="004E017F">
        <w:t>.</w:t>
      </w:r>
    </w:p>
    <w:p w14:paraId="3CAC67CB" w14:textId="1134C808" w:rsidR="00953CD5" w:rsidRDefault="00953CD5" w:rsidP="00274AB5">
      <w:pPr>
        <w:pStyle w:val="Heading2"/>
      </w:pPr>
      <w:bookmarkStart w:id="9" w:name="_Hlk55485591"/>
      <w:r>
        <w:t>Considerations for the Recovery Phase</w:t>
      </w:r>
    </w:p>
    <w:bookmarkEnd w:id="9"/>
    <w:p w14:paraId="063BD6DE" w14:textId="18B166DD" w:rsidR="0095137A" w:rsidRDefault="0095137A" w:rsidP="00274AB5">
      <w:r>
        <w:t xml:space="preserve">Refer to CDC’s </w:t>
      </w:r>
      <w:hyperlink r:id="rId30" w:history="1">
        <w:r w:rsidRPr="008374CA">
          <w:rPr>
            <w:rStyle w:val="Hyperlink"/>
          </w:rPr>
          <w:t>STD Outbreak Response Plan Guide</w:t>
        </w:r>
      </w:hyperlink>
      <w:r>
        <w:t xml:space="preserve"> for general considerations related to considerations for the recovery phase and an example of a simple after action report. </w:t>
      </w:r>
    </w:p>
    <w:p w14:paraId="2A6D1D12" w14:textId="71593464" w:rsidR="00B00DA2" w:rsidRDefault="00B00DA2" w:rsidP="00274AB5">
      <w:r>
        <w:t xml:space="preserve">The debrief or after-action meeting </w:t>
      </w:r>
      <w:r w:rsidR="009B7FAA">
        <w:t>following a</w:t>
      </w:r>
      <w:r w:rsidR="0038739C">
        <w:t xml:space="preserve"> ceftriaxone-resistant gonorrhea </w:t>
      </w:r>
      <w:r w:rsidR="009B7FAA">
        <w:t xml:space="preserve">outbreak </w:t>
      </w:r>
      <w:r>
        <w:t>can be a platform for discussing the response, identifying successes and challenges, and identifying opportunities</w:t>
      </w:r>
      <w:r w:rsidR="00024D21">
        <w:t xml:space="preserve"> for enhanced surveillance, </w:t>
      </w:r>
      <w:r w:rsidR="00562951">
        <w:t xml:space="preserve">and/or modifications to routine testing, treatment and test of cure activities, </w:t>
      </w:r>
      <w:r w:rsidR="00024D21">
        <w:t>and</w:t>
      </w:r>
      <w:r>
        <w:t xml:space="preserve"> to improve future responses and refine the outbreak response plan. </w:t>
      </w:r>
    </w:p>
    <w:p w14:paraId="37010B6A" w14:textId="230E253F" w:rsidR="00342A26" w:rsidRPr="00173EB9" w:rsidRDefault="006A3BA4" w:rsidP="00170663">
      <w:r>
        <w:t xml:space="preserve">Specifically following a </w:t>
      </w:r>
      <w:r w:rsidR="0038739C">
        <w:t xml:space="preserve">ceftriaxone-resistant gonorrhea </w:t>
      </w:r>
      <w:r>
        <w:t>outbreak</w:t>
      </w:r>
      <w:r w:rsidR="007E2730">
        <w:t>,</w:t>
      </w:r>
      <w:r>
        <w:t xml:space="preserve"> </w:t>
      </w:r>
      <w:r w:rsidR="00463A90">
        <w:t>jurisdictions</w:t>
      </w:r>
      <w:r w:rsidR="005124E8" w:rsidRPr="00173EB9">
        <w:t xml:space="preserve"> may want to consider </w:t>
      </w:r>
      <w:r>
        <w:t>evaluating</w:t>
      </w:r>
      <w:r w:rsidR="005124E8" w:rsidRPr="00173EB9">
        <w:t xml:space="preserve">: </w:t>
      </w:r>
      <w:r w:rsidR="00173EB9">
        <w:t>h</w:t>
      </w:r>
      <w:r w:rsidR="005124E8" w:rsidRPr="00173EB9">
        <w:t xml:space="preserve">ow </w:t>
      </w:r>
      <w:r w:rsidR="00173EB9">
        <w:t>long</w:t>
      </w:r>
      <w:r w:rsidR="005124E8" w:rsidRPr="00173EB9">
        <w:t xml:space="preserve"> it took to establish system</w:t>
      </w:r>
      <w:r w:rsidR="00173EB9" w:rsidRPr="00173EB9">
        <w:t>s</w:t>
      </w:r>
      <w:r w:rsidR="005124E8" w:rsidRPr="00173EB9">
        <w:t xml:space="preserve"> for laboratory cultur</w:t>
      </w:r>
      <w:r w:rsidR="00D602DC">
        <w:t>e</w:t>
      </w:r>
      <w:r w:rsidR="002A0A9D">
        <w:t>,</w:t>
      </w:r>
      <w:r w:rsidR="00463A90">
        <w:t xml:space="preserve"> </w:t>
      </w:r>
      <w:r w:rsidR="005124E8" w:rsidRPr="00173EB9">
        <w:t>AST</w:t>
      </w:r>
      <w:r w:rsidR="00A86F41">
        <w:t>,</w:t>
      </w:r>
      <w:r w:rsidR="002A0A9D">
        <w:t xml:space="preserve"> and possibly molecular surveillance</w:t>
      </w:r>
      <w:r w:rsidR="005124E8" w:rsidRPr="00173EB9">
        <w:t>; h</w:t>
      </w:r>
      <w:r w:rsidR="00173EB9" w:rsidRPr="00173EB9">
        <w:t>ow long it took</w:t>
      </w:r>
      <w:r w:rsidR="005124E8" w:rsidRPr="00173EB9">
        <w:t xml:space="preserve"> for laboratory results</w:t>
      </w:r>
      <w:r w:rsidR="007E2730">
        <w:t xml:space="preserve"> to reach providers and health department staff</w:t>
      </w:r>
      <w:r w:rsidR="005124E8" w:rsidRPr="00173EB9">
        <w:t xml:space="preserve">; how effective </w:t>
      </w:r>
      <w:r w:rsidR="00A86F41" w:rsidRPr="00173EB9">
        <w:t>w</w:t>
      </w:r>
      <w:r w:rsidR="00A86F41">
        <w:t>ere</w:t>
      </w:r>
      <w:r w:rsidR="00A86F41" w:rsidRPr="00173EB9">
        <w:t xml:space="preserve"> </w:t>
      </w:r>
      <w:r w:rsidR="007E2730">
        <w:t xml:space="preserve">partner services in </w:t>
      </w:r>
      <w:r w:rsidR="005124E8" w:rsidRPr="00173EB9">
        <w:t xml:space="preserve">locating, testing and treating sexual partners; what aspects of communication to the public, providers and media worked well and what could be improved) </w:t>
      </w:r>
    </w:p>
    <w:p w14:paraId="0301748D" w14:textId="7710D873" w:rsidR="00F310D3" w:rsidRDefault="00F310D3" w:rsidP="00274AB5">
      <w:pPr>
        <w:rPr>
          <w:rFonts w:asciiTheme="majorHAnsi" w:eastAsiaTheme="majorEastAsia" w:hAnsiTheme="majorHAnsi" w:cstheme="majorBidi"/>
          <w:color w:val="2E74B5" w:themeColor="accent1" w:themeShade="BF"/>
          <w:sz w:val="32"/>
          <w:szCs w:val="32"/>
        </w:rPr>
      </w:pPr>
      <w:bookmarkStart w:id="10" w:name="_Toc534365649"/>
      <w:r>
        <w:br w:type="page"/>
      </w:r>
    </w:p>
    <w:p w14:paraId="3633C387" w14:textId="680AD7B0" w:rsidR="008111C5" w:rsidRDefault="008111C5" w:rsidP="00274AB5">
      <w:pPr>
        <w:pStyle w:val="Heading2"/>
      </w:pPr>
      <w:r>
        <w:lastRenderedPageBreak/>
        <w:t>Appendix A</w:t>
      </w:r>
    </w:p>
    <w:p w14:paraId="7AE0E5CF" w14:textId="77777777" w:rsidR="008D2731" w:rsidRPr="005E26F1" w:rsidRDefault="008D2731" w:rsidP="00763200">
      <w:pPr>
        <w:pStyle w:val="Heading3"/>
      </w:pPr>
      <w:r>
        <w:t>Definitions</w:t>
      </w:r>
      <w:bookmarkEnd w:id="10"/>
    </w:p>
    <w:p w14:paraId="61EA1A40" w14:textId="77777777" w:rsidR="00E31C6E" w:rsidRDefault="00E31C6E" w:rsidP="0017728B">
      <w:pPr>
        <w:pStyle w:val="Heading4"/>
      </w:pPr>
      <w:r>
        <w:t>Antibiotic</w:t>
      </w:r>
    </w:p>
    <w:p w14:paraId="6CFDE675" w14:textId="77777777" w:rsidR="002F70DF" w:rsidRDefault="00E31C6E" w:rsidP="00274AB5">
      <w:r w:rsidRPr="00256108">
        <w:t xml:space="preserve">A medicine that kills or inhibits the growth of bacteria. </w:t>
      </w:r>
      <w:r>
        <w:t xml:space="preserve">In medical usage, antibiotics refer specifically to </w:t>
      </w:r>
      <w:r w:rsidR="002F70DF">
        <w:t xml:space="preserve">antibacterial </w:t>
      </w:r>
      <w:r>
        <w:t>medicine</w:t>
      </w:r>
      <w:r w:rsidR="002F70DF">
        <w:t>s that are produced naturally by a microorganism (such as penicillin).</w:t>
      </w:r>
    </w:p>
    <w:p w14:paraId="1D5D7217" w14:textId="77777777" w:rsidR="008D2731" w:rsidRDefault="008D2731" w:rsidP="0017728B">
      <w:pPr>
        <w:pStyle w:val="Heading4"/>
      </w:pPr>
      <w:r>
        <w:t>Antibiotic</w:t>
      </w:r>
      <w:r w:rsidR="00342A26">
        <w:t>-</w:t>
      </w:r>
      <w:r>
        <w:t>Resistant Gonorrhea (</w:t>
      </w:r>
      <w:r w:rsidRPr="00EB7D56">
        <w:t>ARGC</w:t>
      </w:r>
      <w:r>
        <w:t>)</w:t>
      </w:r>
    </w:p>
    <w:p w14:paraId="70E53AF8" w14:textId="7E54A81A" w:rsidR="002F70DF" w:rsidRDefault="00342A26" w:rsidP="00274AB5">
      <w:r w:rsidRPr="00256108">
        <w:t>A general designation of a gonococcal infection that demonstrates resistance to at least one antimicrobial agent.</w:t>
      </w:r>
      <w:r>
        <w:rPr>
          <w:i/>
        </w:rPr>
        <w:t xml:space="preserve"> </w:t>
      </w:r>
      <w:r>
        <w:t xml:space="preserve">While a useful term for communicating with the general public, the clinical and public health importance of the infection is better conveyed to providers and public health officials by labeling the infection with the specific antimicrobials to which the infection is resistant (such as ceftriaxone-resistant </w:t>
      </w:r>
      <w:r w:rsidR="008D2731">
        <w:rPr>
          <w:i/>
        </w:rPr>
        <w:t>Neisseria gonorrhoeae</w:t>
      </w:r>
      <w:r>
        <w:rPr>
          <w:i/>
        </w:rPr>
        <w:t>; see below</w:t>
      </w:r>
      <w:r>
        <w:t>)</w:t>
      </w:r>
    </w:p>
    <w:p w14:paraId="2514284B" w14:textId="77777777" w:rsidR="002F70DF" w:rsidRPr="00256108" w:rsidRDefault="002F70DF" w:rsidP="0017728B">
      <w:pPr>
        <w:pStyle w:val="Heading4"/>
      </w:pPr>
      <w:r w:rsidRPr="00256108">
        <w:t>Antimicrobial</w:t>
      </w:r>
    </w:p>
    <w:p w14:paraId="587F8FBD" w14:textId="4F7265EA" w:rsidR="002F70DF" w:rsidRDefault="002F70DF" w:rsidP="00274AB5">
      <w:r>
        <w:t xml:space="preserve">A broad category of medicines that kill or inhibit the growth of microorganisms, and includes </w:t>
      </w:r>
      <w:proofErr w:type="spellStart"/>
      <w:r>
        <w:t>antibacterials</w:t>
      </w:r>
      <w:proofErr w:type="spellEnd"/>
      <w:r>
        <w:t xml:space="preserve">, antivirals, and antifungals. Antimicrobials can be produced naturally by a microorganism (referred to as antibiotics) or can be synthetically produced. “Antimicrobial” is more precise than “antibiotic” when describing cefixime, ceftriaxone, and azithromycin; however, “antimicrobial” and “antibiotic” are often used interchangeably. </w:t>
      </w:r>
    </w:p>
    <w:p w14:paraId="30BA22F2" w14:textId="77777777" w:rsidR="008D2731" w:rsidRDefault="008D2731" w:rsidP="0017728B">
      <w:pPr>
        <w:pStyle w:val="Heading4"/>
      </w:pPr>
      <w:r>
        <w:t>Antibiotic Susceptibility Testing (AST)</w:t>
      </w:r>
    </w:p>
    <w:p w14:paraId="6FDB7D38" w14:textId="70B7B8B0" w:rsidR="008D2731" w:rsidRDefault="00342A26" w:rsidP="00274AB5">
      <w:r>
        <w:t xml:space="preserve">Laboratory testing of live bacteria (isolates) that involves exposing bacteria to a series of concentrations of antimicrobials. AST is used to determine which antibiotics and at which antibiotic concentration keep a particular gonococcal infection </w:t>
      </w:r>
      <w:r w:rsidR="008D2731" w:rsidRPr="00EA6A27">
        <w:t xml:space="preserve">from growing on an agar plate. </w:t>
      </w:r>
      <w:r w:rsidR="00983346">
        <w:t xml:space="preserve">Types of </w:t>
      </w:r>
      <w:r w:rsidR="00983346" w:rsidRPr="00182692">
        <w:rPr>
          <w:i/>
          <w:iCs/>
        </w:rPr>
        <w:t>N. gonorrhoeae</w:t>
      </w:r>
      <w:r w:rsidR="00983346">
        <w:t xml:space="preserve"> AST include disc diffusion, </w:t>
      </w:r>
      <w:r w:rsidR="002A0A9D">
        <w:t xml:space="preserve">gradient strip testing such as </w:t>
      </w:r>
      <w:proofErr w:type="spellStart"/>
      <w:r w:rsidR="00983346">
        <w:t>Etest</w:t>
      </w:r>
      <w:proofErr w:type="spellEnd"/>
      <w:r w:rsidR="002A0A9D">
        <w:rPr>
          <w:rFonts w:cstheme="minorHAnsi"/>
        </w:rPr>
        <w:t>™</w:t>
      </w:r>
      <w:r w:rsidR="00983346">
        <w:t>, and agar dilution.</w:t>
      </w:r>
      <w:r w:rsidR="0072336B">
        <w:t xml:space="preserve"> </w:t>
      </w:r>
      <w:r w:rsidR="007E2730">
        <w:t xml:space="preserve"> B</w:t>
      </w:r>
      <w:r w:rsidR="0072336B">
        <w:t xml:space="preserve">acteria </w:t>
      </w:r>
      <w:proofErr w:type="gramStart"/>
      <w:r w:rsidR="007E2730">
        <w:t>are</w:t>
      </w:r>
      <w:r w:rsidR="0072336B">
        <w:t xml:space="preserve"> considered</w:t>
      </w:r>
      <w:r w:rsidR="00DE70BD">
        <w:t xml:space="preserve"> to be</w:t>
      </w:r>
      <w:proofErr w:type="gramEnd"/>
      <w:r w:rsidR="00DE70BD">
        <w:t xml:space="preserve"> susceptible to an antimicrobial</w:t>
      </w:r>
      <w:r w:rsidR="0072336B">
        <w:t xml:space="preserve"> </w:t>
      </w:r>
      <w:r w:rsidR="00DE70BD">
        <w:t>agent if the bacteria do not grow</w:t>
      </w:r>
      <w:r w:rsidR="0072336B">
        <w:t xml:space="preserve"> in the presence of antibiotic. If bacteria grow in the presence of antibiotic, the bacteria may have reduced susceptibility to the </w:t>
      </w:r>
      <w:r w:rsidR="00DE70BD">
        <w:t>antimicrobial agent</w:t>
      </w:r>
      <w:r w:rsidR="0072336B">
        <w:t>.</w:t>
      </w:r>
    </w:p>
    <w:p w14:paraId="40A24281" w14:textId="77777777" w:rsidR="00F910B4" w:rsidRPr="00F910B4" w:rsidRDefault="00F910B4" w:rsidP="00ED18BB">
      <w:pPr>
        <w:pStyle w:val="Heading4"/>
      </w:pPr>
      <w:r w:rsidRPr="00F910B4">
        <w:t>ARLN</w:t>
      </w:r>
    </w:p>
    <w:p w14:paraId="2BDE190B" w14:textId="25BC017E" w:rsidR="008D2731" w:rsidRDefault="00F910B4" w:rsidP="00274AB5">
      <w:r w:rsidRPr="00F910B4">
        <w:t>The Antimicrobial Regional Laboratory Network is a network of regional public health</w:t>
      </w:r>
      <w:r>
        <w:t xml:space="preserve"> </w:t>
      </w:r>
      <w:r w:rsidRPr="00F910B4">
        <w:t>laboratories equipped to respond to emerging health threats and provide cutting-edge</w:t>
      </w:r>
      <w:r>
        <w:t xml:space="preserve"> </w:t>
      </w:r>
      <w:r w:rsidRPr="00F910B4">
        <w:t xml:space="preserve">antimicrobial resistance laboratory support. </w:t>
      </w:r>
      <w:r w:rsidR="00277E5B">
        <w:t xml:space="preserve">The </w:t>
      </w:r>
      <w:r w:rsidRPr="00F910B4">
        <w:t xml:space="preserve">ARLN </w:t>
      </w:r>
      <w:r w:rsidR="00277E5B">
        <w:t>has</w:t>
      </w:r>
      <w:r w:rsidR="007E2730">
        <w:t xml:space="preserve"> </w:t>
      </w:r>
      <w:r w:rsidRPr="00F910B4">
        <w:t>capacity for culture-based</w:t>
      </w:r>
      <w:r>
        <w:t xml:space="preserve"> </w:t>
      </w:r>
      <w:r w:rsidRPr="00F910B4">
        <w:t>antimicrobial susceptibility testing and genomic sequencing.</w:t>
      </w:r>
    </w:p>
    <w:p w14:paraId="02738E18" w14:textId="77777777" w:rsidR="00F910B4" w:rsidRDefault="00F910B4" w:rsidP="00274AB5"/>
    <w:p w14:paraId="261EF30E" w14:textId="77777777" w:rsidR="008A3881" w:rsidRDefault="008D2731" w:rsidP="00ED18BB">
      <w:pPr>
        <w:pStyle w:val="Heading4"/>
      </w:pPr>
      <w:r w:rsidRPr="00EA6A27">
        <w:lastRenderedPageBreak/>
        <w:t>Azithromycin</w:t>
      </w:r>
    </w:p>
    <w:p w14:paraId="3A443889" w14:textId="3F2195FE" w:rsidR="008D2731" w:rsidRDefault="008D2731" w:rsidP="00274AB5">
      <w:r w:rsidRPr="00EA6A27">
        <w:t xml:space="preserve">A </w:t>
      </w:r>
      <w:proofErr w:type="gramStart"/>
      <w:r w:rsidR="00983346">
        <w:t>widely-used</w:t>
      </w:r>
      <w:proofErr w:type="gramEnd"/>
      <w:r w:rsidR="00983346">
        <w:t xml:space="preserve"> and </w:t>
      </w:r>
      <w:r w:rsidRPr="00EA6A27">
        <w:t xml:space="preserve">broad-spectrum </w:t>
      </w:r>
      <w:r w:rsidR="00983346">
        <w:t xml:space="preserve">macrolide </w:t>
      </w:r>
      <w:r w:rsidRPr="00EA6A27">
        <w:t>anti</w:t>
      </w:r>
      <w:r w:rsidR="002F70DF">
        <w:t>microbial</w:t>
      </w:r>
      <w:r w:rsidR="00983346">
        <w:t xml:space="preserve"> </w:t>
      </w:r>
      <w:r w:rsidRPr="00EA6A27">
        <w:t xml:space="preserve">that </w:t>
      </w:r>
      <w:r w:rsidR="007E2730">
        <w:t>is recommended for treatment of chlamydia and that was</w:t>
      </w:r>
      <w:r w:rsidRPr="00EA6A27">
        <w:t xml:space="preserve"> </w:t>
      </w:r>
      <w:r w:rsidR="007E2730">
        <w:t>previously</w:t>
      </w:r>
      <w:r w:rsidR="00983346">
        <w:t xml:space="preserve"> recommended to be administered with ceftriaxone for treatment of gonorrhea. </w:t>
      </w:r>
      <w:r w:rsidRPr="00EA6A27">
        <w:t xml:space="preserve">Common brands names include Zithromax, </w:t>
      </w:r>
      <w:proofErr w:type="spellStart"/>
      <w:r w:rsidRPr="00EA6A27">
        <w:t>AzaSite</w:t>
      </w:r>
      <w:proofErr w:type="spellEnd"/>
      <w:r w:rsidRPr="00EA6A27">
        <w:t xml:space="preserve">, </w:t>
      </w:r>
      <w:r w:rsidR="00983346">
        <w:t xml:space="preserve">and </w:t>
      </w:r>
      <w:proofErr w:type="spellStart"/>
      <w:r w:rsidRPr="00EA6A27">
        <w:t>Zmax</w:t>
      </w:r>
      <w:proofErr w:type="spellEnd"/>
      <w:r w:rsidR="00983346">
        <w:t xml:space="preserve">, and is often prescribed for other infectious conditions as a multiday </w:t>
      </w:r>
      <w:proofErr w:type="spellStart"/>
      <w:r w:rsidR="00983346">
        <w:t>Zpack</w:t>
      </w:r>
      <w:proofErr w:type="spellEnd"/>
      <w:r w:rsidRPr="00EA6A27">
        <w:t>.</w:t>
      </w:r>
    </w:p>
    <w:p w14:paraId="6639AC7E" w14:textId="77777777" w:rsidR="008A3881" w:rsidRDefault="008D2731" w:rsidP="00ED18BB">
      <w:pPr>
        <w:pStyle w:val="Heading4"/>
      </w:pPr>
      <w:r w:rsidRPr="00EA6A27">
        <w:t>CDC</w:t>
      </w:r>
    </w:p>
    <w:p w14:paraId="5C71117E" w14:textId="54FA4112" w:rsidR="008D2731" w:rsidRPr="00EA6A27" w:rsidRDefault="00983346" w:rsidP="00274AB5">
      <w:r>
        <w:t xml:space="preserve">The </w:t>
      </w:r>
      <w:r w:rsidR="008D2731" w:rsidRPr="00EA6A27">
        <w:t>Centers for Disease Control and Preventio</w:t>
      </w:r>
      <w:r>
        <w:t xml:space="preserve">n, a federal agency in the Department of Health and Human Services, provide management and financial support for the SURRG program, lead national surveillance of gonococcal resistance, and publish national treatment guidelines for STDs, including gonorrhea.  </w:t>
      </w:r>
    </w:p>
    <w:p w14:paraId="78B8E829" w14:textId="77777777" w:rsidR="008A3881" w:rsidRDefault="008D2731" w:rsidP="00ED18BB">
      <w:pPr>
        <w:pStyle w:val="Heading4"/>
      </w:pPr>
      <w:r w:rsidRPr="00EA6A27">
        <w:t>Cefixime</w:t>
      </w:r>
    </w:p>
    <w:p w14:paraId="2B3B9DCD" w14:textId="568C5961" w:rsidR="008D2731" w:rsidRPr="00EA6A27" w:rsidRDefault="008D2731" w:rsidP="00274AB5">
      <w:r w:rsidRPr="00EA6A27">
        <w:t>A</w:t>
      </w:r>
      <w:r w:rsidR="00F042DC">
        <w:t>n</w:t>
      </w:r>
      <w:r w:rsidR="00983346">
        <w:t xml:space="preserve"> oral </w:t>
      </w:r>
      <w:r w:rsidRPr="00EA6A27">
        <w:t>cephalosporin anti</w:t>
      </w:r>
      <w:r w:rsidR="002F70DF">
        <w:t>microbial</w:t>
      </w:r>
      <w:r w:rsidRPr="00EA6A27">
        <w:t xml:space="preserve"> </w:t>
      </w:r>
      <w:r w:rsidR="00983346">
        <w:t xml:space="preserve">that </w:t>
      </w:r>
      <w:r w:rsidR="007E2730">
        <w:t>wa</w:t>
      </w:r>
      <w:r w:rsidR="00983346">
        <w:t xml:space="preserve">s listed as an </w:t>
      </w:r>
      <w:r w:rsidRPr="00EA6A27">
        <w:t xml:space="preserve">alternative treatment for </w:t>
      </w:r>
      <w:r w:rsidR="00983346">
        <w:t xml:space="preserve">gonorrhea in CDC’s </w:t>
      </w:r>
      <w:r w:rsidR="00CD2804">
        <w:t>update to Treatment Guidelines for Gonococcal Infection, 2020.</w:t>
      </w:r>
      <w:r w:rsidRPr="00EA6A27">
        <w:t xml:space="preserve"> </w:t>
      </w:r>
      <w:r w:rsidR="00983346">
        <w:t>Until 2012, cefixime was a recommended treatment for gonorrhea. A c</w:t>
      </w:r>
      <w:r w:rsidRPr="00EA6A27">
        <w:t xml:space="preserve">ommon brand name </w:t>
      </w:r>
      <w:r w:rsidR="00983346">
        <w:t xml:space="preserve">of cefixime </w:t>
      </w:r>
      <w:r w:rsidRPr="00EA6A27">
        <w:t xml:space="preserve">is </w:t>
      </w:r>
      <w:proofErr w:type="spellStart"/>
      <w:r w:rsidRPr="00EA6A27">
        <w:t>Suprax</w:t>
      </w:r>
      <w:proofErr w:type="spellEnd"/>
      <w:r w:rsidRPr="00EA6A27">
        <w:t xml:space="preserve">. </w:t>
      </w:r>
    </w:p>
    <w:p w14:paraId="29218D74" w14:textId="77777777" w:rsidR="008A3881" w:rsidRDefault="008D2731" w:rsidP="00ED18BB">
      <w:pPr>
        <w:pStyle w:val="Heading4"/>
      </w:pPr>
      <w:r w:rsidRPr="00EA6A27">
        <w:t>Ceftriaxone</w:t>
      </w:r>
    </w:p>
    <w:p w14:paraId="30AF08EA" w14:textId="4FA15C70" w:rsidR="008D2731" w:rsidRDefault="008D2731" w:rsidP="00274AB5">
      <w:r w:rsidRPr="00EA6A27">
        <w:t>A</w:t>
      </w:r>
      <w:r w:rsidR="00983346">
        <w:t xml:space="preserve">n injectable </w:t>
      </w:r>
      <w:r w:rsidRPr="00EA6A27">
        <w:t>cephalosporin anti</w:t>
      </w:r>
      <w:r w:rsidR="002F70DF">
        <w:t>microbial</w:t>
      </w:r>
      <w:r w:rsidRPr="00EA6A27">
        <w:t xml:space="preserve"> that can be delivered intramuscularly</w:t>
      </w:r>
      <w:r w:rsidR="00983346">
        <w:t xml:space="preserve"> or </w:t>
      </w:r>
      <w:r w:rsidRPr="00EA6A27">
        <w:t>intravenously</w:t>
      </w:r>
      <w:r w:rsidR="00983346">
        <w:t xml:space="preserve">. Ceftriaxone is the recommended treatment for gonorrhea. </w:t>
      </w:r>
      <w:r w:rsidRPr="00EA6A27">
        <w:t xml:space="preserve"> </w:t>
      </w:r>
      <w:r w:rsidR="00983346">
        <w:t xml:space="preserve">A common </w:t>
      </w:r>
      <w:r w:rsidRPr="00EA6A27">
        <w:t>brand name is Rocephin.</w:t>
      </w:r>
    </w:p>
    <w:p w14:paraId="45F5CEA7" w14:textId="77777777" w:rsidR="00156FB9" w:rsidRDefault="00156FB9" w:rsidP="00ED18BB">
      <w:pPr>
        <w:pStyle w:val="Heading4"/>
      </w:pPr>
      <w:r>
        <w:t xml:space="preserve">Ceftriaxone-Resistant </w:t>
      </w:r>
      <w:r w:rsidRPr="00256108">
        <w:rPr>
          <w:i/>
        </w:rPr>
        <w:t>Neisseria gonorrhoeae</w:t>
      </w:r>
    </w:p>
    <w:p w14:paraId="0205A7C0" w14:textId="2ACEA35D" w:rsidR="00156FB9" w:rsidRPr="00256108" w:rsidRDefault="007E2730" w:rsidP="00274AB5">
      <w:r>
        <w:t>Although widely-agreed upon criteria for ceftriaxone resistance are lacking, preliminary/working criteria include a</w:t>
      </w:r>
      <w:r w:rsidR="00156FB9" w:rsidRPr="00256108">
        <w:t xml:space="preserve"> </w:t>
      </w:r>
      <w:r w:rsidR="00156FB9">
        <w:t>gonococcal infection that demonstrates laboratory-based</w:t>
      </w:r>
      <w:r w:rsidR="002F70DF">
        <w:t xml:space="preserve"> antimicrobial</w:t>
      </w:r>
      <w:r w:rsidR="00156FB9">
        <w:t xml:space="preserve"> resistance (</w:t>
      </w:r>
      <w:r w:rsidR="002F70DF">
        <w:t xml:space="preserve">as evidenced by </w:t>
      </w:r>
      <w:r w:rsidR="00156FB9">
        <w:t xml:space="preserve">substantially elevated minimum inhibitory concentrations by AST, such as MICs </w:t>
      </w:r>
      <w:r w:rsidR="00156FB9">
        <w:rPr>
          <w:rFonts w:ascii="Arial" w:hAnsi="Arial" w:cs="Arial"/>
        </w:rPr>
        <w:t>≥</w:t>
      </w:r>
      <w:r w:rsidR="00156FB9">
        <w:t xml:space="preserve">1.0 </w:t>
      </w:r>
      <w:r w:rsidR="00156FB9">
        <w:rPr>
          <w:rFonts w:cstheme="minorHAnsi"/>
        </w:rPr>
        <w:t>µ</w:t>
      </w:r>
      <w:r w:rsidR="00156FB9">
        <w:t>g/ml) and which may have been unsuccessfully treated with recommended ceftriaxone-based therapy.</w:t>
      </w:r>
    </w:p>
    <w:p w14:paraId="7CDD567C" w14:textId="77777777" w:rsidR="008D2731" w:rsidRPr="00EA6A27" w:rsidRDefault="008D2731" w:rsidP="00ED18BB">
      <w:pPr>
        <w:pStyle w:val="Heading4"/>
      </w:pPr>
      <w:r w:rsidRPr="00EA6A27">
        <w:t>Cephalosporin</w:t>
      </w:r>
    </w:p>
    <w:p w14:paraId="3E595996" w14:textId="04387C51" w:rsidR="008D2731" w:rsidRDefault="008D2731" w:rsidP="00274AB5">
      <w:r w:rsidRPr="00EA6A27">
        <w:t xml:space="preserve">A large group of </w:t>
      </w:r>
      <w:r w:rsidR="00983346">
        <w:t xml:space="preserve">broad-spectrum </w:t>
      </w:r>
      <w:r w:rsidRPr="00EA6A27">
        <w:t>anti</w:t>
      </w:r>
      <w:r w:rsidR="002F70DF">
        <w:t>microbials</w:t>
      </w:r>
      <w:r w:rsidRPr="00EA6A27">
        <w:t xml:space="preserve"> </w:t>
      </w:r>
      <w:r w:rsidR="002F70DF">
        <w:t>that function by inhibition of bacterial cell wall synthesis. The cephalosporin class</w:t>
      </w:r>
      <w:r w:rsidRPr="00EA6A27">
        <w:t xml:space="preserve"> inclu</w:t>
      </w:r>
      <w:r w:rsidR="002F70DF">
        <w:t>des</w:t>
      </w:r>
      <w:r w:rsidRPr="00EA6A27">
        <w:t xml:space="preserve"> </w:t>
      </w:r>
      <w:proofErr w:type="gramStart"/>
      <w:r w:rsidRPr="00EA6A27">
        <w:t>third-generation</w:t>
      </w:r>
      <w:proofErr w:type="gramEnd"/>
      <w:r w:rsidRPr="00EA6A27">
        <w:t xml:space="preserve"> cephalosporins </w:t>
      </w:r>
      <w:r w:rsidR="00983346">
        <w:t>c</w:t>
      </w:r>
      <w:r w:rsidRPr="00EA6A27">
        <w:t xml:space="preserve">eftriaxone and </w:t>
      </w:r>
      <w:r w:rsidR="00983346">
        <w:t>c</w:t>
      </w:r>
      <w:r w:rsidRPr="00EA6A27">
        <w:t xml:space="preserve">efixime. </w:t>
      </w:r>
    </w:p>
    <w:p w14:paraId="04CEA2F7" w14:textId="77777777" w:rsidR="00156FB9" w:rsidRDefault="00156FB9" w:rsidP="00ED18BB">
      <w:pPr>
        <w:pStyle w:val="Heading4"/>
      </w:pPr>
      <w:r>
        <w:t>Culture</w:t>
      </w:r>
    </w:p>
    <w:p w14:paraId="064E9E8C" w14:textId="4AF10BC2" w:rsidR="00300EFB" w:rsidRPr="00E24CA8" w:rsidRDefault="00300EFB" w:rsidP="00274AB5">
      <w:r w:rsidRPr="00277E5B">
        <w:t>A laboratory method of growing bacteria by letting them reproduce in culture medium under controlled laboratory conditions. Bacterial cultures are used to</w:t>
      </w:r>
      <w:r w:rsidRPr="008C3170">
        <w:t xml:space="preserve"> determine the type of organism</w:t>
      </w:r>
      <w:r>
        <w:t xml:space="preserve">, </w:t>
      </w:r>
      <w:r w:rsidRPr="00277E5B">
        <w:t xml:space="preserve">the abundance of organisms in the sample, </w:t>
      </w:r>
      <w:r>
        <w:t xml:space="preserve">and the viability of the organism (can help distinguish an active gonococcal infection from residual DNA [detected by NAAT] from a successfully treated infection). </w:t>
      </w:r>
      <w:r w:rsidRPr="00277E5B">
        <w:rPr>
          <w:i/>
        </w:rPr>
        <w:t>N. gonorrh</w:t>
      </w:r>
      <w:r w:rsidR="00182692">
        <w:rPr>
          <w:i/>
        </w:rPr>
        <w:t>o</w:t>
      </w:r>
      <w:r w:rsidRPr="00277E5B">
        <w:rPr>
          <w:i/>
        </w:rPr>
        <w:t>ea</w:t>
      </w:r>
      <w:r w:rsidR="00182692">
        <w:rPr>
          <w:i/>
        </w:rPr>
        <w:t>e</w:t>
      </w:r>
      <w:r w:rsidRPr="00277E5B">
        <w:rPr>
          <w:i/>
        </w:rPr>
        <w:t xml:space="preserve"> </w:t>
      </w:r>
      <w:r>
        <w:t xml:space="preserve">culture provides a specimen for antibiotic susceptibility testing (AST). </w:t>
      </w:r>
    </w:p>
    <w:p w14:paraId="57395106" w14:textId="4FA54070" w:rsidR="00156FB9" w:rsidRDefault="00156FB9" w:rsidP="00ED18BB">
      <w:pPr>
        <w:pStyle w:val="Heading4"/>
      </w:pPr>
      <w:r>
        <w:lastRenderedPageBreak/>
        <w:t>Disease In</w:t>
      </w:r>
      <w:r w:rsidR="00182692">
        <w:t>tervention</w:t>
      </w:r>
      <w:r>
        <w:t xml:space="preserve"> Specialists (DIS)</w:t>
      </w:r>
    </w:p>
    <w:p w14:paraId="4CE63DBA" w14:textId="77777777" w:rsidR="00300EFB" w:rsidRPr="00E24CA8" w:rsidRDefault="00300EFB" w:rsidP="00274AB5">
      <w:r w:rsidRPr="00277E5B">
        <w:t xml:space="preserve">A backbone of public health in the United States, DIS </w:t>
      </w:r>
      <w:r w:rsidR="005124E8">
        <w:t xml:space="preserve">confirm treatment, </w:t>
      </w:r>
      <w:r w:rsidRPr="00277E5B">
        <w:t xml:space="preserve">conduct patient interviews, </w:t>
      </w:r>
      <w:r w:rsidR="005124E8">
        <w:t xml:space="preserve">provide patient counseling, </w:t>
      </w:r>
      <w:r w:rsidRPr="00277E5B">
        <w:t>conduct partner services</w:t>
      </w:r>
      <w:r w:rsidR="005124E8">
        <w:t xml:space="preserve"> (locate sexual partners to cases and link them to testing and treatment)</w:t>
      </w:r>
      <w:r w:rsidRPr="00277E5B">
        <w:t xml:space="preserve">, and provide a growing number of </w:t>
      </w:r>
      <w:r w:rsidR="005124E8">
        <w:t xml:space="preserve">other </w:t>
      </w:r>
      <w:r w:rsidRPr="00277E5B">
        <w:t xml:space="preserve">critical public health services, such as linkage to HIV care. </w:t>
      </w:r>
    </w:p>
    <w:p w14:paraId="64DBD46A" w14:textId="77777777" w:rsidR="00FD7418" w:rsidRDefault="0072336B" w:rsidP="00ED18BB">
      <w:pPr>
        <w:pStyle w:val="Heading4"/>
      </w:pPr>
      <w:proofErr w:type="spellStart"/>
      <w:r>
        <w:t>eGISP</w:t>
      </w:r>
      <w:proofErr w:type="spellEnd"/>
      <w:r w:rsidR="000C4126">
        <w:t xml:space="preserve"> </w:t>
      </w:r>
    </w:p>
    <w:p w14:paraId="6070E1EA" w14:textId="77777777" w:rsidR="000C4126" w:rsidRDefault="000C4126" w:rsidP="00274AB5">
      <w:pPr>
        <w:rPr>
          <w:b/>
        </w:rPr>
      </w:pPr>
      <w:r w:rsidRPr="000C4126">
        <w:t xml:space="preserve">The Enhanced Gonococcal Isolate Surveillance Project strengthens surveillance of resistant gonorrhea and increases state and local capacity to detect and monitor it. In select STD clinics, </w:t>
      </w:r>
      <w:proofErr w:type="spellStart"/>
      <w:r w:rsidRPr="000C4126">
        <w:t>eGISP</w:t>
      </w:r>
      <w:proofErr w:type="spellEnd"/>
      <w:r w:rsidRPr="000C4126">
        <w:t xml:space="preserve"> collects samples from men with gonococcal urethritis </w:t>
      </w:r>
      <w:r w:rsidR="00E16D4D">
        <w:t>as well as from women and</w:t>
      </w:r>
      <w:r w:rsidRPr="000C4126">
        <w:t xml:space="preserve"> extragenital sites. These specimens are sent to regional laboratories for susceptibility testing.</w:t>
      </w:r>
    </w:p>
    <w:p w14:paraId="7B72797B" w14:textId="77777777" w:rsidR="00B13452" w:rsidRDefault="00B13452" w:rsidP="00ED18BB">
      <w:pPr>
        <w:pStyle w:val="Heading4"/>
      </w:pPr>
      <w:proofErr w:type="spellStart"/>
      <w:r>
        <w:t>Eswab</w:t>
      </w:r>
      <w:proofErr w:type="spellEnd"/>
    </w:p>
    <w:p w14:paraId="71AB6622" w14:textId="77777777" w:rsidR="00B13452" w:rsidRPr="00B13452" w:rsidRDefault="00B13452" w:rsidP="00274AB5">
      <w:pPr>
        <w:rPr>
          <w:lang w:val="en"/>
        </w:rPr>
      </w:pPr>
      <w:r w:rsidRPr="00B13452">
        <w:rPr>
          <w:lang w:val="en"/>
        </w:rPr>
        <w:t>A collection and transport system that maintains viability of bacteria at room and refrigerator temperature for up to 48 hours</w:t>
      </w:r>
      <w:r>
        <w:rPr>
          <w:lang w:val="en"/>
        </w:rPr>
        <w:t xml:space="preserve"> prior.  </w:t>
      </w:r>
    </w:p>
    <w:p w14:paraId="3DE336E1" w14:textId="77777777" w:rsidR="002F738C" w:rsidRPr="00DD409A" w:rsidRDefault="002F738C" w:rsidP="00711AD9">
      <w:pPr>
        <w:pStyle w:val="Heading4"/>
      </w:pPr>
      <w:proofErr w:type="spellStart"/>
      <w:r w:rsidRPr="00DD409A">
        <w:t>Etest</w:t>
      </w:r>
      <w:proofErr w:type="spellEnd"/>
    </w:p>
    <w:p w14:paraId="50BD272F" w14:textId="0C1C4EED" w:rsidR="00B13452" w:rsidRPr="00DD409A" w:rsidRDefault="00B13452" w:rsidP="00274AB5">
      <w:pPr>
        <w:rPr>
          <w:b/>
        </w:rPr>
      </w:pPr>
      <w:proofErr w:type="spellStart"/>
      <w:r w:rsidRPr="00DD409A">
        <w:rPr>
          <w:lang w:val="en"/>
        </w:rPr>
        <w:t>Epsilometer</w:t>
      </w:r>
      <w:proofErr w:type="spellEnd"/>
      <w:r w:rsidRPr="00DD409A">
        <w:rPr>
          <w:lang w:val="en"/>
        </w:rPr>
        <w:t xml:space="preserve"> </w:t>
      </w:r>
      <w:r w:rsidRPr="005124E8">
        <w:rPr>
          <w:rStyle w:val="Strong"/>
          <w:rFonts w:cstheme="minorHAnsi"/>
          <w:b w:val="0"/>
          <w:lang w:val="en"/>
        </w:rPr>
        <w:t>test</w:t>
      </w:r>
      <w:r w:rsidRPr="00DD409A">
        <w:rPr>
          <w:lang w:val="en"/>
        </w:rPr>
        <w:t xml:space="preserve"> (</w:t>
      </w:r>
      <w:proofErr w:type="spellStart"/>
      <w:r w:rsidRPr="005124E8">
        <w:rPr>
          <w:rStyle w:val="Strong"/>
          <w:rFonts w:cstheme="minorHAnsi"/>
          <w:b w:val="0"/>
          <w:lang w:val="en"/>
        </w:rPr>
        <w:t>Etest</w:t>
      </w:r>
      <w:proofErr w:type="spellEnd"/>
      <w:r w:rsidR="002A0A9D">
        <w:rPr>
          <w:rStyle w:val="Strong"/>
          <w:rFonts w:cstheme="minorHAnsi"/>
          <w:b w:val="0"/>
          <w:lang w:val="en"/>
        </w:rPr>
        <w:t>™</w:t>
      </w:r>
      <w:r w:rsidRPr="00DD409A">
        <w:rPr>
          <w:lang w:val="en"/>
        </w:rPr>
        <w:t>) is an ‘exponential gradient’ method of determining of antimicrobial susceptibility</w:t>
      </w:r>
      <w:r w:rsidR="00AA5BB3">
        <w:rPr>
          <w:lang w:val="en"/>
        </w:rPr>
        <w:t>.</w:t>
      </w:r>
      <w:r w:rsidRPr="00DD409A">
        <w:rPr>
          <w:lang w:val="en"/>
        </w:rPr>
        <w:t xml:space="preserve"> </w:t>
      </w:r>
      <w:proofErr w:type="spellStart"/>
      <w:r w:rsidRPr="00DD409A">
        <w:rPr>
          <w:lang w:val="en"/>
        </w:rPr>
        <w:t>Etest</w:t>
      </w:r>
      <w:proofErr w:type="spellEnd"/>
      <w:r w:rsidR="00AA5BB3">
        <w:rPr>
          <w:lang w:val="en"/>
        </w:rPr>
        <w:t>™</w:t>
      </w:r>
      <w:r w:rsidRPr="00DD409A">
        <w:rPr>
          <w:lang w:val="en"/>
        </w:rPr>
        <w:t xml:space="preserve"> consists of a predefined gradient of antibiotic concentrations on a plastic strip and is used to determine the </w:t>
      </w:r>
      <w:r w:rsidR="007E2730">
        <w:rPr>
          <w:lang w:val="en"/>
        </w:rPr>
        <w:t>m</w:t>
      </w:r>
      <w:r w:rsidRPr="00DD409A">
        <w:rPr>
          <w:lang w:val="en"/>
        </w:rPr>
        <w:t xml:space="preserve">inimum </w:t>
      </w:r>
      <w:r w:rsidR="007E2730">
        <w:rPr>
          <w:lang w:val="en"/>
        </w:rPr>
        <w:t>i</w:t>
      </w:r>
      <w:r w:rsidRPr="00DD409A">
        <w:rPr>
          <w:lang w:val="en"/>
        </w:rPr>
        <w:t xml:space="preserve">nhibitory </w:t>
      </w:r>
      <w:r w:rsidR="007E2730">
        <w:rPr>
          <w:lang w:val="en"/>
        </w:rPr>
        <w:t>c</w:t>
      </w:r>
      <w:r w:rsidRPr="00DD409A">
        <w:rPr>
          <w:lang w:val="en"/>
        </w:rPr>
        <w:t xml:space="preserve">oncentration (MIC) of antibiotics.  </w:t>
      </w:r>
    </w:p>
    <w:p w14:paraId="0B1CD854" w14:textId="77777777" w:rsidR="0072336B" w:rsidRPr="00DD409A" w:rsidRDefault="0072336B" w:rsidP="00711AD9">
      <w:pPr>
        <w:pStyle w:val="Heading4"/>
      </w:pPr>
      <w:r w:rsidRPr="00DD409A">
        <w:t>GISP</w:t>
      </w:r>
    </w:p>
    <w:p w14:paraId="6CA3B2C7" w14:textId="3F15C143" w:rsidR="000C4126" w:rsidRPr="00DD409A" w:rsidRDefault="000C4126" w:rsidP="00274AB5">
      <w:r w:rsidRPr="00DD409A">
        <w:t>The Gonococcal Isolate Surveillance Project monitors U.S. antibiotic resistance trends in gonorrhea. Through the collaborative effort of selected STD clinics and their local laboratories, regional laboratories, and CDC, GIS</w:t>
      </w:r>
      <w:r w:rsidR="007C542C">
        <w:t>P</w:t>
      </w:r>
      <w:r w:rsidRPr="00DD409A">
        <w:t xml:space="preserve"> data helps ensure gonorrhea receives the right antibiotic treatment. GISP monitors antimicrobial susceptibility of approximately 5,000 male gonococcal urethritis cases seen in </w:t>
      </w:r>
      <w:r w:rsidR="007C542C">
        <w:t>~</w:t>
      </w:r>
      <w:r w:rsidRPr="00DD409A">
        <w:t>26 STD clinics.</w:t>
      </w:r>
    </w:p>
    <w:p w14:paraId="494C6B93" w14:textId="77777777" w:rsidR="00FD7418" w:rsidRDefault="00FD7418" w:rsidP="00711AD9">
      <w:pPr>
        <w:pStyle w:val="Heading4"/>
      </w:pPr>
      <w:r w:rsidRPr="00300EFB">
        <w:t>Health Alert Network (HAN)</w:t>
      </w:r>
    </w:p>
    <w:p w14:paraId="13C7BC46" w14:textId="77777777" w:rsidR="00DD409A" w:rsidRPr="00DD409A" w:rsidRDefault="00DD409A" w:rsidP="00274AB5">
      <w:r w:rsidRPr="00DD409A">
        <w:t>CDC’s Health Alert Network (HAN) is CDC’s primary method of sharing cleared information about urgent public health incidents with public information officers; federal, state, territorial, tribal, and local public health practitioners; clinicians; and public health laboratories.</w:t>
      </w:r>
    </w:p>
    <w:p w14:paraId="2646575A" w14:textId="77777777" w:rsidR="00FD7418" w:rsidRPr="00277E5B" w:rsidRDefault="00FD7418" w:rsidP="00711AD9">
      <w:pPr>
        <w:pStyle w:val="Heading4"/>
      </w:pPr>
      <w:r w:rsidRPr="00277E5B">
        <w:t>Incident Command St</w:t>
      </w:r>
      <w:r w:rsidR="00663C04" w:rsidRPr="00277E5B">
        <w:t>r</w:t>
      </w:r>
      <w:r w:rsidRPr="00277E5B">
        <w:t>ucture (ICS)</w:t>
      </w:r>
    </w:p>
    <w:p w14:paraId="7391D210" w14:textId="40A40214" w:rsidR="002F738C" w:rsidRPr="00277E5B" w:rsidRDefault="00DD409A" w:rsidP="00274AB5">
      <w:pPr>
        <w:rPr>
          <w:b/>
        </w:rPr>
      </w:pPr>
      <w:r w:rsidRPr="008A3881">
        <w:t>An incident management structure is a predetermined organizational structure used to manage the planning, operational, logistical, financial, and administrative components of an outbreak event. The ICS is an essential tool for command, control, and coordination of resources during an outbreak.</w:t>
      </w:r>
    </w:p>
    <w:p w14:paraId="496E9C83" w14:textId="77777777" w:rsidR="005136AE" w:rsidRDefault="005136AE" w:rsidP="00711AD9">
      <w:pPr>
        <w:pStyle w:val="Heading4"/>
      </w:pPr>
      <w:r w:rsidRPr="00DD409A">
        <w:lastRenderedPageBreak/>
        <w:t>Multidrug Resistan</w:t>
      </w:r>
      <w:r w:rsidR="00300EFB">
        <w:t>ce</w:t>
      </w:r>
      <w:r w:rsidRPr="00DD409A">
        <w:t>/Extensively Drug Resistan</w:t>
      </w:r>
      <w:r w:rsidR="00300EFB">
        <w:t>ce</w:t>
      </w:r>
    </w:p>
    <w:p w14:paraId="337725DB" w14:textId="1B0A44EE" w:rsidR="00DD409A" w:rsidRPr="00DD409A" w:rsidRDefault="004B27B4" w:rsidP="00274AB5">
      <w:pPr>
        <w:rPr>
          <w:rFonts w:cstheme="minorHAnsi"/>
          <w:b/>
        </w:rPr>
      </w:pPr>
      <w:hyperlink r:id="rId31" w:tooltip="Antimicrobial resistance" w:history="1">
        <w:r w:rsidR="00300EFB" w:rsidRPr="00463A90">
          <w:rPr>
            <w:rStyle w:val="Hyperlink"/>
            <w:color w:val="auto"/>
            <w:u w:val="none"/>
            <w:lang w:val="en"/>
          </w:rPr>
          <w:t>Multidrug resistance is antimicrobial resistance</w:t>
        </w:r>
      </w:hyperlink>
      <w:r w:rsidR="00300EFB" w:rsidRPr="00463A90">
        <w:rPr>
          <w:lang w:val="en"/>
        </w:rPr>
        <w:t xml:space="preserve"> shown by a species of </w:t>
      </w:r>
      <w:hyperlink r:id="rId32" w:tooltip="Microorganism" w:history="1">
        <w:r w:rsidR="00300EFB" w:rsidRPr="00463A90">
          <w:rPr>
            <w:rStyle w:val="Hyperlink"/>
            <w:color w:val="auto"/>
            <w:u w:val="none"/>
            <w:lang w:val="en"/>
          </w:rPr>
          <w:t>microorganism</w:t>
        </w:r>
      </w:hyperlink>
      <w:r w:rsidR="00300EFB" w:rsidRPr="00463A90">
        <w:rPr>
          <w:lang w:val="en"/>
        </w:rPr>
        <w:t xml:space="preserve">, such as bacteria, to multiple </w:t>
      </w:r>
      <w:hyperlink r:id="rId33" w:tooltip="Antimicrobial" w:history="1">
        <w:r w:rsidR="00300EFB" w:rsidRPr="00463A90">
          <w:rPr>
            <w:rStyle w:val="Hyperlink"/>
            <w:color w:val="auto"/>
            <w:u w:val="none"/>
            <w:lang w:val="en"/>
          </w:rPr>
          <w:t>antimicrobial</w:t>
        </w:r>
      </w:hyperlink>
      <w:r w:rsidR="00300EFB" w:rsidRPr="00463A90">
        <w:rPr>
          <w:lang w:val="en"/>
        </w:rPr>
        <w:t xml:space="preserve"> drugs.</w:t>
      </w:r>
      <w:r w:rsidR="00300EFB">
        <w:rPr>
          <w:lang w:val="en"/>
        </w:rPr>
        <w:t xml:space="preserve"> </w:t>
      </w:r>
      <w:r w:rsidR="00300EFB">
        <w:t>Extensively drug-resistance (XDR) is a rare type of multidrug-resistance in which bacteria are resistant to first</w:t>
      </w:r>
      <w:r w:rsidR="00CD2804">
        <w:t>-</w:t>
      </w:r>
      <w:r w:rsidR="00300EFB">
        <w:t xml:space="preserve"> and second</w:t>
      </w:r>
      <w:r w:rsidR="00CD2804">
        <w:t>-</w:t>
      </w:r>
      <w:r w:rsidR="00300EFB">
        <w:t>line treatment options.</w:t>
      </w:r>
    </w:p>
    <w:p w14:paraId="3BCA088A" w14:textId="77777777" w:rsidR="00156FB9" w:rsidRPr="00DD409A" w:rsidRDefault="00156FB9" w:rsidP="00711AD9">
      <w:pPr>
        <w:pStyle w:val="Heading4"/>
      </w:pPr>
      <w:r w:rsidRPr="00DD409A">
        <w:t>Minimum inhibitory concentrations (MICs)</w:t>
      </w:r>
    </w:p>
    <w:p w14:paraId="50B65C7D" w14:textId="05A8A317" w:rsidR="00156FB9" w:rsidRDefault="00156FB9" w:rsidP="00274AB5">
      <w:r w:rsidRPr="00300EFB">
        <w:rPr>
          <w:rFonts w:cstheme="minorHAnsi"/>
        </w:rPr>
        <w:t>The lowest</w:t>
      </w:r>
      <w:r w:rsidRPr="00256108">
        <w:t xml:space="preserve"> antibiotic concentration that inhibits visible growth of bacteria in the laboratory. AST by </w:t>
      </w:r>
      <w:proofErr w:type="spellStart"/>
      <w:r w:rsidRPr="00256108">
        <w:t>Etest</w:t>
      </w:r>
      <w:proofErr w:type="spellEnd"/>
      <w:r w:rsidR="00AA5BB3">
        <w:rPr>
          <w:rFonts w:cstheme="minorHAnsi"/>
        </w:rPr>
        <w:t>™</w:t>
      </w:r>
      <w:r w:rsidRPr="00256108">
        <w:t xml:space="preserve"> and agar dilution generate results in MICs. </w:t>
      </w:r>
    </w:p>
    <w:p w14:paraId="4E00C0CE" w14:textId="77777777" w:rsidR="00156FB9" w:rsidRDefault="00156FB9" w:rsidP="00711AD9">
      <w:pPr>
        <w:pStyle w:val="Heading4"/>
      </w:pPr>
      <w:r w:rsidRPr="00256108">
        <w:t>Nucleic Acid Amplification Testing (NAAT)</w:t>
      </w:r>
    </w:p>
    <w:p w14:paraId="0DF17ED3" w14:textId="77777777" w:rsidR="00300EFB" w:rsidRDefault="00300EFB" w:rsidP="00274AB5">
      <w:r>
        <w:t xml:space="preserve">Nucleic acid amplification testing is a laboratory technique that can detect very small amounts of DNA or RNA in test samples. NAATs test this DNA or RNA to identify specific bacteria, such as </w:t>
      </w:r>
      <w:r w:rsidRPr="00277E5B">
        <w:rPr>
          <w:i/>
        </w:rPr>
        <w:t>N. gonorrhoeae</w:t>
      </w:r>
      <w:r>
        <w:t xml:space="preserve"> and </w:t>
      </w:r>
      <w:r w:rsidRPr="00277E5B">
        <w:rPr>
          <w:i/>
        </w:rPr>
        <w:t>C. trachomatis</w:t>
      </w:r>
      <w:r>
        <w:t xml:space="preserve">. </w:t>
      </w:r>
    </w:p>
    <w:p w14:paraId="049B0BEB" w14:textId="77777777" w:rsidR="005136AE" w:rsidRPr="00F910B4" w:rsidRDefault="00F910B4" w:rsidP="00711AD9">
      <w:pPr>
        <w:pStyle w:val="Heading4"/>
      </w:pPr>
      <w:r w:rsidRPr="00F910B4">
        <w:t>SURRG</w:t>
      </w:r>
    </w:p>
    <w:p w14:paraId="4B24F0BD" w14:textId="35FC088A" w:rsidR="00F910B4" w:rsidRDefault="00F910B4" w:rsidP="00274AB5">
      <w:r>
        <w:t>Strengthening the U.S. Response to Resistant Gonorrhea began in 2016 with three goals: 1) enhance domestic antibiotic</w:t>
      </w:r>
      <w:r w:rsidR="00182692">
        <w:t>-</w:t>
      </w:r>
      <w:r>
        <w:t xml:space="preserve">resistant gonorrhea surveillance and infrastructure; 2) build capacity for rapid detection and response to resistant gonorrhea through increased culturing and local antibiotic susceptibility testing; and 3) conduct rapid field investigations to stop the spread of resistant infections. The project also aims to gain a better understanding of the epidemiological factors contributing to resistant gonorrhea. </w:t>
      </w:r>
      <w:r w:rsidR="007C542C">
        <w:t>As of 2020, e</w:t>
      </w:r>
      <w:r w:rsidR="008111C5">
        <w:t>ight</w:t>
      </w:r>
      <w:r>
        <w:t xml:space="preserve"> jurisdictions collect</w:t>
      </w:r>
      <w:r w:rsidR="007C542C">
        <w:t>ed</w:t>
      </w:r>
      <w:r>
        <w:t xml:space="preserve"> </w:t>
      </w:r>
      <w:r w:rsidR="008111C5">
        <w:t>specimens, perform</w:t>
      </w:r>
      <w:r w:rsidR="007C542C">
        <w:t>ed</w:t>
      </w:r>
      <w:r w:rsidR="008111C5">
        <w:t xml:space="preserve"> local antibiotic susceptibility testing, </w:t>
      </w:r>
      <w:r>
        <w:t>and analyze</w:t>
      </w:r>
      <w:r w:rsidR="007C542C">
        <w:t>d</w:t>
      </w:r>
      <w:r>
        <w:t xml:space="preserve"> data</w:t>
      </w:r>
      <w:r w:rsidR="00AA5BB3">
        <w:t xml:space="preserve"> as part of SURRG</w:t>
      </w:r>
      <w:r>
        <w:t>, helping guide national recommendations for the public health response to resistant gonorrhea.</w:t>
      </w:r>
    </w:p>
    <w:p w14:paraId="1981DA4B" w14:textId="77777777" w:rsidR="00156FB9" w:rsidRPr="00256108" w:rsidRDefault="00156FB9" w:rsidP="00711AD9">
      <w:pPr>
        <w:pStyle w:val="Heading4"/>
      </w:pPr>
      <w:r w:rsidRPr="00256108">
        <w:t>Test-of-Cure (TOC)</w:t>
      </w:r>
    </w:p>
    <w:p w14:paraId="25A03CA6" w14:textId="77777777" w:rsidR="00156FB9" w:rsidRDefault="00156FB9" w:rsidP="00274AB5">
      <w:r>
        <w:t>Repeat testing for gonorrhea, either by nucleic acid amplification testing (NAAT) or culture performed within two weeks of diagnosis and treatment, to ensure that an infection was cured. TOC can identify treatment failures in asymptomatic patients.</w:t>
      </w:r>
    </w:p>
    <w:p w14:paraId="2A64834C" w14:textId="77777777" w:rsidR="0095125F" w:rsidRDefault="0095125F" w:rsidP="00711AD9">
      <w:pPr>
        <w:pStyle w:val="Heading4"/>
      </w:pPr>
      <w:r>
        <w:t>Treatment failure</w:t>
      </w:r>
    </w:p>
    <w:p w14:paraId="6D0DD75E" w14:textId="1C613724" w:rsidR="0095125F" w:rsidRPr="00256108" w:rsidRDefault="005A7D6C" w:rsidP="00274AB5">
      <w:r>
        <w:t xml:space="preserve">Unsuccessful treatment of gonorrhea despite administration of CDC-recommended treatment with ceftriaxone. Treatment failure may be evident clinically through persistence of symptoms despite </w:t>
      </w:r>
      <w:proofErr w:type="gramStart"/>
      <w:r>
        <w:t>treatment, or</w:t>
      </w:r>
      <w:proofErr w:type="gramEnd"/>
      <w:r>
        <w:t xml:space="preserve"> may be evident through retesting</w:t>
      </w:r>
      <w:r w:rsidR="00156FB9">
        <w:t xml:space="preserve"> of patients with asymptomatic gonococcal infections. </w:t>
      </w:r>
    </w:p>
    <w:p w14:paraId="6772BC49" w14:textId="77777777" w:rsidR="0038739C" w:rsidRDefault="0038739C" w:rsidP="00274AB5">
      <w:pPr>
        <w:rPr>
          <w:rFonts w:asciiTheme="majorHAnsi" w:eastAsiaTheme="majorEastAsia" w:hAnsiTheme="majorHAnsi" w:cstheme="majorBidi"/>
          <w:color w:val="2E74B5" w:themeColor="accent1" w:themeShade="BF"/>
          <w:sz w:val="32"/>
          <w:szCs w:val="32"/>
        </w:rPr>
      </w:pPr>
      <w:r>
        <w:br w:type="page"/>
      </w:r>
    </w:p>
    <w:p w14:paraId="44D851A0" w14:textId="088A8042" w:rsidR="005124E8" w:rsidRDefault="005124E8" w:rsidP="00711AD9">
      <w:pPr>
        <w:pStyle w:val="Heading2"/>
        <w:spacing w:line="240" w:lineRule="auto"/>
      </w:pPr>
      <w:r>
        <w:lastRenderedPageBreak/>
        <w:t>Appendix B</w:t>
      </w:r>
      <w:r w:rsidR="000F54DD">
        <w:t>: Example Roles and Responsibilities</w:t>
      </w:r>
    </w:p>
    <w:p w14:paraId="48A61BB9" w14:textId="659136A2" w:rsidR="006943DA" w:rsidRPr="006943DA" w:rsidRDefault="00DB3C88" w:rsidP="00274AB5">
      <w:pPr>
        <w:rPr>
          <w:rStyle w:val="Emphasis"/>
          <w:i w:val="0"/>
          <w:iCs w:val="0"/>
        </w:rPr>
      </w:pPr>
      <w:r>
        <w:rPr>
          <w:rStyle w:val="Emphasis"/>
          <w:i w:val="0"/>
          <w:iCs w:val="0"/>
        </w:rPr>
        <w:t xml:space="preserve">Example of </w:t>
      </w:r>
      <w:r w:rsidR="00F014E6">
        <w:rPr>
          <w:rStyle w:val="Emphasis"/>
          <w:i w:val="0"/>
          <w:iCs w:val="0"/>
        </w:rPr>
        <w:t xml:space="preserve">potential </w:t>
      </w:r>
      <w:r w:rsidR="006943DA" w:rsidRPr="006943DA">
        <w:rPr>
          <w:rStyle w:val="Emphasis"/>
          <w:i w:val="0"/>
          <w:iCs w:val="0"/>
        </w:rPr>
        <w:t xml:space="preserve">roles and responsibilities </w:t>
      </w:r>
      <w:r>
        <w:rPr>
          <w:rStyle w:val="Emphasis"/>
          <w:i w:val="0"/>
          <w:iCs w:val="0"/>
        </w:rPr>
        <w:t xml:space="preserve">to include </w:t>
      </w:r>
      <w:r w:rsidR="006943DA" w:rsidRPr="006943DA">
        <w:rPr>
          <w:rStyle w:val="Emphasis"/>
          <w:i w:val="0"/>
          <w:iCs w:val="0"/>
        </w:rPr>
        <w:t xml:space="preserve">for </w:t>
      </w:r>
      <w:r w:rsidR="00F014E6">
        <w:rPr>
          <w:rStyle w:val="Emphasis"/>
          <w:i w:val="0"/>
          <w:iCs w:val="0"/>
        </w:rPr>
        <w:t>an ARGC outbreak response</w:t>
      </w:r>
      <w:r w:rsidR="000F54DD">
        <w:rPr>
          <w:rStyle w:val="Emphasis"/>
          <w:i w:val="0"/>
          <w:iCs w:val="0"/>
        </w:rPr>
        <w:t xml:space="preserve">, adapted from </w:t>
      </w:r>
      <w:r w:rsidR="009809D6">
        <w:rPr>
          <w:rStyle w:val="Emphasis"/>
          <w:i w:val="0"/>
          <w:iCs w:val="0"/>
        </w:rPr>
        <w:t xml:space="preserve">the </w:t>
      </w:r>
      <w:r w:rsidR="000F54DD">
        <w:rPr>
          <w:rStyle w:val="Emphasis"/>
          <w:i w:val="0"/>
          <w:iCs w:val="0"/>
        </w:rPr>
        <w:t>Indiana State Department of Health ARGC Outbreak Response Plan</w:t>
      </w:r>
    </w:p>
    <w:p w14:paraId="27827468" w14:textId="074E4AD2" w:rsidR="006943DA" w:rsidRPr="006943DA" w:rsidRDefault="006943DA" w:rsidP="00274AB5">
      <w:pPr>
        <w:pStyle w:val="ListParagraph"/>
        <w:numPr>
          <w:ilvl w:val="0"/>
          <w:numId w:val="45"/>
        </w:numPr>
        <w:rPr>
          <w:rStyle w:val="Emphasis"/>
          <w:i w:val="0"/>
          <w:iCs w:val="0"/>
        </w:rPr>
      </w:pPr>
      <w:r w:rsidRPr="006943DA">
        <w:rPr>
          <w:rStyle w:val="Emphasis"/>
          <w:b/>
          <w:i w:val="0"/>
          <w:iCs w:val="0"/>
        </w:rPr>
        <w:t>Surveillance</w:t>
      </w:r>
      <w:r w:rsidRPr="006943DA">
        <w:rPr>
          <w:rStyle w:val="Emphasis"/>
          <w:i w:val="0"/>
          <w:iCs w:val="0"/>
        </w:rPr>
        <w:t>: The Surveillance Manager (</w:t>
      </w:r>
      <w:r w:rsidRPr="006943DA">
        <w:rPr>
          <w:rStyle w:val="Emphasis"/>
          <w:bCs/>
          <w:color w:val="FF0000"/>
        </w:rPr>
        <w:t>identify staff/position to fill role</w:t>
      </w:r>
      <w:r w:rsidRPr="006943DA">
        <w:rPr>
          <w:rStyle w:val="Emphasis"/>
          <w:i w:val="0"/>
          <w:iCs w:val="0"/>
        </w:rPr>
        <w:t>) will</w:t>
      </w:r>
    </w:p>
    <w:p w14:paraId="52B87858" w14:textId="1BAB0BDF" w:rsidR="006943DA" w:rsidRPr="006943DA" w:rsidRDefault="006943DA" w:rsidP="00274AB5">
      <w:pPr>
        <w:pStyle w:val="ListParagraph"/>
        <w:numPr>
          <w:ilvl w:val="1"/>
          <w:numId w:val="45"/>
        </w:numPr>
        <w:rPr>
          <w:rStyle w:val="Emphasis"/>
          <w:i w:val="0"/>
          <w:iCs w:val="0"/>
        </w:rPr>
      </w:pPr>
      <w:r w:rsidRPr="006943DA">
        <w:rPr>
          <w:rStyle w:val="Emphasis"/>
          <w:i w:val="0"/>
          <w:iCs w:val="0"/>
        </w:rPr>
        <w:t>Store, clean, and ensure security of case data</w:t>
      </w:r>
    </w:p>
    <w:p w14:paraId="09EDBB83" w14:textId="0ADB7DC6" w:rsidR="006943DA" w:rsidRPr="006943DA" w:rsidRDefault="006943DA" w:rsidP="00274AB5">
      <w:pPr>
        <w:pStyle w:val="ListParagraph"/>
        <w:numPr>
          <w:ilvl w:val="1"/>
          <w:numId w:val="45"/>
        </w:numPr>
        <w:rPr>
          <w:rStyle w:val="Emphasis"/>
          <w:i w:val="0"/>
          <w:iCs w:val="0"/>
        </w:rPr>
      </w:pPr>
      <w:r w:rsidRPr="006943DA">
        <w:rPr>
          <w:rStyle w:val="Emphasis"/>
          <w:i w:val="0"/>
          <w:iCs w:val="0"/>
        </w:rPr>
        <w:t>Analyze ARGC case data</w:t>
      </w:r>
    </w:p>
    <w:p w14:paraId="003F4784" w14:textId="2FB4967E" w:rsidR="006943DA" w:rsidRPr="006943DA" w:rsidRDefault="006943DA" w:rsidP="00274AB5">
      <w:pPr>
        <w:pStyle w:val="ListParagraph"/>
        <w:numPr>
          <w:ilvl w:val="1"/>
          <w:numId w:val="45"/>
        </w:numPr>
        <w:rPr>
          <w:rStyle w:val="Emphasis"/>
          <w:i w:val="0"/>
          <w:iCs w:val="0"/>
        </w:rPr>
      </w:pPr>
      <w:r w:rsidRPr="006943DA">
        <w:rPr>
          <w:rStyle w:val="Emphasis"/>
          <w:i w:val="0"/>
          <w:iCs w:val="0"/>
        </w:rPr>
        <w:t xml:space="preserve">Provide epidemiology updates to the Incident Commander as needed </w:t>
      </w:r>
    </w:p>
    <w:p w14:paraId="16A74BE7" w14:textId="77777777" w:rsidR="006943DA" w:rsidRPr="006943DA" w:rsidRDefault="006943DA" w:rsidP="00274AB5">
      <w:pPr>
        <w:pStyle w:val="ListParagraph"/>
        <w:numPr>
          <w:ilvl w:val="1"/>
          <w:numId w:val="45"/>
        </w:numPr>
        <w:rPr>
          <w:rStyle w:val="Emphasis"/>
          <w:i w:val="0"/>
          <w:iCs w:val="0"/>
        </w:rPr>
      </w:pPr>
      <w:r w:rsidRPr="006943DA">
        <w:rPr>
          <w:rStyle w:val="Emphasis"/>
          <w:i w:val="0"/>
          <w:iCs w:val="0"/>
        </w:rPr>
        <w:t>Define roles for their team members as needed</w:t>
      </w:r>
    </w:p>
    <w:p w14:paraId="2B179232" w14:textId="72E2F141" w:rsidR="006943DA" w:rsidRPr="006943DA" w:rsidRDefault="006943DA" w:rsidP="00274AB5">
      <w:pPr>
        <w:pStyle w:val="ListParagraph"/>
        <w:numPr>
          <w:ilvl w:val="1"/>
          <w:numId w:val="45"/>
        </w:numPr>
        <w:rPr>
          <w:rStyle w:val="Emphasis"/>
          <w:i w:val="0"/>
          <w:iCs w:val="0"/>
        </w:rPr>
      </w:pPr>
      <w:r w:rsidRPr="006943DA">
        <w:rPr>
          <w:rStyle w:val="Emphasis"/>
          <w:i w:val="0"/>
          <w:iCs w:val="0"/>
        </w:rPr>
        <w:t xml:space="preserve">The Surveillance support team </w:t>
      </w:r>
      <w:r w:rsidR="00F014E6">
        <w:rPr>
          <w:rStyle w:val="Emphasis"/>
          <w:i w:val="0"/>
          <w:iCs w:val="0"/>
        </w:rPr>
        <w:t xml:space="preserve">may </w:t>
      </w:r>
      <w:r w:rsidRPr="006943DA">
        <w:rPr>
          <w:rStyle w:val="Emphasis"/>
          <w:i w:val="0"/>
          <w:iCs w:val="0"/>
        </w:rPr>
        <w:t>include</w:t>
      </w:r>
    </w:p>
    <w:p w14:paraId="42504FA1" w14:textId="5A7F8A07" w:rsidR="006943DA" w:rsidRPr="006943DA" w:rsidRDefault="006943DA" w:rsidP="00274AB5">
      <w:pPr>
        <w:pStyle w:val="ListParagraph"/>
        <w:numPr>
          <w:ilvl w:val="2"/>
          <w:numId w:val="45"/>
        </w:numPr>
        <w:rPr>
          <w:rStyle w:val="Emphasis"/>
          <w:i w:val="0"/>
          <w:iCs w:val="0"/>
        </w:rPr>
      </w:pPr>
      <w:r w:rsidRPr="006943DA">
        <w:rPr>
          <w:rStyle w:val="Emphasis"/>
          <w:i w:val="0"/>
          <w:iCs w:val="0"/>
        </w:rPr>
        <w:t>County epidemiologists</w:t>
      </w:r>
    </w:p>
    <w:p w14:paraId="1E0B99C6" w14:textId="2F456743" w:rsidR="006943DA" w:rsidRPr="006943DA" w:rsidRDefault="006943DA" w:rsidP="00274AB5">
      <w:pPr>
        <w:pStyle w:val="ListParagraph"/>
        <w:numPr>
          <w:ilvl w:val="2"/>
          <w:numId w:val="45"/>
        </w:numPr>
        <w:rPr>
          <w:rStyle w:val="Emphasis"/>
          <w:i w:val="0"/>
          <w:iCs w:val="0"/>
        </w:rPr>
      </w:pPr>
      <w:r w:rsidRPr="006943DA">
        <w:rPr>
          <w:rStyle w:val="Emphasis"/>
          <w:i w:val="0"/>
          <w:iCs w:val="0"/>
        </w:rPr>
        <w:t>Data entry technicians</w:t>
      </w:r>
    </w:p>
    <w:p w14:paraId="3E1702F1" w14:textId="21025E28" w:rsidR="006943DA" w:rsidRPr="006943DA" w:rsidRDefault="006943DA" w:rsidP="00274AB5">
      <w:pPr>
        <w:pStyle w:val="ListParagraph"/>
        <w:numPr>
          <w:ilvl w:val="0"/>
          <w:numId w:val="45"/>
        </w:numPr>
        <w:rPr>
          <w:rStyle w:val="Emphasis"/>
          <w:i w:val="0"/>
          <w:iCs w:val="0"/>
        </w:rPr>
      </w:pPr>
      <w:r w:rsidRPr="006943DA">
        <w:rPr>
          <w:rStyle w:val="Emphasis"/>
          <w:b/>
          <w:i w:val="0"/>
          <w:iCs w:val="0"/>
        </w:rPr>
        <w:t>Clinic:</w:t>
      </w:r>
      <w:r w:rsidRPr="006943DA">
        <w:rPr>
          <w:rStyle w:val="Emphasis"/>
          <w:i w:val="0"/>
          <w:iCs w:val="0"/>
        </w:rPr>
        <w:t xml:space="preserve"> The Clinic Manager (</w:t>
      </w:r>
      <w:r w:rsidRPr="006943DA">
        <w:rPr>
          <w:rStyle w:val="Emphasis"/>
          <w:bCs/>
          <w:color w:val="FF0000"/>
        </w:rPr>
        <w:t>identify staff/position to fill role</w:t>
      </w:r>
      <w:r w:rsidRPr="006943DA">
        <w:rPr>
          <w:rStyle w:val="Emphasis"/>
          <w:i w:val="0"/>
          <w:iCs w:val="0"/>
        </w:rPr>
        <w:t>) will</w:t>
      </w:r>
    </w:p>
    <w:p w14:paraId="13D8B25E" w14:textId="5B3901CE" w:rsidR="006943DA" w:rsidRPr="006943DA" w:rsidRDefault="006943DA" w:rsidP="00274AB5">
      <w:pPr>
        <w:pStyle w:val="ListParagraph"/>
        <w:numPr>
          <w:ilvl w:val="1"/>
          <w:numId w:val="45"/>
        </w:numPr>
        <w:rPr>
          <w:rStyle w:val="Emphasis"/>
          <w:i w:val="0"/>
          <w:iCs w:val="0"/>
        </w:rPr>
      </w:pPr>
      <w:r w:rsidRPr="006943DA">
        <w:rPr>
          <w:rStyle w:val="Emphasis"/>
          <w:i w:val="0"/>
          <w:iCs w:val="0"/>
        </w:rPr>
        <w:t xml:space="preserve">Ensure collection of </w:t>
      </w:r>
      <w:r w:rsidR="00F014E6">
        <w:rPr>
          <w:rStyle w:val="Emphasis"/>
          <w:i w:val="0"/>
          <w:iCs w:val="0"/>
        </w:rPr>
        <w:t>GC</w:t>
      </w:r>
      <w:r w:rsidRPr="006943DA">
        <w:rPr>
          <w:rStyle w:val="Emphasis"/>
          <w:i w:val="0"/>
          <w:iCs w:val="0"/>
        </w:rPr>
        <w:t xml:space="preserve"> specimens at the STD clinic and non-STD clinic partner sites </w:t>
      </w:r>
    </w:p>
    <w:p w14:paraId="7B3F7951" w14:textId="20A96C21" w:rsidR="006943DA" w:rsidRPr="006943DA" w:rsidRDefault="006943DA" w:rsidP="00274AB5">
      <w:pPr>
        <w:pStyle w:val="ListParagraph"/>
        <w:numPr>
          <w:ilvl w:val="1"/>
          <w:numId w:val="45"/>
        </w:numPr>
        <w:rPr>
          <w:rStyle w:val="Emphasis"/>
          <w:i w:val="0"/>
          <w:iCs w:val="0"/>
        </w:rPr>
      </w:pPr>
      <w:r w:rsidRPr="006943DA">
        <w:rPr>
          <w:rStyle w:val="Emphasis"/>
          <w:i w:val="0"/>
          <w:iCs w:val="0"/>
        </w:rPr>
        <w:t>Ensure collection guidelines are being followed by appropriate staff and evaluate difficult processes for areas of improvement</w:t>
      </w:r>
    </w:p>
    <w:p w14:paraId="4D1E08F8" w14:textId="3507239D" w:rsidR="006943DA" w:rsidRPr="006943DA" w:rsidRDefault="006943DA" w:rsidP="00274AB5">
      <w:pPr>
        <w:pStyle w:val="ListParagraph"/>
        <w:numPr>
          <w:ilvl w:val="1"/>
          <w:numId w:val="45"/>
        </w:numPr>
        <w:rPr>
          <w:rStyle w:val="Emphasis"/>
          <w:i w:val="0"/>
          <w:iCs w:val="0"/>
        </w:rPr>
      </w:pPr>
      <w:r w:rsidRPr="006943DA">
        <w:rPr>
          <w:rStyle w:val="Emphasis"/>
          <w:i w:val="0"/>
          <w:iCs w:val="0"/>
        </w:rPr>
        <w:t>Provide policy on specimen collection technique and transportation to all relevant clinical staff</w:t>
      </w:r>
    </w:p>
    <w:p w14:paraId="144AE558" w14:textId="01E3CEE4" w:rsidR="006943DA" w:rsidRPr="006943DA" w:rsidRDefault="006943DA" w:rsidP="00274AB5">
      <w:pPr>
        <w:pStyle w:val="ListParagraph"/>
        <w:numPr>
          <w:ilvl w:val="1"/>
          <w:numId w:val="45"/>
        </w:numPr>
        <w:rPr>
          <w:rStyle w:val="Emphasis"/>
          <w:i w:val="0"/>
          <w:iCs w:val="0"/>
        </w:rPr>
      </w:pPr>
      <w:r w:rsidRPr="006943DA">
        <w:rPr>
          <w:rStyle w:val="Emphasis"/>
          <w:i w:val="0"/>
          <w:iCs w:val="0"/>
        </w:rPr>
        <w:t xml:space="preserve">Report any potential treatment failures seen by their assistant managers directly to the Incident Commander </w:t>
      </w:r>
    </w:p>
    <w:p w14:paraId="184D0CE1" w14:textId="77777777" w:rsidR="006943DA" w:rsidRPr="006943DA" w:rsidRDefault="006943DA" w:rsidP="00274AB5">
      <w:pPr>
        <w:pStyle w:val="ListParagraph"/>
        <w:numPr>
          <w:ilvl w:val="1"/>
          <w:numId w:val="45"/>
        </w:numPr>
        <w:rPr>
          <w:rStyle w:val="Emphasis"/>
          <w:i w:val="0"/>
          <w:iCs w:val="0"/>
        </w:rPr>
      </w:pPr>
      <w:r w:rsidRPr="006943DA">
        <w:rPr>
          <w:rStyle w:val="Emphasis"/>
          <w:i w:val="0"/>
          <w:iCs w:val="0"/>
        </w:rPr>
        <w:t>Define roles for their team members as needed</w:t>
      </w:r>
    </w:p>
    <w:p w14:paraId="5EF3D825" w14:textId="249270E9" w:rsidR="006943DA" w:rsidRPr="006943DA" w:rsidRDefault="006943DA" w:rsidP="00274AB5">
      <w:pPr>
        <w:pStyle w:val="ListParagraph"/>
        <w:numPr>
          <w:ilvl w:val="1"/>
          <w:numId w:val="45"/>
        </w:numPr>
        <w:rPr>
          <w:rStyle w:val="Emphasis"/>
          <w:i w:val="0"/>
          <w:iCs w:val="0"/>
        </w:rPr>
      </w:pPr>
      <w:r w:rsidRPr="006943DA">
        <w:rPr>
          <w:rStyle w:val="Emphasis"/>
          <w:i w:val="0"/>
          <w:iCs w:val="0"/>
        </w:rPr>
        <w:t xml:space="preserve">The Clinic support team </w:t>
      </w:r>
      <w:r w:rsidR="00F014E6">
        <w:rPr>
          <w:rStyle w:val="Emphasis"/>
          <w:i w:val="0"/>
          <w:iCs w:val="0"/>
        </w:rPr>
        <w:t xml:space="preserve">may </w:t>
      </w:r>
      <w:r w:rsidRPr="006943DA">
        <w:rPr>
          <w:rStyle w:val="Emphasis"/>
          <w:i w:val="0"/>
          <w:iCs w:val="0"/>
        </w:rPr>
        <w:t>include</w:t>
      </w:r>
    </w:p>
    <w:p w14:paraId="4BB7FD6D" w14:textId="134966C8" w:rsidR="006943DA" w:rsidRPr="006943DA" w:rsidRDefault="006943DA" w:rsidP="00274AB5">
      <w:pPr>
        <w:pStyle w:val="ListParagraph"/>
        <w:numPr>
          <w:ilvl w:val="2"/>
          <w:numId w:val="45"/>
        </w:numPr>
        <w:rPr>
          <w:rStyle w:val="Emphasis"/>
          <w:i w:val="0"/>
          <w:iCs w:val="0"/>
        </w:rPr>
      </w:pPr>
      <w:r w:rsidRPr="006943DA">
        <w:rPr>
          <w:rStyle w:val="Emphasis"/>
          <w:i w:val="0"/>
          <w:iCs w:val="0"/>
        </w:rPr>
        <w:t xml:space="preserve">Assistant Clinic Managers </w:t>
      </w:r>
      <w:r w:rsidR="00F014E6" w:rsidRPr="006943DA">
        <w:rPr>
          <w:rStyle w:val="Emphasis"/>
          <w:i w:val="0"/>
          <w:iCs w:val="0"/>
        </w:rPr>
        <w:t xml:space="preserve">and all other clinical providers </w:t>
      </w:r>
      <w:r w:rsidRPr="006943DA">
        <w:rPr>
          <w:rStyle w:val="Emphasis"/>
          <w:i w:val="0"/>
          <w:iCs w:val="0"/>
        </w:rPr>
        <w:t xml:space="preserve">at each </w:t>
      </w:r>
      <w:r w:rsidR="00F014E6">
        <w:rPr>
          <w:rStyle w:val="Emphasis"/>
          <w:i w:val="0"/>
          <w:iCs w:val="0"/>
        </w:rPr>
        <w:t xml:space="preserve">clinic </w:t>
      </w:r>
      <w:r w:rsidRPr="006943DA">
        <w:rPr>
          <w:rStyle w:val="Emphasis"/>
          <w:i w:val="0"/>
          <w:iCs w:val="0"/>
        </w:rPr>
        <w:t>site (</w:t>
      </w:r>
      <w:r w:rsidR="00F014E6" w:rsidRPr="00F014E6">
        <w:rPr>
          <w:rStyle w:val="Emphasis"/>
          <w:color w:val="FF0000"/>
        </w:rPr>
        <w:t>list all relevant sites</w:t>
      </w:r>
      <w:r w:rsidRPr="006943DA">
        <w:rPr>
          <w:rStyle w:val="Emphasis"/>
          <w:i w:val="0"/>
          <w:iCs w:val="0"/>
        </w:rPr>
        <w:t xml:space="preserve">). </w:t>
      </w:r>
    </w:p>
    <w:p w14:paraId="6C820D58" w14:textId="01F8BDBC" w:rsidR="006943DA" w:rsidRPr="006943DA" w:rsidRDefault="006943DA" w:rsidP="00274AB5">
      <w:pPr>
        <w:pStyle w:val="ListParagraph"/>
        <w:numPr>
          <w:ilvl w:val="0"/>
          <w:numId w:val="45"/>
        </w:numPr>
        <w:rPr>
          <w:rStyle w:val="Emphasis"/>
          <w:i w:val="0"/>
          <w:iCs w:val="0"/>
        </w:rPr>
      </w:pPr>
      <w:r w:rsidRPr="006943DA">
        <w:rPr>
          <w:rStyle w:val="Emphasis"/>
          <w:b/>
          <w:i w:val="0"/>
          <w:iCs w:val="0"/>
        </w:rPr>
        <w:t>Laboratory</w:t>
      </w:r>
      <w:r w:rsidRPr="006943DA">
        <w:rPr>
          <w:rStyle w:val="Emphasis"/>
          <w:i w:val="0"/>
          <w:iCs w:val="0"/>
        </w:rPr>
        <w:t>: The Laboratory Manager (</w:t>
      </w:r>
      <w:r w:rsidRPr="006943DA">
        <w:rPr>
          <w:rStyle w:val="Emphasis"/>
          <w:bCs/>
          <w:color w:val="FF0000"/>
        </w:rPr>
        <w:t>identify staff/position to fill role</w:t>
      </w:r>
      <w:r w:rsidRPr="006943DA">
        <w:rPr>
          <w:rStyle w:val="Emphasis"/>
          <w:i w:val="0"/>
          <w:iCs w:val="0"/>
        </w:rPr>
        <w:t xml:space="preserve">) will </w:t>
      </w:r>
    </w:p>
    <w:p w14:paraId="5446E580" w14:textId="78E2177E" w:rsidR="006943DA" w:rsidRPr="006943DA" w:rsidRDefault="006943DA" w:rsidP="00274AB5">
      <w:pPr>
        <w:pStyle w:val="ListParagraph"/>
        <w:numPr>
          <w:ilvl w:val="1"/>
          <w:numId w:val="45"/>
        </w:numPr>
        <w:rPr>
          <w:rStyle w:val="Emphasis"/>
          <w:i w:val="0"/>
          <w:iCs w:val="0"/>
        </w:rPr>
      </w:pPr>
      <w:r w:rsidRPr="006943DA">
        <w:rPr>
          <w:rStyle w:val="Emphasis"/>
          <w:i w:val="0"/>
          <w:iCs w:val="0"/>
        </w:rPr>
        <w:t xml:space="preserve">Oversee the transporting, receiving, processing, and resulting of gonorrhea samples submitted by </w:t>
      </w:r>
      <w:r w:rsidR="00F014E6">
        <w:rPr>
          <w:rStyle w:val="Emphasis"/>
          <w:i w:val="0"/>
          <w:iCs w:val="0"/>
        </w:rPr>
        <w:t>specified</w:t>
      </w:r>
      <w:r w:rsidRPr="006943DA">
        <w:rPr>
          <w:rStyle w:val="Emphasis"/>
          <w:i w:val="0"/>
          <w:iCs w:val="0"/>
        </w:rPr>
        <w:t xml:space="preserve"> sites</w:t>
      </w:r>
    </w:p>
    <w:p w14:paraId="3EDF3525" w14:textId="608A2649" w:rsidR="006943DA" w:rsidRPr="006943DA" w:rsidRDefault="006943DA" w:rsidP="00274AB5">
      <w:pPr>
        <w:pStyle w:val="ListParagraph"/>
        <w:numPr>
          <w:ilvl w:val="1"/>
          <w:numId w:val="45"/>
        </w:numPr>
        <w:rPr>
          <w:rStyle w:val="Emphasis"/>
          <w:i w:val="0"/>
          <w:iCs w:val="0"/>
        </w:rPr>
      </w:pPr>
      <w:r w:rsidRPr="006943DA">
        <w:rPr>
          <w:rStyle w:val="Emphasis"/>
          <w:i w:val="0"/>
          <w:iCs w:val="0"/>
        </w:rPr>
        <w:t xml:space="preserve">Supervise the AST lab technician who performs the identification </w:t>
      </w:r>
      <w:r w:rsidR="001E6E2A">
        <w:rPr>
          <w:rStyle w:val="Emphasis"/>
          <w:i w:val="0"/>
          <w:iCs w:val="0"/>
        </w:rPr>
        <w:t xml:space="preserve">and AST </w:t>
      </w:r>
      <w:r w:rsidRPr="006943DA">
        <w:rPr>
          <w:rStyle w:val="Emphasis"/>
          <w:i w:val="0"/>
          <w:iCs w:val="0"/>
        </w:rPr>
        <w:t xml:space="preserve">testing for </w:t>
      </w:r>
      <w:r w:rsidRPr="00182692">
        <w:rPr>
          <w:rStyle w:val="Emphasis"/>
        </w:rPr>
        <w:t>N. gonorrhoeae</w:t>
      </w:r>
      <w:r w:rsidRPr="006943DA">
        <w:rPr>
          <w:rStyle w:val="Emphasis"/>
          <w:i w:val="0"/>
          <w:iCs w:val="0"/>
        </w:rPr>
        <w:t xml:space="preserve"> samples</w:t>
      </w:r>
    </w:p>
    <w:p w14:paraId="14069786" w14:textId="2EEBB01D" w:rsidR="006943DA" w:rsidRDefault="006943DA" w:rsidP="00274AB5">
      <w:pPr>
        <w:pStyle w:val="ListParagraph"/>
        <w:numPr>
          <w:ilvl w:val="1"/>
          <w:numId w:val="45"/>
        </w:numPr>
        <w:rPr>
          <w:rStyle w:val="Emphasis"/>
          <w:i w:val="0"/>
          <w:iCs w:val="0"/>
        </w:rPr>
      </w:pPr>
      <w:r w:rsidRPr="006943DA">
        <w:rPr>
          <w:rStyle w:val="Emphasis"/>
          <w:i w:val="0"/>
          <w:iCs w:val="0"/>
        </w:rPr>
        <w:t xml:space="preserve">Ensure reduced susceptibility samples are reported to the Incident Commander </w:t>
      </w:r>
    </w:p>
    <w:p w14:paraId="22D00A19" w14:textId="38DA0044" w:rsidR="001E6E2A" w:rsidRPr="006943DA" w:rsidRDefault="001E6E2A" w:rsidP="00274AB5">
      <w:pPr>
        <w:pStyle w:val="ListParagraph"/>
        <w:numPr>
          <w:ilvl w:val="1"/>
          <w:numId w:val="45"/>
        </w:numPr>
        <w:rPr>
          <w:rStyle w:val="Emphasis"/>
          <w:i w:val="0"/>
          <w:iCs w:val="0"/>
        </w:rPr>
      </w:pPr>
      <w:r>
        <w:rPr>
          <w:rStyle w:val="Emphasis"/>
          <w:i w:val="0"/>
          <w:iCs w:val="0"/>
        </w:rPr>
        <w:t xml:space="preserve">Facilitate and manage any molecular assay activities (validation, acquiring and extracting DNA from remnant GC-positive NAAT specimens, processing molecular assay)   </w:t>
      </w:r>
    </w:p>
    <w:p w14:paraId="5BEFA34E" w14:textId="77777777" w:rsidR="006943DA" w:rsidRPr="006943DA" w:rsidRDefault="006943DA" w:rsidP="00274AB5">
      <w:pPr>
        <w:pStyle w:val="ListParagraph"/>
        <w:numPr>
          <w:ilvl w:val="1"/>
          <w:numId w:val="45"/>
        </w:numPr>
        <w:rPr>
          <w:rStyle w:val="Emphasis"/>
          <w:i w:val="0"/>
          <w:iCs w:val="0"/>
        </w:rPr>
      </w:pPr>
      <w:r w:rsidRPr="006943DA">
        <w:rPr>
          <w:rStyle w:val="Emphasis"/>
          <w:i w:val="0"/>
          <w:iCs w:val="0"/>
        </w:rPr>
        <w:t>Define roles for their team members as needed</w:t>
      </w:r>
    </w:p>
    <w:p w14:paraId="1358C6F3" w14:textId="7CB182B9" w:rsidR="006943DA" w:rsidRPr="006943DA" w:rsidRDefault="006943DA" w:rsidP="00274AB5">
      <w:pPr>
        <w:pStyle w:val="ListParagraph"/>
        <w:numPr>
          <w:ilvl w:val="1"/>
          <w:numId w:val="45"/>
        </w:numPr>
        <w:rPr>
          <w:rStyle w:val="Emphasis"/>
          <w:i w:val="0"/>
          <w:iCs w:val="0"/>
        </w:rPr>
      </w:pPr>
      <w:r w:rsidRPr="006943DA">
        <w:rPr>
          <w:rStyle w:val="Emphasis"/>
          <w:i w:val="0"/>
          <w:iCs w:val="0"/>
        </w:rPr>
        <w:t>The Laboratory support team includes</w:t>
      </w:r>
    </w:p>
    <w:p w14:paraId="4FD50310" w14:textId="414596EE" w:rsidR="006943DA" w:rsidRPr="006943DA" w:rsidRDefault="006943DA" w:rsidP="00274AB5">
      <w:pPr>
        <w:pStyle w:val="ListParagraph"/>
        <w:numPr>
          <w:ilvl w:val="2"/>
          <w:numId w:val="45"/>
        </w:numPr>
        <w:rPr>
          <w:rStyle w:val="Emphasis"/>
          <w:i w:val="0"/>
          <w:iCs w:val="0"/>
        </w:rPr>
      </w:pPr>
      <w:r w:rsidRPr="006943DA">
        <w:rPr>
          <w:rStyle w:val="Emphasis"/>
          <w:i w:val="0"/>
          <w:iCs w:val="0"/>
        </w:rPr>
        <w:t xml:space="preserve">AST Lab Technician, all other clinical lab technicians who process </w:t>
      </w:r>
      <w:r w:rsidR="00F014E6">
        <w:rPr>
          <w:rStyle w:val="Emphasis"/>
          <w:i w:val="0"/>
          <w:iCs w:val="0"/>
        </w:rPr>
        <w:t>GC</w:t>
      </w:r>
      <w:r w:rsidRPr="006943DA">
        <w:rPr>
          <w:rStyle w:val="Emphasis"/>
          <w:i w:val="0"/>
          <w:iCs w:val="0"/>
        </w:rPr>
        <w:t xml:space="preserve"> samples, and</w:t>
      </w:r>
      <w:r w:rsidR="00F014E6">
        <w:rPr>
          <w:rStyle w:val="Emphasis"/>
          <w:i w:val="0"/>
          <w:iCs w:val="0"/>
        </w:rPr>
        <w:t xml:space="preserve"> any </w:t>
      </w:r>
      <w:r w:rsidRPr="006943DA">
        <w:rPr>
          <w:rStyle w:val="Emphasis"/>
          <w:i w:val="0"/>
          <w:iCs w:val="0"/>
        </w:rPr>
        <w:t>courier</w:t>
      </w:r>
      <w:r w:rsidR="00F014E6">
        <w:rPr>
          <w:rStyle w:val="Emphasis"/>
          <w:i w:val="0"/>
          <w:iCs w:val="0"/>
        </w:rPr>
        <w:t>s</w:t>
      </w:r>
    </w:p>
    <w:p w14:paraId="39E34BCA" w14:textId="40F0E326" w:rsidR="006943DA" w:rsidRPr="006943DA" w:rsidRDefault="006943DA" w:rsidP="00274AB5">
      <w:pPr>
        <w:pStyle w:val="ListParagraph"/>
        <w:numPr>
          <w:ilvl w:val="2"/>
          <w:numId w:val="45"/>
        </w:numPr>
        <w:rPr>
          <w:rStyle w:val="Emphasis"/>
          <w:i w:val="0"/>
          <w:iCs w:val="0"/>
        </w:rPr>
      </w:pPr>
      <w:r w:rsidRPr="006943DA">
        <w:rPr>
          <w:rStyle w:val="Emphasis"/>
          <w:i w:val="0"/>
          <w:iCs w:val="0"/>
        </w:rPr>
        <w:lastRenderedPageBreak/>
        <w:t>AST Lab Technician will</w:t>
      </w:r>
    </w:p>
    <w:p w14:paraId="5FDF4917" w14:textId="74471107" w:rsidR="006943DA" w:rsidRPr="006943DA" w:rsidRDefault="006943DA" w:rsidP="00274AB5">
      <w:pPr>
        <w:pStyle w:val="ListParagraph"/>
        <w:numPr>
          <w:ilvl w:val="3"/>
          <w:numId w:val="45"/>
        </w:numPr>
        <w:rPr>
          <w:rStyle w:val="Emphasis"/>
          <w:i w:val="0"/>
          <w:iCs w:val="0"/>
        </w:rPr>
      </w:pPr>
      <w:r w:rsidRPr="006943DA">
        <w:rPr>
          <w:rStyle w:val="Emphasis"/>
          <w:i w:val="0"/>
          <w:iCs w:val="0"/>
        </w:rPr>
        <w:t xml:space="preserve">Follow guidelines on the preparation of AST cultures via </w:t>
      </w:r>
      <w:proofErr w:type="spellStart"/>
      <w:r w:rsidRPr="006943DA">
        <w:rPr>
          <w:rStyle w:val="Emphasis"/>
          <w:i w:val="0"/>
          <w:iCs w:val="0"/>
        </w:rPr>
        <w:t>Etest</w:t>
      </w:r>
      <w:proofErr w:type="spellEnd"/>
      <w:r w:rsidRPr="006943DA">
        <w:rPr>
          <w:rStyle w:val="Emphasis"/>
          <w:i w:val="0"/>
          <w:iCs w:val="0"/>
        </w:rPr>
        <w:t xml:space="preserve"> for processing isolated ARGC cultures</w:t>
      </w:r>
    </w:p>
    <w:p w14:paraId="1403E6DA" w14:textId="2327AA3A" w:rsidR="006943DA" w:rsidRDefault="006943DA" w:rsidP="00274AB5">
      <w:pPr>
        <w:pStyle w:val="ListParagraph"/>
        <w:numPr>
          <w:ilvl w:val="3"/>
          <w:numId w:val="45"/>
        </w:numPr>
        <w:rPr>
          <w:rStyle w:val="Emphasis"/>
          <w:i w:val="0"/>
          <w:iCs w:val="0"/>
        </w:rPr>
      </w:pPr>
      <w:r w:rsidRPr="006943DA">
        <w:rPr>
          <w:rStyle w:val="Emphasis"/>
          <w:i w:val="0"/>
          <w:iCs w:val="0"/>
        </w:rPr>
        <w:t xml:space="preserve">Report MIC values for all AST results from ARGC cases to </w:t>
      </w:r>
      <w:r w:rsidR="00F014E6">
        <w:rPr>
          <w:rStyle w:val="Emphasis"/>
          <w:i w:val="0"/>
          <w:iCs w:val="0"/>
        </w:rPr>
        <w:t>relevant staff (</w:t>
      </w:r>
      <w:r w:rsidR="00F014E6" w:rsidRPr="00F014E6">
        <w:rPr>
          <w:rStyle w:val="Emphasis"/>
          <w:color w:val="FF0000"/>
        </w:rPr>
        <w:t>identify staff</w:t>
      </w:r>
      <w:r w:rsidR="00F014E6">
        <w:rPr>
          <w:rStyle w:val="Emphasis"/>
          <w:i w:val="0"/>
          <w:iCs w:val="0"/>
        </w:rPr>
        <w:t>)</w:t>
      </w:r>
    </w:p>
    <w:p w14:paraId="74BBF775" w14:textId="5A22FAF9" w:rsidR="006943DA" w:rsidRPr="006943DA" w:rsidRDefault="006943DA" w:rsidP="00274AB5">
      <w:pPr>
        <w:pStyle w:val="ListParagraph"/>
        <w:numPr>
          <w:ilvl w:val="0"/>
          <w:numId w:val="45"/>
        </w:numPr>
        <w:rPr>
          <w:rStyle w:val="Emphasis"/>
          <w:i w:val="0"/>
          <w:iCs w:val="0"/>
        </w:rPr>
      </w:pPr>
      <w:r w:rsidRPr="006943DA">
        <w:rPr>
          <w:rStyle w:val="Emphasis"/>
          <w:b/>
          <w:i w:val="0"/>
          <w:iCs w:val="0"/>
        </w:rPr>
        <w:t>DIS</w:t>
      </w:r>
      <w:r w:rsidRPr="006943DA">
        <w:rPr>
          <w:rStyle w:val="Emphasis"/>
          <w:i w:val="0"/>
          <w:iCs w:val="0"/>
        </w:rPr>
        <w:t>: The DIS Managers (</w:t>
      </w:r>
      <w:r w:rsidRPr="006943DA">
        <w:rPr>
          <w:rStyle w:val="Emphasis"/>
          <w:bCs/>
          <w:color w:val="FF0000"/>
        </w:rPr>
        <w:t>identify staff/position to fill role</w:t>
      </w:r>
      <w:r w:rsidRPr="006943DA">
        <w:rPr>
          <w:rStyle w:val="Emphasis"/>
          <w:i w:val="0"/>
          <w:iCs w:val="0"/>
        </w:rPr>
        <w:t>) will</w:t>
      </w:r>
    </w:p>
    <w:p w14:paraId="6A114188" w14:textId="1E490513" w:rsidR="006943DA" w:rsidRDefault="006943DA" w:rsidP="00274AB5">
      <w:pPr>
        <w:pStyle w:val="ListParagraph"/>
        <w:numPr>
          <w:ilvl w:val="1"/>
          <w:numId w:val="45"/>
        </w:numPr>
        <w:rPr>
          <w:rStyle w:val="Emphasis"/>
          <w:i w:val="0"/>
          <w:iCs w:val="0"/>
        </w:rPr>
      </w:pPr>
      <w:r w:rsidRPr="006943DA">
        <w:rPr>
          <w:rStyle w:val="Emphasis"/>
          <w:i w:val="0"/>
          <w:iCs w:val="0"/>
        </w:rPr>
        <w:t>Oversee gonorrhea case investigations during the outbreak</w:t>
      </w:r>
    </w:p>
    <w:p w14:paraId="7254719B" w14:textId="6F2F84B1" w:rsidR="001E6E2A" w:rsidRPr="006943DA" w:rsidRDefault="001E6E2A" w:rsidP="00274AB5">
      <w:pPr>
        <w:pStyle w:val="ListParagraph"/>
        <w:numPr>
          <w:ilvl w:val="1"/>
          <w:numId w:val="45"/>
        </w:numPr>
        <w:rPr>
          <w:rStyle w:val="Emphasis"/>
          <w:i w:val="0"/>
          <w:iCs w:val="0"/>
        </w:rPr>
      </w:pPr>
      <w:r>
        <w:rPr>
          <w:rStyle w:val="Emphasis"/>
          <w:i w:val="0"/>
          <w:iCs w:val="0"/>
        </w:rPr>
        <w:t>Facilitate any needed modifications to interview questions</w:t>
      </w:r>
      <w:r w:rsidR="00F43FDC">
        <w:rPr>
          <w:rStyle w:val="Emphasis"/>
          <w:i w:val="0"/>
          <w:iCs w:val="0"/>
        </w:rPr>
        <w:t xml:space="preserve"> and associated tracking systems (e.g. travel history; test of cure results)</w:t>
      </w:r>
      <w:r>
        <w:rPr>
          <w:rStyle w:val="Emphasis"/>
          <w:i w:val="0"/>
          <w:iCs w:val="0"/>
        </w:rPr>
        <w:t>; facilitate any</w:t>
      </w:r>
      <w:r w:rsidR="00F43FDC">
        <w:rPr>
          <w:rStyle w:val="Emphasis"/>
          <w:i w:val="0"/>
          <w:iCs w:val="0"/>
        </w:rPr>
        <w:t xml:space="preserve"> needed</w:t>
      </w:r>
      <w:r>
        <w:rPr>
          <w:rStyle w:val="Emphasis"/>
          <w:i w:val="0"/>
          <w:iCs w:val="0"/>
        </w:rPr>
        <w:t xml:space="preserve"> additional </w:t>
      </w:r>
      <w:r w:rsidR="00F43FDC">
        <w:rPr>
          <w:rStyle w:val="Emphasis"/>
          <w:i w:val="0"/>
          <w:iCs w:val="0"/>
        </w:rPr>
        <w:t xml:space="preserve">DIS </w:t>
      </w:r>
      <w:r>
        <w:rPr>
          <w:rStyle w:val="Emphasis"/>
          <w:i w:val="0"/>
          <w:iCs w:val="0"/>
        </w:rPr>
        <w:t>training</w:t>
      </w:r>
    </w:p>
    <w:p w14:paraId="330BEC54" w14:textId="5CE19235" w:rsidR="006943DA" w:rsidRPr="006943DA" w:rsidRDefault="006943DA" w:rsidP="00274AB5">
      <w:pPr>
        <w:pStyle w:val="ListParagraph"/>
        <w:numPr>
          <w:ilvl w:val="1"/>
          <w:numId w:val="45"/>
        </w:numPr>
        <w:rPr>
          <w:rStyle w:val="Emphasis"/>
          <w:i w:val="0"/>
          <w:iCs w:val="0"/>
        </w:rPr>
      </w:pPr>
      <w:r w:rsidRPr="006943DA">
        <w:rPr>
          <w:rStyle w:val="Emphasis"/>
          <w:i w:val="0"/>
          <w:iCs w:val="0"/>
        </w:rPr>
        <w:t>Ensure patients are treated appropriately, receive partner services, and any necessary referrals</w:t>
      </w:r>
    </w:p>
    <w:p w14:paraId="6B7617E6" w14:textId="0B031A1F" w:rsidR="006943DA" w:rsidRPr="006943DA" w:rsidRDefault="006943DA" w:rsidP="00274AB5">
      <w:pPr>
        <w:pStyle w:val="ListParagraph"/>
        <w:numPr>
          <w:ilvl w:val="1"/>
          <w:numId w:val="45"/>
        </w:numPr>
        <w:rPr>
          <w:rStyle w:val="Emphasis"/>
          <w:i w:val="0"/>
          <w:iCs w:val="0"/>
        </w:rPr>
      </w:pPr>
      <w:r w:rsidRPr="006943DA">
        <w:rPr>
          <w:rStyle w:val="Emphasis"/>
          <w:i w:val="0"/>
          <w:iCs w:val="0"/>
        </w:rPr>
        <w:t xml:space="preserve">Ensure partners elicited during DIS interviews are brought into the clinic for testing and preventative treatment. </w:t>
      </w:r>
    </w:p>
    <w:p w14:paraId="2C7FB40A" w14:textId="77777777" w:rsidR="006943DA" w:rsidRPr="006943DA" w:rsidRDefault="006943DA" w:rsidP="00274AB5">
      <w:pPr>
        <w:pStyle w:val="ListParagraph"/>
        <w:numPr>
          <w:ilvl w:val="1"/>
          <w:numId w:val="45"/>
        </w:numPr>
        <w:rPr>
          <w:rStyle w:val="Emphasis"/>
          <w:i w:val="0"/>
          <w:iCs w:val="0"/>
        </w:rPr>
      </w:pPr>
      <w:r w:rsidRPr="006943DA">
        <w:rPr>
          <w:rStyle w:val="Emphasis"/>
          <w:i w:val="0"/>
          <w:iCs w:val="0"/>
        </w:rPr>
        <w:t>Define roles for their team members as needed</w:t>
      </w:r>
    </w:p>
    <w:p w14:paraId="3A2AA33F" w14:textId="110DCDD0" w:rsidR="006943DA" w:rsidRPr="006943DA" w:rsidRDefault="006943DA" w:rsidP="00274AB5">
      <w:pPr>
        <w:pStyle w:val="ListParagraph"/>
        <w:numPr>
          <w:ilvl w:val="1"/>
          <w:numId w:val="45"/>
        </w:numPr>
        <w:rPr>
          <w:rStyle w:val="Emphasis"/>
          <w:i w:val="0"/>
          <w:iCs w:val="0"/>
        </w:rPr>
      </w:pPr>
      <w:r w:rsidRPr="006943DA">
        <w:rPr>
          <w:rStyle w:val="Emphasis"/>
          <w:i w:val="0"/>
          <w:iCs w:val="0"/>
        </w:rPr>
        <w:t>The DIS support team includes</w:t>
      </w:r>
    </w:p>
    <w:p w14:paraId="10C589E5" w14:textId="6F1563D0" w:rsidR="006943DA" w:rsidRPr="006943DA" w:rsidRDefault="006943DA" w:rsidP="00274AB5">
      <w:pPr>
        <w:pStyle w:val="ListParagraph"/>
        <w:numPr>
          <w:ilvl w:val="2"/>
          <w:numId w:val="45"/>
        </w:numPr>
        <w:rPr>
          <w:rStyle w:val="Emphasis"/>
          <w:i w:val="0"/>
          <w:iCs w:val="0"/>
        </w:rPr>
      </w:pPr>
      <w:r w:rsidRPr="006943DA">
        <w:rPr>
          <w:rStyle w:val="Emphasis"/>
          <w:i w:val="0"/>
          <w:iCs w:val="0"/>
        </w:rPr>
        <w:t>DIS and back-up DIS</w:t>
      </w:r>
    </w:p>
    <w:p w14:paraId="0547E026" w14:textId="599D6107" w:rsidR="006943DA" w:rsidRPr="006943DA" w:rsidRDefault="006943DA" w:rsidP="00274AB5">
      <w:pPr>
        <w:pStyle w:val="ListParagraph"/>
        <w:numPr>
          <w:ilvl w:val="2"/>
          <w:numId w:val="45"/>
        </w:numPr>
        <w:rPr>
          <w:rStyle w:val="Emphasis"/>
          <w:i w:val="0"/>
          <w:iCs w:val="0"/>
        </w:rPr>
      </w:pPr>
      <w:r w:rsidRPr="006943DA">
        <w:rPr>
          <w:rStyle w:val="Emphasis"/>
          <w:i w:val="0"/>
          <w:iCs w:val="0"/>
        </w:rPr>
        <w:t>DIS will</w:t>
      </w:r>
    </w:p>
    <w:p w14:paraId="316ECFFF" w14:textId="170B5C21" w:rsidR="006943DA" w:rsidRPr="006943DA" w:rsidRDefault="006943DA" w:rsidP="00274AB5">
      <w:pPr>
        <w:pStyle w:val="ListParagraph"/>
        <w:numPr>
          <w:ilvl w:val="3"/>
          <w:numId w:val="45"/>
        </w:numPr>
        <w:rPr>
          <w:rStyle w:val="Emphasis"/>
          <w:i w:val="0"/>
          <w:iCs w:val="0"/>
        </w:rPr>
      </w:pPr>
      <w:r w:rsidRPr="006943DA">
        <w:rPr>
          <w:rStyle w:val="Emphasis"/>
          <w:i w:val="0"/>
          <w:iCs w:val="0"/>
        </w:rPr>
        <w:t>Locate patients that are ARGC cases and partners/social contacts per the local SOP</w:t>
      </w:r>
      <w:r w:rsidR="00F014E6">
        <w:rPr>
          <w:rStyle w:val="Emphasis"/>
          <w:i w:val="0"/>
          <w:iCs w:val="0"/>
        </w:rPr>
        <w:t>s</w:t>
      </w:r>
      <w:r w:rsidRPr="006943DA">
        <w:rPr>
          <w:rStyle w:val="Emphasis"/>
          <w:i w:val="0"/>
          <w:iCs w:val="0"/>
        </w:rPr>
        <w:t xml:space="preserve"> </w:t>
      </w:r>
    </w:p>
    <w:p w14:paraId="032E3A57" w14:textId="29DA2925" w:rsidR="006943DA" w:rsidRPr="006943DA" w:rsidRDefault="006943DA" w:rsidP="00274AB5">
      <w:pPr>
        <w:pStyle w:val="ListParagraph"/>
        <w:numPr>
          <w:ilvl w:val="3"/>
          <w:numId w:val="45"/>
        </w:numPr>
        <w:rPr>
          <w:rStyle w:val="Emphasis"/>
          <w:i w:val="0"/>
          <w:iCs w:val="0"/>
        </w:rPr>
      </w:pPr>
      <w:r w:rsidRPr="006943DA">
        <w:rPr>
          <w:rStyle w:val="Emphasis"/>
          <w:i w:val="0"/>
          <w:iCs w:val="0"/>
        </w:rPr>
        <w:t>Conduct case investigation interviews on ARGC cases, partners, and social contacts</w:t>
      </w:r>
    </w:p>
    <w:p w14:paraId="1F80C0C6" w14:textId="77777777" w:rsidR="006943DA" w:rsidRPr="006943DA" w:rsidRDefault="006943DA" w:rsidP="00274AB5">
      <w:pPr>
        <w:pStyle w:val="ListParagraph"/>
        <w:numPr>
          <w:ilvl w:val="3"/>
          <w:numId w:val="45"/>
        </w:numPr>
        <w:rPr>
          <w:rStyle w:val="Emphasis"/>
          <w:i w:val="0"/>
          <w:iCs w:val="0"/>
        </w:rPr>
      </w:pPr>
      <w:r w:rsidRPr="006943DA">
        <w:rPr>
          <w:rStyle w:val="Emphasis"/>
          <w:i w:val="0"/>
          <w:iCs w:val="0"/>
        </w:rPr>
        <w:t>Elicit partner and social contact information from ARGC cases</w:t>
      </w:r>
    </w:p>
    <w:p w14:paraId="29702302" w14:textId="31692B09" w:rsidR="006943DA" w:rsidRPr="006943DA" w:rsidRDefault="006943DA" w:rsidP="00274AB5">
      <w:pPr>
        <w:pStyle w:val="ListParagraph"/>
        <w:numPr>
          <w:ilvl w:val="3"/>
          <w:numId w:val="45"/>
        </w:numPr>
        <w:rPr>
          <w:rStyle w:val="Emphasis"/>
          <w:i w:val="0"/>
          <w:iCs w:val="0"/>
        </w:rPr>
      </w:pPr>
      <w:r w:rsidRPr="006943DA">
        <w:rPr>
          <w:rStyle w:val="Emphasis"/>
          <w:i w:val="0"/>
          <w:iCs w:val="0"/>
        </w:rPr>
        <w:t xml:space="preserve">Enter case investigation information into surveillance system </w:t>
      </w:r>
    </w:p>
    <w:p w14:paraId="4DFBBB3F" w14:textId="494D4A74" w:rsidR="006943DA" w:rsidRPr="006943DA" w:rsidRDefault="006943DA" w:rsidP="00274AB5">
      <w:pPr>
        <w:pStyle w:val="ListParagraph"/>
        <w:numPr>
          <w:ilvl w:val="3"/>
          <w:numId w:val="45"/>
        </w:numPr>
        <w:rPr>
          <w:rStyle w:val="Emphasis"/>
          <w:i w:val="0"/>
          <w:iCs w:val="0"/>
        </w:rPr>
      </w:pPr>
      <w:r w:rsidRPr="006943DA">
        <w:rPr>
          <w:rStyle w:val="Emphasis"/>
          <w:i w:val="0"/>
          <w:iCs w:val="0"/>
        </w:rPr>
        <w:t xml:space="preserve">Perform field testing and assist field clinicians in collecting </w:t>
      </w:r>
      <w:r w:rsidR="00F014E6">
        <w:rPr>
          <w:rStyle w:val="Emphasis"/>
          <w:i w:val="0"/>
          <w:iCs w:val="0"/>
        </w:rPr>
        <w:t>GC</w:t>
      </w:r>
      <w:r w:rsidRPr="006943DA">
        <w:rPr>
          <w:rStyle w:val="Emphasis"/>
          <w:i w:val="0"/>
          <w:iCs w:val="0"/>
        </w:rPr>
        <w:t xml:space="preserve"> culture swabs on mobile unit, at the discretion of the Field Operation Supervisor</w:t>
      </w:r>
    </w:p>
    <w:p w14:paraId="5D5F1ECC" w14:textId="4A711ECE" w:rsidR="006943DA" w:rsidRPr="006943DA" w:rsidRDefault="006943DA" w:rsidP="00274AB5">
      <w:pPr>
        <w:pStyle w:val="ListParagraph"/>
        <w:numPr>
          <w:ilvl w:val="0"/>
          <w:numId w:val="45"/>
        </w:numPr>
        <w:rPr>
          <w:rStyle w:val="Emphasis"/>
          <w:b/>
          <w:i w:val="0"/>
          <w:iCs w:val="0"/>
        </w:rPr>
      </w:pPr>
      <w:r w:rsidRPr="006943DA">
        <w:rPr>
          <w:rStyle w:val="Emphasis"/>
          <w:b/>
          <w:i w:val="0"/>
          <w:iCs w:val="0"/>
        </w:rPr>
        <w:t>Outreach</w:t>
      </w:r>
      <w:r w:rsidRPr="006943DA">
        <w:rPr>
          <w:rStyle w:val="Emphasis"/>
          <w:i w:val="0"/>
          <w:iCs w:val="0"/>
        </w:rPr>
        <w:t>: The Outreach Manager (</w:t>
      </w:r>
      <w:r w:rsidRPr="006943DA">
        <w:rPr>
          <w:rStyle w:val="Emphasis"/>
          <w:bCs/>
          <w:color w:val="FF0000"/>
        </w:rPr>
        <w:t>identify staff/position to fill role</w:t>
      </w:r>
      <w:r w:rsidRPr="006943DA">
        <w:rPr>
          <w:rStyle w:val="Emphasis"/>
          <w:i w:val="0"/>
          <w:iCs w:val="0"/>
        </w:rPr>
        <w:t>) will</w:t>
      </w:r>
    </w:p>
    <w:p w14:paraId="252D5A91" w14:textId="6C0F4F48" w:rsidR="006943DA" w:rsidRPr="006943DA" w:rsidRDefault="006943DA" w:rsidP="00274AB5">
      <w:pPr>
        <w:pStyle w:val="ListParagraph"/>
        <w:numPr>
          <w:ilvl w:val="1"/>
          <w:numId w:val="45"/>
        </w:numPr>
        <w:rPr>
          <w:rStyle w:val="Emphasis"/>
          <w:b/>
          <w:i w:val="0"/>
          <w:iCs w:val="0"/>
        </w:rPr>
      </w:pPr>
      <w:r w:rsidRPr="006943DA">
        <w:rPr>
          <w:rStyle w:val="Emphasis"/>
          <w:i w:val="0"/>
          <w:iCs w:val="0"/>
        </w:rPr>
        <w:t>Oversee the potential</w:t>
      </w:r>
      <w:r w:rsidR="002F7AEF">
        <w:rPr>
          <w:rStyle w:val="Emphasis"/>
          <w:i w:val="0"/>
          <w:iCs w:val="0"/>
        </w:rPr>
        <w:t xml:space="preserve"> supplemental</w:t>
      </w:r>
      <w:r w:rsidRPr="006943DA">
        <w:rPr>
          <w:rStyle w:val="Emphasis"/>
          <w:i w:val="0"/>
          <w:iCs w:val="0"/>
        </w:rPr>
        <w:t xml:space="preserve"> </w:t>
      </w:r>
      <w:r w:rsidR="00F43FDC">
        <w:rPr>
          <w:rStyle w:val="Emphasis"/>
          <w:i w:val="0"/>
          <w:iCs w:val="0"/>
        </w:rPr>
        <w:t xml:space="preserve">public health led </w:t>
      </w:r>
      <w:r w:rsidRPr="006943DA">
        <w:rPr>
          <w:rStyle w:val="Emphasis"/>
          <w:i w:val="0"/>
          <w:iCs w:val="0"/>
        </w:rPr>
        <w:t xml:space="preserve">targeted testing </w:t>
      </w:r>
      <w:r w:rsidR="00F43FDC">
        <w:rPr>
          <w:rStyle w:val="Emphasis"/>
          <w:i w:val="0"/>
          <w:iCs w:val="0"/>
        </w:rPr>
        <w:t xml:space="preserve">or educational outreach </w:t>
      </w:r>
      <w:r w:rsidRPr="006943DA">
        <w:rPr>
          <w:rStyle w:val="Emphasis"/>
          <w:i w:val="0"/>
          <w:iCs w:val="0"/>
        </w:rPr>
        <w:t>needed during an outbreak response in relation to a</w:t>
      </w:r>
      <w:r w:rsidR="00F43FDC">
        <w:rPr>
          <w:rStyle w:val="Emphasis"/>
          <w:i w:val="0"/>
          <w:iCs w:val="0"/>
        </w:rPr>
        <w:t>ny</w:t>
      </w:r>
      <w:r w:rsidRPr="006943DA">
        <w:rPr>
          <w:rStyle w:val="Emphasis"/>
          <w:i w:val="0"/>
          <w:iCs w:val="0"/>
        </w:rPr>
        <w:t xml:space="preserve"> sub-population</w:t>
      </w:r>
      <w:r w:rsidR="00F43FDC">
        <w:rPr>
          <w:rStyle w:val="Emphasis"/>
          <w:i w:val="0"/>
          <w:iCs w:val="0"/>
        </w:rPr>
        <w:t>s that may be at high risk for ARGC as defined by the Surveillance Team</w:t>
      </w:r>
      <w:r w:rsidRPr="006943DA">
        <w:rPr>
          <w:rStyle w:val="Emphasis"/>
          <w:i w:val="0"/>
          <w:iCs w:val="0"/>
        </w:rPr>
        <w:t xml:space="preserve"> </w:t>
      </w:r>
    </w:p>
    <w:p w14:paraId="68D8DD17" w14:textId="2FACA1A5" w:rsidR="006943DA" w:rsidRPr="002F7AEF" w:rsidRDefault="006943DA" w:rsidP="00274AB5">
      <w:pPr>
        <w:pStyle w:val="ListParagraph"/>
        <w:numPr>
          <w:ilvl w:val="1"/>
          <w:numId w:val="45"/>
        </w:numPr>
        <w:rPr>
          <w:rStyle w:val="Emphasis"/>
          <w:b/>
          <w:i w:val="0"/>
          <w:iCs w:val="0"/>
        </w:rPr>
      </w:pPr>
      <w:r w:rsidRPr="006943DA">
        <w:rPr>
          <w:rStyle w:val="Emphasis"/>
          <w:i w:val="0"/>
          <w:iCs w:val="0"/>
        </w:rPr>
        <w:t xml:space="preserve">Provide reports to the Incident Commander from </w:t>
      </w:r>
      <w:r w:rsidR="002F7AEF">
        <w:rPr>
          <w:rStyle w:val="Emphasis"/>
          <w:i w:val="0"/>
          <w:iCs w:val="0"/>
        </w:rPr>
        <w:t xml:space="preserve">outreach </w:t>
      </w:r>
      <w:r w:rsidRPr="006943DA">
        <w:rPr>
          <w:rStyle w:val="Emphasis"/>
          <w:i w:val="0"/>
          <w:iCs w:val="0"/>
        </w:rPr>
        <w:t>testing of affected populations</w:t>
      </w:r>
      <w:r w:rsidR="002F7AEF">
        <w:rPr>
          <w:rStyle w:val="Emphasis"/>
          <w:i w:val="0"/>
          <w:iCs w:val="0"/>
        </w:rPr>
        <w:t xml:space="preserve"> and </w:t>
      </w:r>
    </w:p>
    <w:p w14:paraId="62A6B4AA" w14:textId="77777777" w:rsidR="006943DA" w:rsidRPr="006943DA" w:rsidRDefault="006943DA" w:rsidP="00274AB5">
      <w:pPr>
        <w:pStyle w:val="ListParagraph"/>
        <w:numPr>
          <w:ilvl w:val="1"/>
          <w:numId w:val="45"/>
        </w:numPr>
        <w:rPr>
          <w:rStyle w:val="Emphasis"/>
          <w:i w:val="0"/>
          <w:iCs w:val="0"/>
        </w:rPr>
      </w:pPr>
      <w:r w:rsidRPr="006943DA">
        <w:rPr>
          <w:rStyle w:val="Emphasis"/>
          <w:i w:val="0"/>
          <w:iCs w:val="0"/>
        </w:rPr>
        <w:t>Define roles for their team members as needed</w:t>
      </w:r>
    </w:p>
    <w:p w14:paraId="306DBA85" w14:textId="1074EB36" w:rsidR="006943DA" w:rsidRPr="006943DA" w:rsidRDefault="006943DA" w:rsidP="00274AB5">
      <w:pPr>
        <w:pStyle w:val="ListParagraph"/>
        <w:numPr>
          <w:ilvl w:val="1"/>
          <w:numId w:val="45"/>
        </w:numPr>
        <w:rPr>
          <w:rStyle w:val="Emphasis"/>
          <w:b/>
          <w:i w:val="0"/>
          <w:iCs w:val="0"/>
        </w:rPr>
      </w:pPr>
      <w:r w:rsidRPr="006943DA">
        <w:rPr>
          <w:rStyle w:val="Emphasis"/>
          <w:i w:val="0"/>
          <w:iCs w:val="0"/>
        </w:rPr>
        <w:t xml:space="preserve">The Outreach support team </w:t>
      </w:r>
      <w:r w:rsidR="00F43FDC">
        <w:rPr>
          <w:rStyle w:val="Emphasis"/>
          <w:i w:val="0"/>
          <w:iCs w:val="0"/>
        </w:rPr>
        <w:t xml:space="preserve">may </w:t>
      </w:r>
      <w:r w:rsidRPr="006943DA">
        <w:rPr>
          <w:rStyle w:val="Emphasis"/>
          <w:i w:val="0"/>
          <w:iCs w:val="0"/>
        </w:rPr>
        <w:t>include</w:t>
      </w:r>
      <w:r w:rsidR="00F43FDC">
        <w:rPr>
          <w:rStyle w:val="Emphasis"/>
          <w:i w:val="0"/>
          <w:iCs w:val="0"/>
        </w:rPr>
        <w:t>:</w:t>
      </w:r>
    </w:p>
    <w:p w14:paraId="7C995535" w14:textId="1DE49E37" w:rsidR="006943DA" w:rsidRPr="002F7AEF" w:rsidRDefault="006943DA" w:rsidP="00274AB5">
      <w:pPr>
        <w:pStyle w:val="ListParagraph"/>
        <w:numPr>
          <w:ilvl w:val="2"/>
          <w:numId w:val="45"/>
        </w:numPr>
        <w:rPr>
          <w:rStyle w:val="Emphasis"/>
          <w:b/>
          <w:i w:val="0"/>
          <w:iCs w:val="0"/>
        </w:rPr>
      </w:pPr>
      <w:r w:rsidRPr="006943DA">
        <w:rPr>
          <w:rStyle w:val="Emphasis"/>
          <w:i w:val="0"/>
          <w:iCs w:val="0"/>
        </w:rPr>
        <w:t xml:space="preserve">Outreach technician, other outreach workers, and any phlebotomists or clinical staff that accompany team on target testing. </w:t>
      </w:r>
    </w:p>
    <w:p w14:paraId="3E10F41C" w14:textId="7DF8A1EE" w:rsidR="00DB3C88" w:rsidRPr="00825BC7" w:rsidRDefault="002F7AEF" w:rsidP="00274AB5">
      <w:pPr>
        <w:pStyle w:val="ListParagraph"/>
        <w:numPr>
          <w:ilvl w:val="2"/>
          <w:numId w:val="45"/>
        </w:numPr>
        <w:rPr>
          <w:rStyle w:val="Emphasis"/>
          <w:bCs/>
          <w:i w:val="0"/>
          <w:iCs w:val="0"/>
        </w:rPr>
      </w:pPr>
      <w:r w:rsidRPr="009656EB">
        <w:rPr>
          <w:rStyle w:val="Emphasis"/>
          <w:bCs/>
          <w:i w:val="0"/>
          <w:iCs w:val="0"/>
        </w:rPr>
        <w:t xml:space="preserve">Health educators, epidemiologists, communications experts who may work with community health or other service providers to better reach at-risk populations </w:t>
      </w:r>
    </w:p>
    <w:sectPr w:rsidR="00DB3C88" w:rsidRPr="00825BC7" w:rsidSect="00BB3591">
      <w:headerReference w:type="even" r:id="rId34"/>
      <w:headerReference w:type="default" r:id="rId35"/>
      <w:footerReference w:type="even" r:id="rId36"/>
      <w:footerReference w:type="default" r:id="rId37"/>
      <w:headerReference w:type="first" r:id="rId38"/>
      <w:footerReference w:type="first" r:id="rId39"/>
      <w:pgSz w:w="12240" w:h="15840"/>
      <w:pgMar w:top="1080" w:right="1080" w:bottom="1080" w:left="1080" w:header="432" w:footer="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274657C" w14:textId="77777777" w:rsidR="009468DB" w:rsidRDefault="009468DB" w:rsidP="00274AB5">
      <w:r>
        <w:separator/>
      </w:r>
    </w:p>
  </w:endnote>
  <w:endnote w:type="continuationSeparator" w:id="0">
    <w:p w14:paraId="74D9D08B" w14:textId="77777777" w:rsidR="009468DB" w:rsidRDefault="009468DB" w:rsidP="00274AB5">
      <w:r>
        <w:continuationSeparator/>
      </w:r>
    </w:p>
  </w:endnote>
  <w:endnote w:type="continuationNotice" w:id="1">
    <w:p w14:paraId="36397E55" w14:textId="77777777" w:rsidR="009468DB" w:rsidRDefault="009468DB" w:rsidP="00274AB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Microsoft PhagsPa">
    <w:panose1 w:val="020B0502040204020203"/>
    <w:charset w:val="00"/>
    <w:family w:val="swiss"/>
    <w:pitch w:val="variable"/>
    <w:sig w:usb0="00000003" w:usb1="00000000" w:usb2="08000000" w:usb3="00000000" w:csb0="00000001"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ITC Garamond Std Book">
    <w:altName w:val="Cambria"/>
    <w:panose1 w:val="00000000000000000000"/>
    <w:charset w:val="00"/>
    <w:family w:val="roman"/>
    <w:notTrueType/>
    <w:pitch w:val="default"/>
    <w:sig w:usb0="00000003" w:usb1="00000000" w:usb2="00000000" w:usb3="00000000" w:csb0="00000001" w:csb1="00000000"/>
  </w:font>
  <w:font w:name="ITC Zapf Dingbats Std">
    <w:altName w:val="MS Gothic"/>
    <w:panose1 w:val="00000000000000000000"/>
    <w:charset w:val="80"/>
    <w:family w:val="auto"/>
    <w:notTrueType/>
    <w:pitch w:val="default"/>
    <w:sig w:usb0="00000001" w:usb1="08070000" w:usb2="00000010" w:usb3="00000000" w:csb0="0002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9F251BA" w14:textId="77777777" w:rsidR="00182692" w:rsidRDefault="0018269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38F4E95" w14:textId="77777777" w:rsidR="002150AF" w:rsidRPr="002150AF" w:rsidRDefault="002150AF" w:rsidP="006F5727">
    <w:pPr>
      <w:tabs>
        <w:tab w:val="center" w:pos="4320"/>
        <w:tab w:val="center" w:pos="5130"/>
        <w:tab w:val="right" w:pos="8640"/>
      </w:tabs>
      <w:spacing w:before="360" w:after="0" w:line="360" w:lineRule="auto"/>
      <w:jc w:val="center"/>
      <w:rPr>
        <w:rFonts w:eastAsia="Malgun Gothic" w:cs="Arial"/>
        <w:b/>
        <w:bCs/>
        <w:noProof/>
      </w:rPr>
    </w:pPr>
    <w:r w:rsidRPr="002150AF">
      <w:rPr>
        <w:rFonts w:eastAsia="Malgun Gothic" w:cs="Arial"/>
        <w:b/>
        <w:bCs/>
        <w:noProof/>
        <w:color w:val="FFFFFF"/>
      </w:rPr>
      <w:drawing>
        <wp:anchor distT="0" distB="0" distL="114300" distR="114300" simplePos="0" relativeHeight="251659264" behindDoc="1" locked="0" layoutInCell="1" allowOverlap="1" wp14:anchorId="6BC670B6" wp14:editId="343DF087">
          <wp:simplePos x="0" y="0"/>
          <wp:positionH relativeFrom="page">
            <wp:posOffset>-743585</wp:posOffset>
          </wp:positionH>
          <wp:positionV relativeFrom="paragraph">
            <wp:posOffset>38431</wp:posOffset>
          </wp:positionV>
          <wp:extent cx="8531823" cy="730951"/>
          <wp:effectExtent l="0" t="0" r="3175" b="0"/>
          <wp:wrapNone/>
          <wp:docPr id="15" name="Picture 15" descr="Shape, rectangl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teal-bars-short.png"/>
                  <pic:cNvPicPr/>
                </pic:nvPicPr>
                <pic:blipFill>
                  <a:blip r:embed="rId1">
                    <a:extLst>
                      <a:ext uri="{28A0092B-C50C-407E-A947-70E740481C1C}">
                        <a14:useLocalDpi xmlns:a14="http://schemas.microsoft.com/office/drawing/2010/main" val="0"/>
                      </a:ext>
                    </a:extLst>
                  </a:blip>
                  <a:stretch>
                    <a:fillRect/>
                  </a:stretch>
                </pic:blipFill>
                <pic:spPr>
                  <a:xfrm rot="10800000">
                    <a:off x="0" y="0"/>
                    <a:ext cx="8531823" cy="730951"/>
                  </a:xfrm>
                  <a:prstGeom prst="rect">
                    <a:avLst/>
                  </a:prstGeom>
                </pic:spPr>
              </pic:pic>
            </a:graphicData>
          </a:graphic>
          <wp14:sizeRelH relativeFrom="margin">
            <wp14:pctWidth>0</wp14:pctWidth>
          </wp14:sizeRelH>
          <wp14:sizeRelV relativeFrom="margin">
            <wp14:pctHeight>0</wp14:pctHeight>
          </wp14:sizeRelV>
        </wp:anchor>
      </w:drawing>
    </w:r>
    <w:r w:rsidRPr="002150AF">
      <w:rPr>
        <w:rFonts w:eastAsia="Malgun Gothic" w:cs="Arial"/>
        <w:b/>
        <w:bCs/>
        <w:color w:val="FFFFFF"/>
      </w:rPr>
      <w:fldChar w:fldCharType="begin"/>
    </w:r>
    <w:r w:rsidRPr="002150AF">
      <w:rPr>
        <w:rFonts w:eastAsia="Malgun Gothic" w:cs="Arial"/>
        <w:b/>
        <w:bCs/>
        <w:color w:val="FFFFFF"/>
      </w:rPr>
      <w:instrText xml:space="preserve"> PAGE   \* MERGEFORMAT </w:instrText>
    </w:r>
    <w:r w:rsidRPr="002150AF">
      <w:rPr>
        <w:rFonts w:eastAsia="Malgun Gothic" w:cs="Arial"/>
        <w:b/>
        <w:bCs/>
        <w:color w:val="FFFFFF"/>
      </w:rPr>
      <w:fldChar w:fldCharType="separate"/>
    </w:r>
    <w:r w:rsidRPr="002150AF">
      <w:rPr>
        <w:rFonts w:eastAsia="Malgun Gothic" w:cs="Arial"/>
        <w:b/>
        <w:bCs/>
        <w:color w:val="FFFFFF"/>
      </w:rPr>
      <w:t>6</w:t>
    </w:r>
    <w:r w:rsidRPr="002150AF">
      <w:rPr>
        <w:rFonts w:eastAsia="Malgun Gothic" w:cs="Arial"/>
        <w:b/>
        <w:bCs/>
        <w:noProof/>
        <w:color w:val="FFFFFF"/>
      </w:rPr>
      <w:fldChar w:fldCharType="end"/>
    </w:r>
  </w:p>
  <w:p w14:paraId="557B4222" w14:textId="733CB41C" w:rsidR="006943DA" w:rsidRDefault="006943DA" w:rsidP="002150A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E151AB7" w14:textId="77777777" w:rsidR="00182692" w:rsidRDefault="0018269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580BFB8" w14:textId="77777777" w:rsidR="009468DB" w:rsidRDefault="009468DB" w:rsidP="00274AB5">
      <w:r>
        <w:separator/>
      </w:r>
    </w:p>
  </w:footnote>
  <w:footnote w:type="continuationSeparator" w:id="0">
    <w:p w14:paraId="4EB6FC1B" w14:textId="77777777" w:rsidR="009468DB" w:rsidRDefault="009468DB" w:rsidP="00274AB5">
      <w:r>
        <w:continuationSeparator/>
      </w:r>
    </w:p>
  </w:footnote>
  <w:footnote w:type="continuationNotice" w:id="1">
    <w:p w14:paraId="5CF8D3B9" w14:textId="77777777" w:rsidR="009468DB" w:rsidRDefault="009468DB" w:rsidP="00274AB5"/>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7909CF2" w14:textId="77777777" w:rsidR="00182692" w:rsidRDefault="0018269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CCB772F" w14:textId="22F4C8EF" w:rsidR="0050278B" w:rsidRPr="0050278B" w:rsidRDefault="0050278B" w:rsidP="00182692">
    <w:pPr>
      <w:tabs>
        <w:tab w:val="center" w:pos="5130"/>
        <w:tab w:val="right" w:pos="10368"/>
      </w:tabs>
      <w:spacing w:after="360"/>
      <w:jc w:val="center"/>
      <w:rPr>
        <w:rFonts w:ascii="Arial" w:eastAsia="Malgun Gothic" w:hAnsi="Arial" w:cs="Arial"/>
        <w:b/>
        <w:color w:val="FFFFFF"/>
        <w:sz w:val="20"/>
        <w:szCs w:val="20"/>
        <w:lang w:eastAsia="ko-KR"/>
      </w:rPr>
    </w:pPr>
    <w:bookmarkStart w:id="11" w:name="_Hlk70074691"/>
    <w:r w:rsidRPr="0050278B">
      <w:rPr>
        <w:rFonts w:ascii="Arial" w:eastAsia="Malgun Gothic" w:hAnsi="Arial" w:cs="Arial"/>
        <w:b/>
        <w:noProof/>
        <w:color w:val="FFFFFF"/>
        <w:sz w:val="20"/>
        <w:szCs w:val="20"/>
      </w:rPr>
      <w:drawing>
        <wp:anchor distT="0" distB="0" distL="114300" distR="114300" simplePos="0" relativeHeight="251661312" behindDoc="1" locked="0" layoutInCell="1" allowOverlap="1" wp14:anchorId="04A82D8E" wp14:editId="49846C1E">
          <wp:simplePos x="0" y="0"/>
          <wp:positionH relativeFrom="page">
            <wp:posOffset>-198408</wp:posOffset>
          </wp:positionH>
          <wp:positionV relativeFrom="paragraph">
            <wp:posOffset>-274320</wp:posOffset>
          </wp:positionV>
          <wp:extent cx="7975158" cy="683260"/>
          <wp:effectExtent l="0" t="0" r="6985" b="2540"/>
          <wp:wrapNone/>
          <wp:docPr id="14" name="Picture 14" descr="Shape, rectangl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teal-bars-short.png"/>
                  <pic:cNvPicPr/>
                </pic:nvPicPr>
                <pic:blipFill>
                  <a:blip r:embed="rId1">
                    <a:extLst>
                      <a:ext uri="{28A0092B-C50C-407E-A947-70E740481C1C}">
                        <a14:useLocalDpi xmlns:a14="http://schemas.microsoft.com/office/drawing/2010/main" val="0"/>
                      </a:ext>
                    </a:extLst>
                  </a:blip>
                  <a:stretch>
                    <a:fillRect/>
                  </a:stretch>
                </pic:blipFill>
                <pic:spPr>
                  <a:xfrm>
                    <a:off x="0" y="0"/>
                    <a:ext cx="7975158" cy="683260"/>
                  </a:xfrm>
                  <a:prstGeom prst="rect">
                    <a:avLst/>
                  </a:prstGeom>
                </pic:spPr>
              </pic:pic>
            </a:graphicData>
          </a:graphic>
          <wp14:sizeRelH relativeFrom="margin">
            <wp14:pctWidth>0</wp14:pctWidth>
          </wp14:sizeRelH>
          <wp14:sizeRelV relativeFrom="margin">
            <wp14:pctHeight>0</wp14:pctHeight>
          </wp14:sizeRelV>
        </wp:anchor>
      </w:drawing>
    </w:r>
    <w:r w:rsidR="005B4E45" w:rsidRPr="005B4E45">
      <w:rPr>
        <w:rFonts w:ascii="Arial" w:eastAsia="Malgun Gothic" w:hAnsi="Arial" w:cs="Arial"/>
        <w:b/>
        <w:color w:val="FFFFFF"/>
        <w:sz w:val="20"/>
        <w:szCs w:val="20"/>
      </w:rPr>
      <w:t>Ceftriaxone-Resistant Gonorrhea Outbreak Response Plan Guide</w:t>
    </w:r>
  </w:p>
  <w:bookmarkEnd w:id="11"/>
  <w:p w14:paraId="0B2A0F40" w14:textId="4F048460" w:rsidR="0050278B" w:rsidRDefault="0050278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BBF43D1" w14:textId="053767C8" w:rsidR="00D733AB" w:rsidRDefault="00D733AB">
    <w:pPr>
      <w:pStyle w:val="Header"/>
    </w:pPr>
    <w:r>
      <w:rPr>
        <w:noProof/>
      </w:rPr>
      <w:drawing>
        <wp:anchor distT="0" distB="0" distL="114300" distR="114300" simplePos="0" relativeHeight="251663360" behindDoc="1" locked="0" layoutInCell="1" allowOverlap="1" wp14:anchorId="399508F9" wp14:editId="67A6EEBA">
          <wp:simplePos x="0" y="0"/>
          <wp:positionH relativeFrom="page">
            <wp:posOffset>-19685</wp:posOffset>
          </wp:positionH>
          <wp:positionV relativeFrom="paragraph">
            <wp:posOffset>-263896</wp:posOffset>
          </wp:positionV>
          <wp:extent cx="7792278" cy="1811020"/>
          <wp:effectExtent l="0" t="0" r="0" b="0"/>
          <wp:wrapNone/>
          <wp:docPr id="16" name="Picture 16" descr="Shape, rectangl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teal-bars-tall.png"/>
                  <pic:cNvPicPr/>
                </pic:nvPicPr>
                <pic:blipFill>
                  <a:blip r:embed="rId1">
                    <a:extLst>
                      <a:ext uri="{28A0092B-C50C-407E-A947-70E740481C1C}">
                        <a14:useLocalDpi xmlns:a14="http://schemas.microsoft.com/office/drawing/2010/main" val="0"/>
                      </a:ext>
                    </a:extLst>
                  </a:blip>
                  <a:stretch>
                    <a:fillRect/>
                  </a:stretch>
                </pic:blipFill>
                <pic:spPr>
                  <a:xfrm>
                    <a:off x="0" y="0"/>
                    <a:ext cx="7792278" cy="181102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1939CF"/>
    <w:multiLevelType w:val="hybridMultilevel"/>
    <w:tmpl w:val="0282B580"/>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2314C35"/>
    <w:multiLevelType w:val="hybridMultilevel"/>
    <w:tmpl w:val="C74C61A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070B7298"/>
    <w:multiLevelType w:val="hybridMultilevel"/>
    <w:tmpl w:val="06C4D7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7922969"/>
    <w:multiLevelType w:val="hybridMultilevel"/>
    <w:tmpl w:val="BC2207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9A23501"/>
    <w:multiLevelType w:val="hybridMultilevel"/>
    <w:tmpl w:val="4A2E29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DA9492D"/>
    <w:multiLevelType w:val="hybridMultilevel"/>
    <w:tmpl w:val="07D60374"/>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6" w15:restartNumberingAfterBreak="0">
    <w:nsid w:val="13D04C27"/>
    <w:multiLevelType w:val="hybridMultilevel"/>
    <w:tmpl w:val="865273A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180371C7"/>
    <w:multiLevelType w:val="hybridMultilevel"/>
    <w:tmpl w:val="73F87FD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83676B3"/>
    <w:multiLevelType w:val="hybridMultilevel"/>
    <w:tmpl w:val="DF485CC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B7B04CA"/>
    <w:multiLevelType w:val="hybridMultilevel"/>
    <w:tmpl w:val="D7F8F0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C9C385A"/>
    <w:multiLevelType w:val="hybridMultilevel"/>
    <w:tmpl w:val="18B63E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CB45023"/>
    <w:multiLevelType w:val="hybridMultilevel"/>
    <w:tmpl w:val="476A19D4"/>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2" w15:restartNumberingAfterBreak="0">
    <w:nsid w:val="1D94765B"/>
    <w:multiLevelType w:val="hybridMultilevel"/>
    <w:tmpl w:val="C1FC67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2CB7E75"/>
    <w:multiLevelType w:val="hybridMultilevel"/>
    <w:tmpl w:val="44F82C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5AC7D3D"/>
    <w:multiLevelType w:val="hybridMultilevel"/>
    <w:tmpl w:val="682CD1D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8C25F3D"/>
    <w:multiLevelType w:val="hybridMultilevel"/>
    <w:tmpl w:val="BC908B2A"/>
    <w:lvl w:ilvl="0" w:tplc="04090001">
      <w:start w:val="1"/>
      <w:numFmt w:val="bullet"/>
      <w:lvlText w:val=""/>
      <w:lvlJc w:val="left"/>
      <w:pPr>
        <w:ind w:left="720" w:hanging="360"/>
      </w:pPr>
      <w:rPr>
        <w:rFonts w:ascii="Symbol" w:hAnsi="Symbol" w:hint="default"/>
      </w:rPr>
    </w:lvl>
    <w:lvl w:ilvl="1" w:tplc="40F2CE08">
      <w:numFmt w:val="bullet"/>
      <w:lvlText w:val="•"/>
      <w:lvlJc w:val="left"/>
      <w:pPr>
        <w:ind w:left="1440" w:hanging="360"/>
      </w:pPr>
      <w:rPr>
        <w:rFonts w:ascii="Microsoft PhagsPa" w:eastAsiaTheme="minorHAnsi" w:hAnsi="Microsoft PhagsPa" w:cstheme="minorBidi"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9902493"/>
    <w:multiLevelType w:val="hybridMultilevel"/>
    <w:tmpl w:val="CB8EB7A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7" w15:restartNumberingAfterBreak="0">
    <w:nsid w:val="2A775BC7"/>
    <w:multiLevelType w:val="hybridMultilevel"/>
    <w:tmpl w:val="79DC4F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2C700654"/>
    <w:multiLevelType w:val="hybridMultilevel"/>
    <w:tmpl w:val="9FFABA9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 w15:restartNumberingAfterBreak="0">
    <w:nsid w:val="34A96D02"/>
    <w:multiLevelType w:val="hybridMultilevel"/>
    <w:tmpl w:val="C2BACF3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3">
      <w:start w:val="1"/>
      <w:numFmt w:val="bullet"/>
      <w:lvlText w:val="o"/>
      <w:lvlJc w:val="left"/>
      <w:pPr>
        <w:ind w:left="2160" w:hanging="360"/>
      </w:pPr>
      <w:rPr>
        <w:rFonts w:ascii="Courier New" w:hAnsi="Courier New" w:cs="Courier New" w:hint="default"/>
      </w:rPr>
    </w:lvl>
    <w:lvl w:ilvl="3" w:tplc="CAD833FA">
      <w:start w:val="10"/>
      <w:numFmt w:val="bullet"/>
      <w:lvlText w:val="-"/>
      <w:lvlJc w:val="left"/>
      <w:pPr>
        <w:ind w:left="2880" w:hanging="360"/>
      </w:pPr>
      <w:rPr>
        <w:rFonts w:ascii="Calibri" w:eastAsiaTheme="minorHAnsi" w:hAnsi="Calibri" w:cs="Calibri"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5FD58FD"/>
    <w:multiLevelType w:val="hybridMultilevel"/>
    <w:tmpl w:val="529EF97A"/>
    <w:lvl w:ilvl="0" w:tplc="D826A416">
      <w:start w:val="1"/>
      <w:numFmt w:val="decimal"/>
      <w:lvlText w:val="%1."/>
      <w:lvlJc w:val="left"/>
      <w:pPr>
        <w:ind w:left="1224" w:hanging="360"/>
      </w:pPr>
      <w:rPr>
        <w:rFonts w:hint="default"/>
      </w:rPr>
    </w:lvl>
    <w:lvl w:ilvl="1" w:tplc="04090019" w:tentative="1">
      <w:start w:val="1"/>
      <w:numFmt w:val="lowerLetter"/>
      <w:lvlText w:val="%2."/>
      <w:lvlJc w:val="left"/>
      <w:pPr>
        <w:ind w:left="1944" w:hanging="360"/>
      </w:pPr>
    </w:lvl>
    <w:lvl w:ilvl="2" w:tplc="0409001B" w:tentative="1">
      <w:start w:val="1"/>
      <w:numFmt w:val="lowerRoman"/>
      <w:lvlText w:val="%3."/>
      <w:lvlJc w:val="right"/>
      <w:pPr>
        <w:ind w:left="2664" w:hanging="180"/>
      </w:pPr>
    </w:lvl>
    <w:lvl w:ilvl="3" w:tplc="0409000F" w:tentative="1">
      <w:start w:val="1"/>
      <w:numFmt w:val="decimal"/>
      <w:lvlText w:val="%4."/>
      <w:lvlJc w:val="left"/>
      <w:pPr>
        <w:ind w:left="3384" w:hanging="360"/>
      </w:pPr>
    </w:lvl>
    <w:lvl w:ilvl="4" w:tplc="04090019" w:tentative="1">
      <w:start w:val="1"/>
      <w:numFmt w:val="lowerLetter"/>
      <w:lvlText w:val="%5."/>
      <w:lvlJc w:val="left"/>
      <w:pPr>
        <w:ind w:left="4104" w:hanging="360"/>
      </w:pPr>
    </w:lvl>
    <w:lvl w:ilvl="5" w:tplc="0409001B" w:tentative="1">
      <w:start w:val="1"/>
      <w:numFmt w:val="lowerRoman"/>
      <w:lvlText w:val="%6."/>
      <w:lvlJc w:val="right"/>
      <w:pPr>
        <w:ind w:left="4824" w:hanging="180"/>
      </w:pPr>
    </w:lvl>
    <w:lvl w:ilvl="6" w:tplc="0409000F" w:tentative="1">
      <w:start w:val="1"/>
      <w:numFmt w:val="decimal"/>
      <w:lvlText w:val="%7."/>
      <w:lvlJc w:val="left"/>
      <w:pPr>
        <w:ind w:left="5544" w:hanging="360"/>
      </w:pPr>
    </w:lvl>
    <w:lvl w:ilvl="7" w:tplc="04090019" w:tentative="1">
      <w:start w:val="1"/>
      <w:numFmt w:val="lowerLetter"/>
      <w:lvlText w:val="%8."/>
      <w:lvlJc w:val="left"/>
      <w:pPr>
        <w:ind w:left="6264" w:hanging="360"/>
      </w:pPr>
    </w:lvl>
    <w:lvl w:ilvl="8" w:tplc="0409001B" w:tentative="1">
      <w:start w:val="1"/>
      <w:numFmt w:val="lowerRoman"/>
      <w:lvlText w:val="%9."/>
      <w:lvlJc w:val="right"/>
      <w:pPr>
        <w:ind w:left="6984" w:hanging="180"/>
      </w:pPr>
    </w:lvl>
  </w:abstractNum>
  <w:abstractNum w:abstractNumId="21" w15:restartNumberingAfterBreak="0">
    <w:nsid w:val="36F64360"/>
    <w:multiLevelType w:val="hybridMultilevel"/>
    <w:tmpl w:val="EBE44798"/>
    <w:lvl w:ilvl="0" w:tplc="AF90AE9A">
      <w:start w:val="1"/>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38281DF6"/>
    <w:multiLevelType w:val="hybridMultilevel"/>
    <w:tmpl w:val="3112FB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3C281D6F"/>
    <w:multiLevelType w:val="hybridMultilevel"/>
    <w:tmpl w:val="B752345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3C4604F8"/>
    <w:multiLevelType w:val="hybridMultilevel"/>
    <w:tmpl w:val="9C947B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3EC846F2"/>
    <w:multiLevelType w:val="hybridMultilevel"/>
    <w:tmpl w:val="35AA206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3EE35150"/>
    <w:multiLevelType w:val="hybridMultilevel"/>
    <w:tmpl w:val="41E2E1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3F306046"/>
    <w:multiLevelType w:val="hybridMultilevel"/>
    <w:tmpl w:val="3E0016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42DD59FB"/>
    <w:multiLevelType w:val="hybridMultilevel"/>
    <w:tmpl w:val="6712A96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9" w15:restartNumberingAfterBreak="0">
    <w:nsid w:val="42FE49D9"/>
    <w:multiLevelType w:val="hybridMultilevel"/>
    <w:tmpl w:val="B65EC9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497C6952"/>
    <w:multiLevelType w:val="hybridMultilevel"/>
    <w:tmpl w:val="71FC42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4B2A5A76"/>
    <w:multiLevelType w:val="hybridMultilevel"/>
    <w:tmpl w:val="4F5C0136"/>
    <w:lvl w:ilvl="0" w:tplc="04090001">
      <w:start w:val="1"/>
      <w:numFmt w:val="bullet"/>
      <w:lvlText w:val=""/>
      <w:lvlJc w:val="left"/>
      <w:pPr>
        <w:ind w:left="774" w:hanging="360"/>
      </w:pPr>
      <w:rPr>
        <w:rFonts w:ascii="Symbol" w:hAnsi="Symbol" w:hint="default"/>
      </w:rPr>
    </w:lvl>
    <w:lvl w:ilvl="1" w:tplc="04090003" w:tentative="1">
      <w:start w:val="1"/>
      <w:numFmt w:val="bullet"/>
      <w:lvlText w:val="o"/>
      <w:lvlJc w:val="left"/>
      <w:pPr>
        <w:ind w:left="1494" w:hanging="360"/>
      </w:pPr>
      <w:rPr>
        <w:rFonts w:ascii="Courier New" w:hAnsi="Courier New" w:cs="Courier New" w:hint="default"/>
      </w:rPr>
    </w:lvl>
    <w:lvl w:ilvl="2" w:tplc="04090005" w:tentative="1">
      <w:start w:val="1"/>
      <w:numFmt w:val="bullet"/>
      <w:lvlText w:val=""/>
      <w:lvlJc w:val="left"/>
      <w:pPr>
        <w:ind w:left="2214" w:hanging="360"/>
      </w:pPr>
      <w:rPr>
        <w:rFonts w:ascii="Wingdings" w:hAnsi="Wingdings" w:hint="default"/>
      </w:rPr>
    </w:lvl>
    <w:lvl w:ilvl="3" w:tplc="04090001" w:tentative="1">
      <w:start w:val="1"/>
      <w:numFmt w:val="bullet"/>
      <w:lvlText w:val=""/>
      <w:lvlJc w:val="left"/>
      <w:pPr>
        <w:ind w:left="2934" w:hanging="360"/>
      </w:pPr>
      <w:rPr>
        <w:rFonts w:ascii="Symbol" w:hAnsi="Symbol" w:hint="default"/>
      </w:rPr>
    </w:lvl>
    <w:lvl w:ilvl="4" w:tplc="04090003" w:tentative="1">
      <w:start w:val="1"/>
      <w:numFmt w:val="bullet"/>
      <w:lvlText w:val="o"/>
      <w:lvlJc w:val="left"/>
      <w:pPr>
        <w:ind w:left="3654" w:hanging="360"/>
      </w:pPr>
      <w:rPr>
        <w:rFonts w:ascii="Courier New" w:hAnsi="Courier New" w:cs="Courier New" w:hint="default"/>
      </w:rPr>
    </w:lvl>
    <w:lvl w:ilvl="5" w:tplc="04090005" w:tentative="1">
      <w:start w:val="1"/>
      <w:numFmt w:val="bullet"/>
      <w:lvlText w:val=""/>
      <w:lvlJc w:val="left"/>
      <w:pPr>
        <w:ind w:left="4374" w:hanging="360"/>
      </w:pPr>
      <w:rPr>
        <w:rFonts w:ascii="Wingdings" w:hAnsi="Wingdings" w:hint="default"/>
      </w:rPr>
    </w:lvl>
    <w:lvl w:ilvl="6" w:tplc="04090001" w:tentative="1">
      <w:start w:val="1"/>
      <w:numFmt w:val="bullet"/>
      <w:lvlText w:val=""/>
      <w:lvlJc w:val="left"/>
      <w:pPr>
        <w:ind w:left="5094" w:hanging="360"/>
      </w:pPr>
      <w:rPr>
        <w:rFonts w:ascii="Symbol" w:hAnsi="Symbol" w:hint="default"/>
      </w:rPr>
    </w:lvl>
    <w:lvl w:ilvl="7" w:tplc="04090003" w:tentative="1">
      <w:start w:val="1"/>
      <w:numFmt w:val="bullet"/>
      <w:lvlText w:val="o"/>
      <w:lvlJc w:val="left"/>
      <w:pPr>
        <w:ind w:left="5814" w:hanging="360"/>
      </w:pPr>
      <w:rPr>
        <w:rFonts w:ascii="Courier New" w:hAnsi="Courier New" w:cs="Courier New" w:hint="default"/>
      </w:rPr>
    </w:lvl>
    <w:lvl w:ilvl="8" w:tplc="04090005" w:tentative="1">
      <w:start w:val="1"/>
      <w:numFmt w:val="bullet"/>
      <w:lvlText w:val=""/>
      <w:lvlJc w:val="left"/>
      <w:pPr>
        <w:ind w:left="6534" w:hanging="360"/>
      </w:pPr>
      <w:rPr>
        <w:rFonts w:ascii="Wingdings" w:hAnsi="Wingdings" w:hint="default"/>
      </w:rPr>
    </w:lvl>
  </w:abstractNum>
  <w:abstractNum w:abstractNumId="32" w15:restartNumberingAfterBreak="0">
    <w:nsid w:val="4F1F2110"/>
    <w:multiLevelType w:val="hybridMultilevel"/>
    <w:tmpl w:val="565EB7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53082000"/>
    <w:multiLevelType w:val="hybridMultilevel"/>
    <w:tmpl w:val="85C08846"/>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53837D3B"/>
    <w:multiLevelType w:val="hybridMultilevel"/>
    <w:tmpl w:val="EB0E27BE"/>
    <w:lvl w:ilvl="0" w:tplc="6F825E44">
      <w:start w:val="1"/>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59A42B7F"/>
    <w:multiLevelType w:val="hybridMultilevel"/>
    <w:tmpl w:val="E826BE9A"/>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36" w15:restartNumberingAfterBreak="0">
    <w:nsid w:val="5B0B0659"/>
    <w:multiLevelType w:val="hybridMultilevel"/>
    <w:tmpl w:val="69AEAE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5BA34E31"/>
    <w:multiLevelType w:val="hybridMultilevel"/>
    <w:tmpl w:val="91060B3A"/>
    <w:lvl w:ilvl="0" w:tplc="620CD60E">
      <w:start w:val="2"/>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5D153E43"/>
    <w:multiLevelType w:val="hybridMultilevel"/>
    <w:tmpl w:val="7C60F32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61F11EC0"/>
    <w:multiLevelType w:val="hybridMultilevel"/>
    <w:tmpl w:val="B85E5F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66191CAC"/>
    <w:multiLevelType w:val="hybridMultilevel"/>
    <w:tmpl w:val="C6F6728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6B8E691B"/>
    <w:multiLevelType w:val="hybridMultilevel"/>
    <w:tmpl w:val="25BACDA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6DC60F02"/>
    <w:multiLevelType w:val="hybridMultilevel"/>
    <w:tmpl w:val="CF823C4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6FEC704B"/>
    <w:multiLevelType w:val="hybridMultilevel"/>
    <w:tmpl w:val="7F904A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70606360"/>
    <w:multiLevelType w:val="hybridMultilevel"/>
    <w:tmpl w:val="EC808D6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74AF3D63"/>
    <w:multiLevelType w:val="hybridMultilevel"/>
    <w:tmpl w:val="60FADC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74DE2EFE"/>
    <w:multiLevelType w:val="hybridMultilevel"/>
    <w:tmpl w:val="F2B242FC"/>
    <w:lvl w:ilvl="0" w:tplc="04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77780F16"/>
    <w:multiLevelType w:val="multilevel"/>
    <w:tmpl w:val="D646D46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27"/>
  </w:num>
  <w:num w:numId="2">
    <w:abstractNumId w:val="41"/>
  </w:num>
  <w:num w:numId="3">
    <w:abstractNumId w:val="4"/>
  </w:num>
  <w:num w:numId="4">
    <w:abstractNumId w:val="14"/>
  </w:num>
  <w:num w:numId="5">
    <w:abstractNumId w:val="34"/>
  </w:num>
  <w:num w:numId="6">
    <w:abstractNumId w:val="39"/>
  </w:num>
  <w:num w:numId="7">
    <w:abstractNumId w:val="10"/>
  </w:num>
  <w:num w:numId="8">
    <w:abstractNumId w:val="24"/>
  </w:num>
  <w:num w:numId="9">
    <w:abstractNumId w:val="38"/>
  </w:num>
  <w:num w:numId="10">
    <w:abstractNumId w:val="31"/>
  </w:num>
  <w:num w:numId="11">
    <w:abstractNumId w:val="45"/>
  </w:num>
  <w:num w:numId="12">
    <w:abstractNumId w:val="32"/>
  </w:num>
  <w:num w:numId="13">
    <w:abstractNumId w:val="26"/>
  </w:num>
  <w:num w:numId="14">
    <w:abstractNumId w:val="28"/>
  </w:num>
  <w:num w:numId="15">
    <w:abstractNumId w:val="25"/>
  </w:num>
  <w:num w:numId="16">
    <w:abstractNumId w:val="16"/>
  </w:num>
  <w:num w:numId="17">
    <w:abstractNumId w:val="6"/>
  </w:num>
  <w:num w:numId="18">
    <w:abstractNumId w:val="1"/>
  </w:num>
  <w:num w:numId="19">
    <w:abstractNumId w:val="40"/>
  </w:num>
  <w:num w:numId="20">
    <w:abstractNumId w:val="33"/>
  </w:num>
  <w:num w:numId="21">
    <w:abstractNumId w:val="19"/>
  </w:num>
  <w:num w:numId="22">
    <w:abstractNumId w:val="0"/>
  </w:num>
  <w:num w:numId="23">
    <w:abstractNumId w:val="36"/>
  </w:num>
  <w:num w:numId="24">
    <w:abstractNumId w:val="2"/>
  </w:num>
  <w:num w:numId="25">
    <w:abstractNumId w:val="11"/>
  </w:num>
  <w:num w:numId="26">
    <w:abstractNumId w:val="23"/>
  </w:num>
  <w:num w:numId="27">
    <w:abstractNumId w:val="21"/>
  </w:num>
  <w:num w:numId="28">
    <w:abstractNumId w:val="44"/>
  </w:num>
  <w:num w:numId="29">
    <w:abstractNumId w:val="29"/>
  </w:num>
  <w:num w:numId="30">
    <w:abstractNumId w:val="3"/>
  </w:num>
  <w:num w:numId="31">
    <w:abstractNumId w:val="13"/>
  </w:num>
  <w:num w:numId="32">
    <w:abstractNumId w:val="15"/>
  </w:num>
  <w:num w:numId="33">
    <w:abstractNumId w:val="42"/>
  </w:num>
  <w:num w:numId="34">
    <w:abstractNumId w:val="12"/>
  </w:num>
  <w:num w:numId="35">
    <w:abstractNumId w:val="43"/>
  </w:num>
  <w:num w:numId="36">
    <w:abstractNumId w:val="17"/>
  </w:num>
  <w:num w:numId="37">
    <w:abstractNumId w:val="7"/>
  </w:num>
  <w:num w:numId="38">
    <w:abstractNumId w:val="46"/>
  </w:num>
  <w:num w:numId="39">
    <w:abstractNumId w:val="47"/>
  </w:num>
  <w:num w:numId="40">
    <w:abstractNumId w:val="37"/>
  </w:num>
  <w:num w:numId="41">
    <w:abstractNumId w:val="18"/>
  </w:num>
  <w:num w:numId="42">
    <w:abstractNumId w:val="8"/>
  </w:num>
  <w:num w:numId="43">
    <w:abstractNumId w:val="30"/>
  </w:num>
  <w:num w:numId="44">
    <w:abstractNumId w:val="20"/>
  </w:num>
  <w:num w:numId="45">
    <w:abstractNumId w:val="5"/>
  </w:num>
  <w:num w:numId="46">
    <w:abstractNumId w:val="35"/>
  </w:num>
  <w:num w:numId="47">
    <w:abstractNumId w:val="22"/>
  </w:num>
  <w:num w:numId="4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90"/>
  <w:proofState w:spelling="clean" w:grammar="clean"/>
  <w:defaultTabStop w:val="720"/>
  <w:characterSpacingControl w:val="doNotCompress"/>
  <w:hdrShapeDefaults>
    <o:shapedefaults v:ext="edit" spidmax="16385"/>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95C10"/>
    <w:rsid w:val="00000161"/>
    <w:rsid w:val="00000B1B"/>
    <w:rsid w:val="00002FCE"/>
    <w:rsid w:val="00003FDE"/>
    <w:rsid w:val="000059F8"/>
    <w:rsid w:val="000061EB"/>
    <w:rsid w:val="000102E7"/>
    <w:rsid w:val="00014707"/>
    <w:rsid w:val="0002029D"/>
    <w:rsid w:val="0002045D"/>
    <w:rsid w:val="00024D21"/>
    <w:rsid w:val="00037C6E"/>
    <w:rsid w:val="00040E9B"/>
    <w:rsid w:val="00047985"/>
    <w:rsid w:val="00051E98"/>
    <w:rsid w:val="00061269"/>
    <w:rsid w:val="00062EAD"/>
    <w:rsid w:val="00063FC7"/>
    <w:rsid w:val="00067115"/>
    <w:rsid w:val="0007094F"/>
    <w:rsid w:val="00071358"/>
    <w:rsid w:val="00092BBA"/>
    <w:rsid w:val="000968DF"/>
    <w:rsid w:val="000A0F07"/>
    <w:rsid w:val="000C4126"/>
    <w:rsid w:val="000D40D2"/>
    <w:rsid w:val="000D4E63"/>
    <w:rsid w:val="000D7C94"/>
    <w:rsid w:val="000E1152"/>
    <w:rsid w:val="000E216C"/>
    <w:rsid w:val="000E7D37"/>
    <w:rsid w:val="000F4FEE"/>
    <w:rsid w:val="000F54DD"/>
    <w:rsid w:val="00101A57"/>
    <w:rsid w:val="0010532D"/>
    <w:rsid w:val="00107250"/>
    <w:rsid w:val="00110897"/>
    <w:rsid w:val="00113063"/>
    <w:rsid w:val="001266E6"/>
    <w:rsid w:val="00130978"/>
    <w:rsid w:val="00131930"/>
    <w:rsid w:val="001414CE"/>
    <w:rsid w:val="00156FB9"/>
    <w:rsid w:val="0015703C"/>
    <w:rsid w:val="0016693A"/>
    <w:rsid w:val="00167969"/>
    <w:rsid w:val="00170663"/>
    <w:rsid w:val="00172828"/>
    <w:rsid w:val="00173EB9"/>
    <w:rsid w:val="0017623A"/>
    <w:rsid w:val="0017728B"/>
    <w:rsid w:val="00182692"/>
    <w:rsid w:val="00183B44"/>
    <w:rsid w:val="00190B3D"/>
    <w:rsid w:val="001942A1"/>
    <w:rsid w:val="001A3A04"/>
    <w:rsid w:val="001A754E"/>
    <w:rsid w:val="001B18ED"/>
    <w:rsid w:val="001B697D"/>
    <w:rsid w:val="001B6A5A"/>
    <w:rsid w:val="001C03F7"/>
    <w:rsid w:val="001C388C"/>
    <w:rsid w:val="001C7DA2"/>
    <w:rsid w:val="001D038D"/>
    <w:rsid w:val="001E42B2"/>
    <w:rsid w:val="001E6E2A"/>
    <w:rsid w:val="001E7184"/>
    <w:rsid w:val="001E747B"/>
    <w:rsid w:val="001F2711"/>
    <w:rsid w:val="001F6F46"/>
    <w:rsid w:val="001F77BF"/>
    <w:rsid w:val="001F7BCF"/>
    <w:rsid w:val="00207EE5"/>
    <w:rsid w:val="002150AF"/>
    <w:rsid w:val="00222A86"/>
    <w:rsid w:val="00223578"/>
    <w:rsid w:val="002331EE"/>
    <w:rsid w:val="00234D23"/>
    <w:rsid w:val="00245E12"/>
    <w:rsid w:val="00251570"/>
    <w:rsid w:val="002517FD"/>
    <w:rsid w:val="00254064"/>
    <w:rsid w:val="002560FC"/>
    <w:rsid w:val="00256108"/>
    <w:rsid w:val="00256758"/>
    <w:rsid w:val="00256BE1"/>
    <w:rsid w:val="00267974"/>
    <w:rsid w:val="00270F5B"/>
    <w:rsid w:val="0027362F"/>
    <w:rsid w:val="00273C24"/>
    <w:rsid w:val="00274AB5"/>
    <w:rsid w:val="00277E5B"/>
    <w:rsid w:val="00277F05"/>
    <w:rsid w:val="002806B3"/>
    <w:rsid w:val="00292BA2"/>
    <w:rsid w:val="002A0A9D"/>
    <w:rsid w:val="002A79D5"/>
    <w:rsid w:val="002A7AC0"/>
    <w:rsid w:val="002C3BCA"/>
    <w:rsid w:val="002C6765"/>
    <w:rsid w:val="002D26E9"/>
    <w:rsid w:val="002D3072"/>
    <w:rsid w:val="002D33FD"/>
    <w:rsid w:val="002D57C5"/>
    <w:rsid w:val="002D5B2A"/>
    <w:rsid w:val="002D7270"/>
    <w:rsid w:val="002E1975"/>
    <w:rsid w:val="002E2577"/>
    <w:rsid w:val="002E7A11"/>
    <w:rsid w:val="002F45C1"/>
    <w:rsid w:val="002F4A0F"/>
    <w:rsid w:val="002F5D8E"/>
    <w:rsid w:val="002F70DF"/>
    <w:rsid w:val="002F738C"/>
    <w:rsid w:val="002F7AEF"/>
    <w:rsid w:val="00300EFB"/>
    <w:rsid w:val="00320C3D"/>
    <w:rsid w:val="003218F3"/>
    <w:rsid w:val="00321A0B"/>
    <w:rsid w:val="00326A98"/>
    <w:rsid w:val="00331FB0"/>
    <w:rsid w:val="003425A1"/>
    <w:rsid w:val="00342A26"/>
    <w:rsid w:val="003460C7"/>
    <w:rsid w:val="003528AA"/>
    <w:rsid w:val="00354396"/>
    <w:rsid w:val="00370E24"/>
    <w:rsid w:val="003712BA"/>
    <w:rsid w:val="00372355"/>
    <w:rsid w:val="00372D81"/>
    <w:rsid w:val="00373161"/>
    <w:rsid w:val="00373909"/>
    <w:rsid w:val="00373EC9"/>
    <w:rsid w:val="003746C8"/>
    <w:rsid w:val="00380C9E"/>
    <w:rsid w:val="0038548F"/>
    <w:rsid w:val="0038739C"/>
    <w:rsid w:val="00390743"/>
    <w:rsid w:val="00395C10"/>
    <w:rsid w:val="003A0FA0"/>
    <w:rsid w:val="003B1058"/>
    <w:rsid w:val="003C5CD6"/>
    <w:rsid w:val="003D116D"/>
    <w:rsid w:val="003D40EC"/>
    <w:rsid w:val="003E1AC4"/>
    <w:rsid w:val="003E227E"/>
    <w:rsid w:val="003E328A"/>
    <w:rsid w:val="003E3705"/>
    <w:rsid w:val="003E6C37"/>
    <w:rsid w:val="003F17B0"/>
    <w:rsid w:val="003F5916"/>
    <w:rsid w:val="0040368E"/>
    <w:rsid w:val="00407C2A"/>
    <w:rsid w:val="00411B84"/>
    <w:rsid w:val="004138FC"/>
    <w:rsid w:val="004155DD"/>
    <w:rsid w:val="00415D8A"/>
    <w:rsid w:val="00422841"/>
    <w:rsid w:val="0042338D"/>
    <w:rsid w:val="004233BD"/>
    <w:rsid w:val="00432C44"/>
    <w:rsid w:val="00432CA5"/>
    <w:rsid w:val="004361A0"/>
    <w:rsid w:val="00437F99"/>
    <w:rsid w:val="0044123E"/>
    <w:rsid w:val="0044241A"/>
    <w:rsid w:val="0044365D"/>
    <w:rsid w:val="004460C5"/>
    <w:rsid w:val="004525E6"/>
    <w:rsid w:val="00456A8B"/>
    <w:rsid w:val="00457DB8"/>
    <w:rsid w:val="00461E71"/>
    <w:rsid w:val="00463A90"/>
    <w:rsid w:val="00466B9C"/>
    <w:rsid w:val="004718AC"/>
    <w:rsid w:val="004775B4"/>
    <w:rsid w:val="00480279"/>
    <w:rsid w:val="00483B0F"/>
    <w:rsid w:val="00490AF6"/>
    <w:rsid w:val="004923C8"/>
    <w:rsid w:val="00493243"/>
    <w:rsid w:val="0049403E"/>
    <w:rsid w:val="0049414F"/>
    <w:rsid w:val="004A2065"/>
    <w:rsid w:val="004A27E2"/>
    <w:rsid w:val="004B0CBF"/>
    <w:rsid w:val="004B17CC"/>
    <w:rsid w:val="004B27B4"/>
    <w:rsid w:val="004C00FA"/>
    <w:rsid w:val="004C2F04"/>
    <w:rsid w:val="004C6B12"/>
    <w:rsid w:val="004D130A"/>
    <w:rsid w:val="004D28EF"/>
    <w:rsid w:val="004D2EE0"/>
    <w:rsid w:val="004D323C"/>
    <w:rsid w:val="004D32DF"/>
    <w:rsid w:val="004E017F"/>
    <w:rsid w:val="004E2C30"/>
    <w:rsid w:val="004F0011"/>
    <w:rsid w:val="004F139B"/>
    <w:rsid w:val="0050278B"/>
    <w:rsid w:val="00502CCB"/>
    <w:rsid w:val="00504006"/>
    <w:rsid w:val="00506238"/>
    <w:rsid w:val="005067B3"/>
    <w:rsid w:val="00507382"/>
    <w:rsid w:val="005076EF"/>
    <w:rsid w:val="005124E8"/>
    <w:rsid w:val="005136AE"/>
    <w:rsid w:val="005150F1"/>
    <w:rsid w:val="0052431D"/>
    <w:rsid w:val="0052695F"/>
    <w:rsid w:val="00531E30"/>
    <w:rsid w:val="0053506D"/>
    <w:rsid w:val="0054042B"/>
    <w:rsid w:val="00554EFA"/>
    <w:rsid w:val="005561D5"/>
    <w:rsid w:val="005576A0"/>
    <w:rsid w:val="00562951"/>
    <w:rsid w:val="00562ED3"/>
    <w:rsid w:val="00563CD8"/>
    <w:rsid w:val="00583753"/>
    <w:rsid w:val="00583D00"/>
    <w:rsid w:val="005845A2"/>
    <w:rsid w:val="0059631D"/>
    <w:rsid w:val="005A4772"/>
    <w:rsid w:val="005A7D6C"/>
    <w:rsid w:val="005B4E45"/>
    <w:rsid w:val="005C015C"/>
    <w:rsid w:val="005C4B1E"/>
    <w:rsid w:val="005C5F8F"/>
    <w:rsid w:val="005C7E1D"/>
    <w:rsid w:val="005D0AE8"/>
    <w:rsid w:val="005E5C7D"/>
    <w:rsid w:val="005E66EE"/>
    <w:rsid w:val="005E7605"/>
    <w:rsid w:val="005F1F98"/>
    <w:rsid w:val="005F4A19"/>
    <w:rsid w:val="006018D3"/>
    <w:rsid w:val="006026FD"/>
    <w:rsid w:val="00611170"/>
    <w:rsid w:val="006134A8"/>
    <w:rsid w:val="00627ED2"/>
    <w:rsid w:val="00632428"/>
    <w:rsid w:val="00633224"/>
    <w:rsid w:val="00634FA6"/>
    <w:rsid w:val="00635F56"/>
    <w:rsid w:val="00636B9B"/>
    <w:rsid w:val="00637838"/>
    <w:rsid w:val="00654C67"/>
    <w:rsid w:val="00655A22"/>
    <w:rsid w:val="0065650D"/>
    <w:rsid w:val="006625F9"/>
    <w:rsid w:val="006629F1"/>
    <w:rsid w:val="00663045"/>
    <w:rsid w:val="00663C04"/>
    <w:rsid w:val="00666821"/>
    <w:rsid w:val="00672591"/>
    <w:rsid w:val="00675C76"/>
    <w:rsid w:val="0068196F"/>
    <w:rsid w:val="00685BD5"/>
    <w:rsid w:val="006918CE"/>
    <w:rsid w:val="006930C0"/>
    <w:rsid w:val="006943DA"/>
    <w:rsid w:val="006A0560"/>
    <w:rsid w:val="006A3BA4"/>
    <w:rsid w:val="006A4EA5"/>
    <w:rsid w:val="006A6373"/>
    <w:rsid w:val="006A735C"/>
    <w:rsid w:val="006B0643"/>
    <w:rsid w:val="006B689A"/>
    <w:rsid w:val="006C2464"/>
    <w:rsid w:val="006C616A"/>
    <w:rsid w:val="006C7708"/>
    <w:rsid w:val="006C79F5"/>
    <w:rsid w:val="006E36DC"/>
    <w:rsid w:val="006E6442"/>
    <w:rsid w:val="006F46E7"/>
    <w:rsid w:val="006F5727"/>
    <w:rsid w:val="006F57BC"/>
    <w:rsid w:val="006F6E08"/>
    <w:rsid w:val="00700F44"/>
    <w:rsid w:val="00711AD9"/>
    <w:rsid w:val="00712B6F"/>
    <w:rsid w:val="00717748"/>
    <w:rsid w:val="00721407"/>
    <w:rsid w:val="00721E33"/>
    <w:rsid w:val="00722591"/>
    <w:rsid w:val="0072336B"/>
    <w:rsid w:val="00734DC0"/>
    <w:rsid w:val="00735580"/>
    <w:rsid w:val="00746029"/>
    <w:rsid w:val="00746473"/>
    <w:rsid w:val="0075284B"/>
    <w:rsid w:val="00752F07"/>
    <w:rsid w:val="00760B8D"/>
    <w:rsid w:val="00763200"/>
    <w:rsid w:val="00763273"/>
    <w:rsid w:val="007648B4"/>
    <w:rsid w:val="0076578F"/>
    <w:rsid w:val="0077026A"/>
    <w:rsid w:val="00773637"/>
    <w:rsid w:val="00776007"/>
    <w:rsid w:val="00777175"/>
    <w:rsid w:val="00782CAA"/>
    <w:rsid w:val="007834BF"/>
    <w:rsid w:val="00784578"/>
    <w:rsid w:val="00786254"/>
    <w:rsid w:val="00796D0B"/>
    <w:rsid w:val="007A1CB6"/>
    <w:rsid w:val="007A3627"/>
    <w:rsid w:val="007B16B0"/>
    <w:rsid w:val="007B5D2E"/>
    <w:rsid w:val="007C1ED0"/>
    <w:rsid w:val="007C542C"/>
    <w:rsid w:val="007C5B3F"/>
    <w:rsid w:val="007C65D0"/>
    <w:rsid w:val="007D170E"/>
    <w:rsid w:val="007D5923"/>
    <w:rsid w:val="007D59CD"/>
    <w:rsid w:val="007D5A32"/>
    <w:rsid w:val="007D7FAC"/>
    <w:rsid w:val="007E1EE6"/>
    <w:rsid w:val="007E23EC"/>
    <w:rsid w:val="007E2730"/>
    <w:rsid w:val="007E4330"/>
    <w:rsid w:val="007E4F1F"/>
    <w:rsid w:val="007F198C"/>
    <w:rsid w:val="007F57A6"/>
    <w:rsid w:val="007F7919"/>
    <w:rsid w:val="0080266B"/>
    <w:rsid w:val="00803B9E"/>
    <w:rsid w:val="00807145"/>
    <w:rsid w:val="00810D62"/>
    <w:rsid w:val="008111C5"/>
    <w:rsid w:val="00815A74"/>
    <w:rsid w:val="00820C41"/>
    <w:rsid w:val="0082514A"/>
    <w:rsid w:val="00825BC7"/>
    <w:rsid w:val="008305BE"/>
    <w:rsid w:val="008312C9"/>
    <w:rsid w:val="008374CA"/>
    <w:rsid w:val="00850241"/>
    <w:rsid w:val="008548B7"/>
    <w:rsid w:val="008724B5"/>
    <w:rsid w:val="008825E7"/>
    <w:rsid w:val="00884228"/>
    <w:rsid w:val="008921FE"/>
    <w:rsid w:val="00893529"/>
    <w:rsid w:val="0089546B"/>
    <w:rsid w:val="008A0E44"/>
    <w:rsid w:val="008A1C38"/>
    <w:rsid w:val="008A3881"/>
    <w:rsid w:val="008B616F"/>
    <w:rsid w:val="008C1BE2"/>
    <w:rsid w:val="008C266B"/>
    <w:rsid w:val="008C3170"/>
    <w:rsid w:val="008C324E"/>
    <w:rsid w:val="008C64DE"/>
    <w:rsid w:val="008D2731"/>
    <w:rsid w:val="008D69D5"/>
    <w:rsid w:val="008E1251"/>
    <w:rsid w:val="008E2761"/>
    <w:rsid w:val="008E3396"/>
    <w:rsid w:val="008E660A"/>
    <w:rsid w:val="008E7449"/>
    <w:rsid w:val="008F027E"/>
    <w:rsid w:val="009016AB"/>
    <w:rsid w:val="00907AE2"/>
    <w:rsid w:val="00910254"/>
    <w:rsid w:val="00911349"/>
    <w:rsid w:val="00913F23"/>
    <w:rsid w:val="009228C4"/>
    <w:rsid w:val="00923F48"/>
    <w:rsid w:val="009351AD"/>
    <w:rsid w:val="00937CE0"/>
    <w:rsid w:val="0094116D"/>
    <w:rsid w:val="009429D0"/>
    <w:rsid w:val="00942EEB"/>
    <w:rsid w:val="009450CA"/>
    <w:rsid w:val="00945C2B"/>
    <w:rsid w:val="009468DB"/>
    <w:rsid w:val="0095125F"/>
    <w:rsid w:val="0095137A"/>
    <w:rsid w:val="00951B65"/>
    <w:rsid w:val="00953CD5"/>
    <w:rsid w:val="00961A59"/>
    <w:rsid w:val="009656EB"/>
    <w:rsid w:val="00965B02"/>
    <w:rsid w:val="00965C20"/>
    <w:rsid w:val="00967DD4"/>
    <w:rsid w:val="00972F4B"/>
    <w:rsid w:val="009809D6"/>
    <w:rsid w:val="0098164B"/>
    <w:rsid w:val="00982382"/>
    <w:rsid w:val="009824D2"/>
    <w:rsid w:val="00983346"/>
    <w:rsid w:val="0098466E"/>
    <w:rsid w:val="00985F9E"/>
    <w:rsid w:val="00990148"/>
    <w:rsid w:val="00991480"/>
    <w:rsid w:val="00992D77"/>
    <w:rsid w:val="009A2DEB"/>
    <w:rsid w:val="009A7918"/>
    <w:rsid w:val="009B2320"/>
    <w:rsid w:val="009B5680"/>
    <w:rsid w:val="009B7FAA"/>
    <w:rsid w:val="009C1641"/>
    <w:rsid w:val="009C1DD8"/>
    <w:rsid w:val="009D16BB"/>
    <w:rsid w:val="009D246C"/>
    <w:rsid w:val="009D28B3"/>
    <w:rsid w:val="009D617E"/>
    <w:rsid w:val="009E01B7"/>
    <w:rsid w:val="009E2E33"/>
    <w:rsid w:val="009F1D81"/>
    <w:rsid w:val="009F58DB"/>
    <w:rsid w:val="009F632E"/>
    <w:rsid w:val="00A03CFE"/>
    <w:rsid w:val="00A042F3"/>
    <w:rsid w:val="00A13F94"/>
    <w:rsid w:val="00A235B8"/>
    <w:rsid w:val="00A24332"/>
    <w:rsid w:val="00A343E0"/>
    <w:rsid w:val="00A3450D"/>
    <w:rsid w:val="00A34C55"/>
    <w:rsid w:val="00A367CC"/>
    <w:rsid w:val="00A3740B"/>
    <w:rsid w:val="00A3778B"/>
    <w:rsid w:val="00A4470F"/>
    <w:rsid w:val="00A45451"/>
    <w:rsid w:val="00A4697F"/>
    <w:rsid w:val="00A52633"/>
    <w:rsid w:val="00A53D0E"/>
    <w:rsid w:val="00A54C0F"/>
    <w:rsid w:val="00A57EBB"/>
    <w:rsid w:val="00A63AC4"/>
    <w:rsid w:val="00A63E35"/>
    <w:rsid w:val="00A810AC"/>
    <w:rsid w:val="00A84A00"/>
    <w:rsid w:val="00A86F41"/>
    <w:rsid w:val="00A906A3"/>
    <w:rsid w:val="00A950BD"/>
    <w:rsid w:val="00AA12F9"/>
    <w:rsid w:val="00AA5220"/>
    <w:rsid w:val="00AA5BB3"/>
    <w:rsid w:val="00AB5BC1"/>
    <w:rsid w:val="00AB7609"/>
    <w:rsid w:val="00AC02D3"/>
    <w:rsid w:val="00AC0659"/>
    <w:rsid w:val="00AD0B20"/>
    <w:rsid w:val="00AD0E9A"/>
    <w:rsid w:val="00AD6083"/>
    <w:rsid w:val="00AD7200"/>
    <w:rsid w:val="00AE1CD0"/>
    <w:rsid w:val="00AE31E3"/>
    <w:rsid w:val="00AE48C9"/>
    <w:rsid w:val="00AE5BD0"/>
    <w:rsid w:val="00AF13D3"/>
    <w:rsid w:val="00AF4397"/>
    <w:rsid w:val="00B00DA2"/>
    <w:rsid w:val="00B13452"/>
    <w:rsid w:val="00B17B7B"/>
    <w:rsid w:val="00B20719"/>
    <w:rsid w:val="00B25C70"/>
    <w:rsid w:val="00B3020D"/>
    <w:rsid w:val="00B316B4"/>
    <w:rsid w:val="00B3223A"/>
    <w:rsid w:val="00B547AB"/>
    <w:rsid w:val="00B55408"/>
    <w:rsid w:val="00B56BF6"/>
    <w:rsid w:val="00B574CB"/>
    <w:rsid w:val="00B604D6"/>
    <w:rsid w:val="00B658BB"/>
    <w:rsid w:val="00B70D50"/>
    <w:rsid w:val="00B71A9F"/>
    <w:rsid w:val="00B7225E"/>
    <w:rsid w:val="00B753F0"/>
    <w:rsid w:val="00B75713"/>
    <w:rsid w:val="00B7575B"/>
    <w:rsid w:val="00B774BD"/>
    <w:rsid w:val="00B8014B"/>
    <w:rsid w:val="00B80FBD"/>
    <w:rsid w:val="00B866BC"/>
    <w:rsid w:val="00B95D52"/>
    <w:rsid w:val="00BA1181"/>
    <w:rsid w:val="00BA7D9A"/>
    <w:rsid w:val="00BB324B"/>
    <w:rsid w:val="00BB3591"/>
    <w:rsid w:val="00BC35A5"/>
    <w:rsid w:val="00BC5916"/>
    <w:rsid w:val="00BD0432"/>
    <w:rsid w:val="00BD0A38"/>
    <w:rsid w:val="00BD1C91"/>
    <w:rsid w:val="00BD2142"/>
    <w:rsid w:val="00BD3180"/>
    <w:rsid w:val="00BD3667"/>
    <w:rsid w:val="00BE0C2E"/>
    <w:rsid w:val="00BE5FE0"/>
    <w:rsid w:val="00BE6717"/>
    <w:rsid w:val="00BF0114"/>
    <w:rsid w:val="00BF36FD"/>
    <w:rsid w:val="00BF3F74"/>
    <w:rsid w:val="00C11032"/>
    <w:rsid w:val="00C12330"/>
    <w:rsid w:val="00C12BF4"/>
    <w:rsid w:val="00C135B7"/>
    <w:rsid w:val="00C144A8"/>
    <w:rsid w:val="00C149DF"/>
    <w:rsid w:val="00C16032"/>
    <w:rsid w:val="00C2115F"/>
    <w:rsid w:val="00C303EF"/>
    <w:rsid w:val="00C3325E"/>
    <w:rsid w:val="00C44E80"/>
    <w:rsid w:val="00C533FB"/>
    <w:rsid w:val="00C534EB"/>
    <w:rsid w:val="00C650F9"/>
    <w:rsid w:val="00C70EEE"/>
    <w:rsid w:val="00C73433"/>
    <w:rsid w:val="00C75D5D"/>
    <w:rsid w:val="00C856EF"/>
    <w:rsid w:val="00C87167"/>
    <w:rsid w:val="00C92E9C"/>
    <w:rsid w:val="00CA1AD9"/>
    <w:rsid w:val="00CA34B6"/>
    <w:rsid w:val="00CA405F"/>
    <w:rsid w:val="00CA60EF"/>
    <w:rsid w:val="00CB5C84"/>
    <w:rsid w:val="00CC0D5C"/>
    <w:rsid w:val="00CC277A"/>
    <w:rsid w:val="00CD2804"/>
    <w:rsid w:val="00CD626A"/>
    <w:rsid w:val="00CD7580"/>
    <w:rsid w:val="00CE199A"/>
    <w:rsid w:val="00CE3F0C"/>
    <w:rsid w:val="00CE46EA"/>
    <w:rsid w:val="00CE73F6"/>
    <w:rsid w:val="00CF40B3"/>
    <w:rsid w:val="00CF55CF"/>
    <w:rsid w:val="00D04683"/>
    <w:rsid w:val="00D11F84"/>
    <w:rsid w:val="00D1321B"/>
    <w:rsid w:val="00D16591"/>
    <w:rsid w:val="00D173D8"/>
    <w:rsid w:val="00D20D91"/>
    <w:rsid w:val="00D2663A"/>
    <w:rsid w:val="00D26908"/>
    <w:rsid w:val="00D3295D"/>
    <w:rsid w:val="00D365F3"/>
    <w:rsid w:val="00D404F7"/>
    <w:rsid w:val="00D4117F"/>
    <w:rsid w:val="00D42663"/>
    <w:rsid w:val="00D444FE"/>
    <w:rsid w:val="00D528D0"/>
    <w:rsid w:val="00D5699F"/>
    <w:rsid w:val="00D56EE5"/>
    <w:rsid w:val="00D602DC"/>
    <w:rsid w:val="00D6052A"/>
    <w:rsid w:val="00D61115"/>
    <w:rsid w:val="00D71012"/>
    <w:rsid w:val="00D733AB"/>
    <w:rsid w:val="00D74BCD"/>
    <w:rsid w:val="00D758D6"/>
    <w:rsid w:val="00D77B59"/>
    <w:rsid w:val="00D8062B"/>
    <w:rsid w:val="00D864BE"/>
    <w:rsid w:val="00D97A26"/>
    <w:rsid w:val="00DA4DBC"/>
    <w:rsid w:val="00DB29AD"/>
    <w:rsid w:val="00DB3C88"/>
    <w:rsid w:val="00DC02F9"/>
    <w:rsid w:val="00DD3D2A"/>
    <w:rsid w:val="00DD409A"/>
    <w:rsid w:val="00DD7EE3"/>
    <w:rsid w:val="00DE70BD"/>
    <w:rsid w:val="00DF08A2"/>
    <w:rsid w:val="00DF6B90"/>
    <w:rsid w:val="00E0044C"/>
    <w:rsid w:val="00E01B40"/>
    <w:rsid w:val="00E129CF"/>
    <w:rsid w:val="00E13346"/>
    <w:rsid w:val="00E152BD"/>
    <w:rsid w:val="00E16BBE"/>
    <w:rsid w:val="00E16D4D"/>
    <w:rsid w:val="00E217B3"/>
    <w:rsid w:val="00E21E6E"/>
    <w:rsid w:val="00E22BB9"/>
    <w:rsid w:val="00E24C60"/>
    <w:rsid w:val="00E30590"/>
    <w:rsid w:val="00E31C6E"/>
    <w:rsid w:val="00E33A62"/>
    <w:rsid w:val="00E41AF7"/>
    <w:rsid w:val="00E4238A"/>
    <w:rsid w:val="00E478F3"/>
    <w:rsid w:val="00E55E9D"/>
    <w:rsid w:val="00E56595"/>
    <w:rsid w:val="00E60A96"/>
    <w:rsid w:val="00E61EE7"/>
    <w:rsid w:val="00E638E7"/>
    <w:rsid w:val="00E63FC6"/>
    <w:rsid w:val="00E640B8"/>
    <w:rsid w:val="00E70ACE"/>
    <w:rsid w:val="00E75865"/>
    <w:rsid w:val="00E830EF"/>
    <w:rsid w:val="00E834BA"/>
    <w:rsid w:val="00E91064"/>
    <w:rsid w:val="00E91557"/>
    <w:rsid w:val="00E93586"/>
    <w:rsid w:val="00E94C2C"/>
    <w:rsid w:val="00EA27AD"/>
    <w:rsid w:val="00EA407D"/>
    <w:rsid w:val="00EA432B"/>
    <w:rsid w:val="00EA6D28"/>
    <w:rsid w:val="00EB2C94"/>
    <w:rsid w:val="00EB55B5"/>
    <w:rsid w:val="00EC51FF"/>
    <w:rsid w:val="00EC6B38"/>
    <w:rsid w:val="00ED1228"/>
    <w:rsid w:val="00ED18BB"/>
    <w:rsid w:val="00ED2009"/>
    <w:rsid w:val="00EE1DDF"/>
    <w:rsid w:val="00EE34BF"/>
    <w:rsid w:val="00EF0DBA"/>
    <w:rsid w:val="00EF37BA"/>
    <w:rsid w:val="00EF5DFF"/>
    <w:rsid w:val="00F010ED"/>
    <w:rsid w:val="00F014E6"/>
    <w:rsid w:val="00F0352F"/>
    <w:rsid w:val="00F042DC"/>
    <w:rsid w:val="00F105CB"/>
    <w:rsid w:val="00F113A2"/>
    <w:rsid w:val="00F14CBC"/>
    <w:rsid w:val="00F227F2"/>
    <w:rsid w:val="00F27140"/>
    <w:rsid w:val="00F3029F"/>
    <w:rsid w:val="00F310D3"/>
    <w:rsid w:val="00F358DA"/>
    <w:rsid w:val="00F37B05"/>
    <w:rsid w:val="00F42450"/>
    <w:rsid w:val="00F43FDC"/>
    <w:rsid w:val="00F47821"/>
    <w:rsid w:val="00F533BD"/>
    <w:rsid w:val="00F64E0A"/>
    <w:rsid w:val="00F6526D"/>
    <w:rsid w:val="00F66082"/>
    <w:rsid w:val="00F76A41"/>
    <w:rsid w:val="00F83BA8"/>
    <w:rsid w:val="00F91014"/>
    <w:rsid w:val="00F910B4"/>
    <w:rsid w:val="00F91819"/>
    <w:rsid w:val="00F9304D"/>
    <w:rsid w:val="00FA1ADB"/>
    <w:rsid w:val="00FA4DBA"/>
    <w:rsid w:val="00FA4F9E"/>
    <w:rsid w:val="00FA6326"/>
    <w:rsid w:val="00FB6069"/>
    <w:rsid w:val="00FB6EC6"/>
    <w:rsid w:val="00FB71B3"/>
    <w:rsid w:val="00FC0C88"/>
    <w:rsid w:val="00FC1828"/>
    <w:rsid w:val="00FC70C6"/>
    <w:rsid w:val="00FD05E5"/>
    <w:rsid w:val="00FD556A"/>
    <w:rsid w:val="00FD7418"/>
    <w:rsid w:val="00FD75E7"/>
    <w:rsid w:val="00FD7E68"/>
    <w:rsid w:val="00FE0306"/>
    <w:rsid w:val="00FE4F05"/>
    <w:rsid w:val="00FF4F0E"/>
    <w:rsid w:val="00FF5A51"/>
    <w:rsid w:val="00FF7CA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5D04BDC8"/>
  <w15:chartTrackingRefBased/>
  <w15:docId w15:val="{2AC86E7E-782F-419B-BCB5-D0E3322D8B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74AB5"/>
    <w:pPr>
      <w:spacing w:before="60" w:after="240" w:line="276" w:lineRule="auto"/>
    </w:pPr>
    <w:rPr>
      <w:rFonts w:ascii="Microsoft PhagsPa" w:hAnsi="Microsoft PhagsPa"/>
    </w:rPr>
  </w:style>
  <w:style w:type="paragraph" w:styleId="Heading1">
    <w:name w:val="heading 1"/>
    <w:basedOn w:val="Normal"/>
    <w:next w:val="Normal"/>
    <w:link w:val="Heading1Char"/>
    <w:uiPriority w:val="9"/>
    <w:qFormat/>
    <w:rsid w:val="00784578"/>
    <w:pPr>
      <w:spacing w:before="120"/>
      <w:outlineLvl w:val="0"/>
    </w:pPr>
    <w:rPr>
      <w:color w:val="FFFFFF" w:themeColor="background1"/>
      <w:sz w:val="44"/>
      <w:szCs w:val="44"/>
    </w:rPr>
  </w:style>
  <w:style w:type="paragraph" w:styleId="Heading2">
    <w:name w:val="heading 2"/>
    <w:basedOn w:val="Normal"/>
    <w:next w:val="Normal"/>
    <w:link w:val="Heading2Char"/>
    <w:uiPriority w:val="9"/>
    <w:unhideWhenUsed/>
    <w:qFormat/>
    <w:rsid w:val="00DF08A2"/>
    <w:pPr>
      <w:keepNext/>
      <w:keepLines/>
      <w:spacing w:before="360" w:after="280"/>
      <w:outlineLvl w:val="1"/>
    </w:pPr>
    <w:rPr>
      <w:rFonts w:eastAsiaTheme="majorEastAsia" w:cstheme="majorBidi"/>
      <w:b/>
      <w:bCs/>
      <w:color w:val="256169"/>
      <w:sz w:val="48"/>
      <w:szCs w:val="48"/>
    </w:rPr>
  </w:style>
  <w:style w:type="paragraph" w:styleId="Heading3">
    <w:name w:val="heading 3"/>
    <w:basedOn w:val="Normal"/>
    <w:next w:val="Normal"/>
    <w:link w:val="Heading3Char"/>
    <w:uiPriority w:val="9"/>
    <w:unhideWhenUsed/>
    <w:qFormat/>
    <w:rsid w:val="00763200"/>
    <w:pPr>
      <w:outlineLvl w:val="2"/>
    </w:pPr>
    <w:rPr>
      <w:sz w:val="32"/>
      <w:szCs w:val="32"/>
    </w:rPr>
  </w:style>
  <w:style w:type="paragraph" w:styleId="Heading4">
    <w:name w:val="heading 4"/>
    <w:basedOn w:val="Normal"/>
    <w:next w:val="Normal"/>
    <w:link w:val="Heading4Char"/>
    <w:uiPriority w:val="9"/>
    <w:unhideWhenUsed/>
    <w:qFormat/>
    <w:rsid w:val="00A343E0"/>
    <w:pPr>
      <w:keepNext/>
      <w:keepLines/>
      <w:spacing w:after="120"/>
      <w:outlineLvl w:val="3"/>
    </w:pPr>
    <w:rPr>
      <w:rFonts w:eastAsiaTheme="majorEastAsia" w:cstheme="majorBidi"/>
      <w:sz w:val="28"/>
      <w:szCs w:val="28"/>
    </w:rPr>
  </w:style>
  <w:style w:type="paragraph" w:styleId="Heading5">
    <w:name w:val="heading 5"/>
    <w:basedOn w:val="Heading4"/>
    <w:next w:val="Normal"/>
    <w:link w:val="Heading5Char"/>
    <w:uiPriority w:val="9"/>
    <w:unhideWhenUsed/>
    <w:qFormat/>
    <w:rsid w:val="00F6526D"/>
    <w:pPr>
      <w:outlineLvl w:val="4"/>
    </w:pPr>
    <w:rPr>
      <w:b/>
      <w:bCs/>
      <w:i/>
      <w:i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95C10"/>
    <w:pPr>
      <w:ind w:left="720"/>
      <w:contextualSpacing/>
    </w:pPr>
  </w:style>
  <w:style w:type="character" w:styleId="Hyperlink">
    <w:name w:val="Hyperlink"/>
    <w:basedOn w:val="DefaultParagraphFont"/>
    <w:uiPriority w:val="99"/>
    <w:unhideWhenUsed/>
    <w:rsid w:val="00712B6F"/>
    <w:rPr>
      <w:color w:val="0563C1" w:themeColor="hyperlink"/>
      <w:u w:val="single"/>
    </w:rPr>
  </w:style>
  <w:style w:type="character" w:styleId="CommentReference">
    <w:name w:val="annotation reference"/>
    <w:basedOn w:val="DefaultParagraphFont"/>
    <w:uiPriority w:val="99"/>
    <w:semiHidden/>
    <w:unhideWhenUsed/>
    <w:rsid w:val="00C16032"/>
    <w:rPr>
      <w:sz w:val="16"/>
      <w:szCs w:val="16"/>
    </w:rPr>
  </w:style>
  <w:style w:type="paragraph" w:styleId="CommentText">
    <w:name w:val="annotation text"/>
    <w:basedOn w:val="Normal"/>
    <w:link w:val="CommentTextChar"/>
    <w:uiPriority w:val="99"/>
    <w:unhideWhenUsed/>
    <w:rsid w:val="00C16032"/>
    <w:pPr>
      <w:spacing w:line="240" w:lineRule="auto"/>
    </w:pPr>
    <w:rPr>
      <w:sz w:val="20"/>
      <w:szCs w:val="20"/>
    </w:rPr>
  </w:style>
  <w:style w:type="character" w:customStyle="1" w:styleId="CommentTextChar">
    <w:name w:val="Comment Text Char"/>
    <w:basedOn w:val="DefaultParagraphFont"/>
    <w:link w:val="CommentText"/>
    <w:uiPriority w:val="99"/>
    <w:rsid w:val="00C16032"/>
    <w:rPr>
      <w:sz w:val="20"/>
      <w:szCs w:val="20"/>
    </w:rPr>
  </w:style>
  <w:style w:type="paragraph" w:styleId="CommentSubject">
    <w:name w:val="annotation subject"/>
    <w:basedOn w:val="CommentText"/>
    <w:next w:val="CommentText"/>
    <w:link w:val="CommentSubjectChar"/>
    <w:uiPriority w:val="99"/>
    <w:semiHidden/>
    <w:unhideWhenUsed/>
    <w:rsid w:val="00C16032"/>
    <w:rPr>
      <w:b/>
      <w:bCs/>
    </w:rPr>
  </w:style>
  <w:style w:type="character" w:customStyle="1" w:styleId="CommentSubjectChar">
    <w:name w:val="Comment Subject Char"/>
    <w:basedOn w:val="CommentTextChar"/>
    <w:link w:val="CommentSubject"/>
    <w:uiPriority w:val="99"/>
    <w:semiHidden/>
    <w:rsid w:val="00C16032"/>
    <w:rPr>
      <w:b/>
      <w:bCs/>
      <w:sz w:val="20"/>
      <w:szCs w:val="20"/>
    </w:rPr>
  </w:style>
  <w:style w:type="paragraph" w:styleId="BalloonText">
    <w:name w:val="Balloon Text"/>
    <w:basedOn w:val="Normal"/>
    <w:link w:val="BalloonTextChar"/>
    <w:uiPriority w:val="99"/>
    <w:semiHidden/>
    <w:unhideWhenUsed/>
    <w:rsid w:val="00C1603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16032"/>
    <w:rPr>
      <w:rFonts w:ascii="Segoe UI" w:hAnsi="Segoe UI" w:cs="Segoe UI"/>
      <w:sz w:val="18"/>
      <w:szCs w:val="18"/>
    </w:rPr>
  </w:style>
  <w:style w:type="character" w:styleId="FollowedHyperlink">
    <w:name w:val="FollowedHyperlink"/>
    <w:basedOn w:val="DefaultParagraphFont"/>
    <w:uiPriority w:val="99"/>
    <w:semiHidden/>
    <w:unhideWhenUsed/>
    <w:rsid w:val="002D26E9"/>
    <w:rPr>
      <w:color w:val="954F72" w:themeColor="followedHyperlink"/>
      <w:u w:val="single"/>
    </w:rPr>
  </w:style>
  <w:style w:type="character" w:customStyle="1" w:styleId="A7">
    <w:name w:val="A7"/>
    <w:uiPriority w:val="99"/>
    <w:rsid w:val="008C266B"/>
    <w:rPr>
      <w:rFonts w:cs="ITC Garamond Std Book"/>
      <w:color w:val="000000"/>
      <w:sz w:val="22"/>
      <w:szCs w:val="22"/>
      <w:u w:val="single"/>
    </w:rPr>
  </w:style>
  <w:style w:type="paragraph" w:customStyle="1" w:styleId="Default">
    <w:name w:val="Default"/>
    <w:rsid w:val="00BD2142"/>
    <w:pPr>
      <w:autoSpaceDE w:val="0"/>
      <w:autoSpaceDN w:val="0"/>
      <w:adjustRightInd w:val="0"/>
      <w:spacing w:after="0" w:line="240" w:lineRule="auto"/>
    </w:pPr>
    <w:rPr>
      <w:rFonts w:ascii="ITC Garamond Std Book" w:hAnsi="ITC Garamond Std Book" w:cs="ITC Garamond Std Book"/>
      <w:color w:val="000000"/>
      <w:sz w:val="24"/>
      <w:szCs w:val="24"/>
    </w:rPr>
  </w:style>
  <w:style w:type="character" w:customStyle="1" w:styleId="A12">
    <w:name w:val="A12"/>
    <w:uiPriority w:val="99"/>
    <w:rsid w:val="00BD2142"/>
    <w:rPr>
      <w:rFonts w:ascii="ITC Zapf Dingbats Std" w:eastAsia="ITC Zapf Dingbats Std" w:cs="ITC Zapf Dingbats Std"/>
      <w:color w:val="000000"/>
      <w:sz w:val="12"/>
      <w:szCs w:val="12"/>
    </w:rPr>
  </w:style>
  <w:style w:type="character" w:customStyle="1" w:styleId="A14">
    <w:name w:val="A14"/>
    <w:uiPriority w:val="99"/>
    <w:rsid w:val="00F91819"/>
    <w:rPr>
      <w:rFonts w:cs="ITC Garamond Std Book"/>
      <w:color w:val="000000"/>
      <w:sz w:val="22"/>
      <w:szCs w:val="22"/>
    </w:rPr>
  </w:style>
  <w:style w:type="paragraph" w:styleId="Header">
    <w:name w:val="header"/>
    <w:basedOn w:val="Normal"/>
    <w:link w:val="HeaderChar"/>
    <w:uiPriority w:val="99"/>
    <w:unhideWhenUsed/>
    <w:rsid w:val="009A7918"/>
    <w:pPr>
      <w:tabs>
        <w:tab w:val="center" w:pos="4680"/>
        <w:tab w:val="right" w:pos="9360"/>
      </w:tabs>
      <w:spacing w:after="0" w:line="240" w:lineRule="auto"/>
    </w:pPr>
  </w:style>
  <w:style w:type="character" w:customStyle="1" w:styleId="HeaderChar">
    <w:name w:val="Header Char"/>
    <w:basedOn w:val="DefaultParagraphFont"/>
    <w:link w:val="Header"/>
    <w:uiPriority w:val="99"/>
    <w:rsid w:val="009A7918"/>
  </w:style>
  <w:style w:type="paragraph" w:styleId="Footer">
    <w:name w:val="footer"/>
    <w:basedOn w:val="Normal"/>
    <w:link w:val="FooterChar"/>
    <w:uiPriority w:val="99"/>
    <w:unhideWhenUsed/>
    <w:rsid w:val="009A7918"/>
    <w:pPr>
      <w:tabs>
        <w:tab w:val="center" w:pos="4680"/>
        <w:tab w:val="right" w:pos="9360"/>
      </w:tabs>
      <w:spacing w:after="0" w:line="240" w:lineRule="auto"/>
    </w:pPr>
  </w:style>
  <w:style w:type="character" w:customStyle="1" w:styleId="FooterChar">
    <w:name w:val="Footer Char"/>
    <w:basedOn w:val="DefaultParagraphFont"/>
    <w:link w:val="Footer"/>
    <w:uiPriority w:val="99"/>
    <w:rsid w:val="009A7918"/>
  </w:style>
  <w:style w:type="character" w:customStyle="1" w:styleId="Heading1Char">
    <w:name w:val="Heading 1 Char"/>
    <w:basedOn w:val="DefaultParagraphFont"/>
    <w:link w:val="Heading1"/>
    <w:uiPriority w:val="9"/>
    <w:rsid w:val="00784578"/>
    <w:rPr>
      <w:rFonts w:ascii="Microsoft PhagsPa" w:hAnsi="Microsoft PhagsPa"/>
      <w:color w:val="FFFFFF" w:themeColor="background1"/>
      <w:sz w:val="44"/>
      <w:szCs w:val="44"/>
    </w:rPr>
  </w:style>
  <w:style w:type="paragraph" w:styleId="IntenseQuote">
    <w:name w:val="Intense Quote"/>
    <w:basedOn w:val="Normal"/>
    <w:next w:val="Normal"/>
    <w:link w:val="IntenseQuoteChar"/>
    <w:uiPriority w:val="30"/>
    <w:qFormat/>
    <w:rsid w:val="009450CA"/>
    <w:pPr>
      <w:pBdr>
        <w:top w:val="single" w:sz="4" w:space="10" w:color="5B9BD5" w:themeColor="accent1"/>
        <w:bottom w:val="single" w:sz="4" w:space="10" w:color="5B9BD5" w:themeColor="accent1"/>
      </w:pBdr>
      <w:spacing w:before="360" w:after="360"/>
      <w:ind w:left="864" w:right="864"/>
      <w:jc w:val="center"/>
    </w:pPr>
    <w:rPr>
      <w:i/>
      <w:iCs/>
      <w:color w:val="5B9BD5" w:themeColor="accent1"/>
    </w:rPr>
  </w:style>
  <w:style w:type="character" w:customStyle="1" w:styleId="IntenseQuoteChar">
    <w:name w:val="Intense Quote Char"/>
    <w:basedOn w:val="DefaultParagraphFont"/>
    <w:link w:val="IntenseQuote"/>
    <w:uiPriority w:val="30"/>
    <w:rsid w:val="009450CA"/>
    <w:rPr>
      <w:i/>
      <w:iCs/>
      <w:color w:val="5B9BD5" w:themeColor="accent1"/>
    </w:rPr>
  </w:style>
  <w:style w:type="character" w:styleId="Strong">
    <w:name w:val="Strong"/>
    <w:basedOn w:val="DefaultParagraphFont"/>
    <w:uiPriority w:val="22"/>
    <w:qFormat/>
    <w:rsid w:val="00373909"/>
    <w:rPr>
      <w:b/>
      <w:bCs/>
    </w:rPr>
  </w:style>
  <w:style w:type="character" w:customStyle="1" w:styleId="Heading2Char">
    <w:name w:val="Heading 2 Char"/>
    <w:basedOn w:val="DefaultParagraphFont"/>
    <w:link w:val="Heading2"/>
    <w:uiPriority w:val="9"/>
    <w:rsid w:val="00DF08A2"/>
    <w:rPr>
      <w:rFonts w:ascii="Microsoft PhagsPa" w:eastAsiaTheme="majorEastAsia" w:hAnsi="Microsoft PhagsPa" w:cstheme="majorBidi"/>
      <w:b/>
      <w:bCs/>
      <w:color w:val="256169"/>
      <w:sz w:val="48"/>
      <w:szCs w:val="48"/>
    </w:rPr>
  </w:style>
  <w:style w:type="character" w:styleId="IntenseEmphasis">
    <w:name w:val="Intense Emphasis"/>
    <w:basedOn w:val="DefaultParagraphFont"/>
    <w:uiPriority w:val="21"/>
    <w:qFormat/>
    <w:rsid w:val="00D4117F"/>
    <w:rPr>
      <w:i/>
      <w:iCs/>
      <w:color w:val="5B9BD5" w:themeColor="accent1"/>
    </w:rPr>
  </w:style>
  <w:style w:type="character" w:styleId="Emphasis">
    <w:name w:val="Emphasis"/>
    <w:basedOn w:val="DefaultParagraphFont"/>
    <w:uiPriority w:val="20"/>
    <w:qFormat/>
    <w:rsid w:val="000C4126"/>
    <w:rPr>
      <w:i/>
      <w:iCs/>
    </w:rPr>
  </w:style>
  <w:style w:type="paragraph" w:styleId="FootnoteText">
    <w:name w:val="footnote text"/>
    <w:basedOn w:val="Normal"/>
    <w:link w:val="FootnoteTextChar"/>
    <w:uiPriority w:val="99"/>
    <w:semiHidden/>
    <w:unhideWhenUsed/>
    <w:rsid w:val="00277E5B"/>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277E5B"/>
    <w:rPr>
      <w:sz w:val="20"/>
      <w:szCs w:val="20"/>
    </w:rPr>
  </w:style>
  <w:style w:type="character" w:styleId="FootnoteReference">
    <w:name w:val="footnote reference"/>
    <w:basedOn w:val="DefaultParagraphFont"/>
    <w:uiPriority w:val="99"/>
    <w:semiHidden/>
    <w:unhideWhenUsed/>
    <w:rsid w:val="00277E5B"/>
    <w:rPr>
      <w:vertAlign w:val="superscript"/>
    </w:rPr>
  </w:style>
  <w:style w:type="paragraph" w:styleId="NoSpacing">
    <w:name w:val="No Spacing"/>
    <w:link w:val="NoSpacingChar"/>
    <w:uiPriority w:val="1"/>
    <w:qFormat/>
    <w:rsid w:val="00173EB9"/>
    <w:pPr>
      <w:spacing w:after="0" w:line="240" w:lineRule="auto"/>
    </w:pPr>
    <w:rPr>
      <w:rFonts w:eastAsiaTheme="minorEastAsia"/>
    </w:rPr>
  </w:style>
  <w:style w:type="character" w:customStyle="1" w:styleId="NoSpacingChar">
    <w:name w:val="No Spacing Char"/>
    <w:basedOn w:val="DefaultParagraphFont"/>
    <w:link w:val="NoSpacing"/>
    <w:uiPriority w:val="1"/>
    <w:rsid w:val="00173EB9"/>
    <w:rPr>
      <w:rFonts w:eastAsiaTheme="minorEastAsia"/>
    </w:rPr>
  </w:style>
  <w:style w:type="character" w:styleId="UnresolvedMention">
    <w:name w:val="Unresolved Mention"/>
    <w:basedOn w:val="DefaultParagraphFont"/>
    <w:uiPriority w:val="99"/>
    <w:semiHidden/>
    <w:unhideWhenUsed/>
    <w:rsid w:val="008548B7"/>
    <w:rPr>
      <w:color w:val="605E5C"/>
      <w:shd w:val="clear" w:color="auto" w:fill="E1DFDD"/>
    </w:rPr>
  </w:style>
  <w:style w:type="character" w:customStyle="1" w:styleId="Heading3Char">
    <w:name w:val="Heading 3 Char"/>
    <w:basedOn w:val="DefaultParagraphFont"/>
    <w:link w:val="Heading3"/>
    <w:uiPriority w:val="9"/>
    <w:rsid w:val="00763200"/>
    <w:rPr>
      <w:rFonts w:ascii="Microsoft PhagsPa" w:hAnsi="Microsoft PhagsPa"/>
      <w:sz w:val="32"/>
      <w:szCs w:val="32"/>
    </w:rPr>
  </w:style>
  <w:style w:type="character" w:customStyle="1" w:styleId="Heading4Char">
    <w:name w:val="Heading 4 Char"/>
    <w:basedOn w:val="DefaultParagraphFont"/>
    <w:link w:val="Heading4"/>
    <w:uiPriority w:val="9"/>
    <w:rsid w:val="00A343E0"/>
    <w:rPr>
      <w:rFonts w:ascii="Microsoft PhagsPa" w:eastAsiaTheme="majorEastAsia" w:hAnsi="Microsoft PhagsPa" w:cstheme="majorBidi"/>
      <w:sz w:val="28"/>
      <w:szCs w:val="28"/>
    </w:rPr>
  </w:style>
  <w:style w:type="character" w:customStyle="1" w:styleId="Heading5Char">
    <w:name w:val="Heading 5 Char"/>
    <w:basedOn w:val="DefaultParagraphFont"/>
    <w:link w:val="Heading5"/>
    <w:uiPriority w:val="9"/>
    <w:rsid w:val="00F6526D"/>
    <w:rPr>
      <w:rFonts w:ascii="Microsoft PhagsPa" w:eastAsiaTheme="majorEastAsia" w:hAnsi="Microsoft PhagsPa" w:cstheme="majorBidi"/>
      <w:b/>
      <w:bCs/>
      <w:i/>
      <w:i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03698985">
      <w:bodyDiv w:val="1"/>
      <w:marLeft w:val="0"/>
      <w:marRight w:val="0"/>
      <w:marTop w:val="0"/>
      <w:marBottom w:val="0"/>
      <w:divBdr>
        <w:top w:val="none" w:sz="0" w:space="0" w:color="auto"/>
        <w:left w:val="none" w:sz="0" w:space="0" w:color="auto"/>
        <w:bottom w:val="none" w:sz="0" w:space="0" w:color="auto"/>
        <w:right w:val="none" w:sz="0" w:space="0" w:color="auto"/>
      </w:divBdr>
      <w:divsChild>
        <w:div w:id="130288868">
          <w:marLeft w:val="0"/>
          <w:marRight w:val="0"/>
          <w:marTop w:val="0"/>
          <w:marBottom w:val="0"/>
          <w:divBdr>
            <w:top w:val="none" w:sz="0" w:space="0" w:color="auto"/>
            <w:left w:val="none" w:sz="0" w:space="0" w:color="auto"/>
            <w:bottom w:val="none" w:sz="0" w:space="0" w:color="auto"/>
            <w:right w:val="none" w:sz="0" w:space="0" w:color="auto"/>
          </w:divBdr>
          <w:divsChild>
            <w:div w:id="291054761">
              <w:marLeft w:val="0"/>
              <w:marRight w:val="0"/>
              <w:marTop w:val="0"/>
              <w:marBottom w:val="0"/>
              <w:divBdr>
                <w:top w:val="none" w:sz="0" w:space="0" w:color="auto"/>
                <w:left w:val="none" w:sz="0" w:space="0" w:color="auto"/>
                <w:bottom w:val="none" w:sz="0" w:space="0" w:color="auto"/>
                <w:right w:val="none" w:sz="0" w:space="0" w:color="auto"/>
              </w:divBdr>
              <w:divsChild>
                <w:div w:id="1095904743">
                  <w:marLeft w:val="0"/>
                  <w:marRight w:val="0"/>
                  <w:marTop w:val="0"/>
                  <w:marBottom w:val="0"/>
                  <w:divBdr>
                    <w:top w:val="none" w:sz="0" w:space="0" w:color="auto"/>
                    <w:left w:val="none" w:sz="0" w:space="0" w:color="auto"/>
                    <w:bottom w:val="none" w:sz="0" w:space="0" w:color="auto"/>
                    <w:right w:val="none" w:sz="0" w:space="0" w:color="auto"/>
                  </w:divBdr>
                  <w:divsChild>
                    <w:div w:id="171989604">
                      <w:marLeft w:val="0"/>
                      <w:marRight w:val="0"/>
                      <w:marTop w:val="0"/>
                      <w:marBottom w:val="0"/>
                      <w:divBdr>
                        <w:top w:val="none" w:sz="0" w:space="0" w:color="auto"/>
                        <w:left w:val="none" w:sz="0" w:space="0" w:color="auto"/>
                        <w:bottom w:val="none" w:sz="0" w:space="0" w:color="auto"/>
                        <w:right w:val="none" w:sz="0" w:space="0" w:color="auto"/>
                      </w:divBdr>
                      <w:divsChild>
                        <w:div w:id="212159180">
                          <w:marLeft w:val="0"/>
                          <w:marRight w:val="0"/>
                          <w:marTop w:val="0"/>
                          <w:marBottom w:val="0"/>
                          <w:divBdr>
                            <w:top w:val="none" w:sz="0" w:space="0" w:color="auto"/>
                            <w:left w:val="none" w:sz="0" w:space="0" w:color="auto"/>
                            <w:bottom w:val="none" w:sz="0" w:space="0" w:color="auto"/>
                            <w:right w:val="none" w:sz="0" w:space="0" w:color="auto"/>
                          </w:divBdr>
                          <w:divsChild>
                            <w:div w:id="12809224">
                              <w:marLeft w:val="0"/>
                              <w:marRight w:val="0"/>
                              <w:marTop w:val="0"/>
                              <w:marBottom w:val="0"/>
                              <w:divBdr>
                                <w:top w:val="none" w:sz="0" w:space="0" w:color="auto"/>
                                <w:left w:val="none" w:sz="0" w:space="0" w:color="auto"/>
                                <w:bottom w:val="none" w:sz="0" w:space="0" w:color="auto"/>
                                <w:right w:val="none" w:sz="0" w:space="0" w:color="auto"/>
                              </w:divBdr>
                              <w:divsChild>
                                <w:div w:id="1216351847">
                                  <w:marLeft w:val="0"/>
                                  <w:marRight w:val="0"/>
                                  <w:marTop w:val="0"/>
                                  <w:marBottom w:val="0"/>
                                  <w:divBdr>
                                    <w:top w:val="none" w:sz="0" w:space="0" w:color="auto"/>
                                    <w:left w:val="none" w:sz="0" w:space="0" w:color="auto"/>
                                    <w:bottom w:val="none" w:sz="0" w:space="0" w:color="auto"/>
                                    <w:right w:val="none" w:sz="0" w:space="0" w:color="auto"/>
                                  </w:divBdr>
                                  <w:divsChild>
                                    <w:div w:id="78212135">
                                      <w:marLeft w:val="0"/>
                                      <w:marRight w:val="0"/>
                                      <w:marTop w:val="0"/>
                                      <w:marBottom w:val="0"/>
                                      <w:divBdr>
                                        <w:top w:val="none" w:sz="0" w:space="0" w:color="auto"/>
                                        <w:left w:val="none" w:sz="0" w:space="0" w:color="auto"/>
                                        <w:bottom w:val="none" w:sz="0" w:space="0" w:color="auto"/>
                                        <w:right w:val="none" w:sz="0" w:space="0" w:color="auto"/>
                                      </w:divBdr>
                                      <w:divsChild>
                                        <w:div w:id="5020110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592472362">
      <w:bodyDiv w:val="1"/>
      <w:marLeft w:val="0"/>
      <w:marRight w:val="0"/>
      <w:marTop w:val="0"/>
      <w:marBottom w:val="0"/>
      <w:divBdr>
        <w:top w:val="none" w:sz="0" w:space="0" w:color="auto"/>
        <w:left w:val="none" w:sz="0" w:space="0" w:color="auto"/>
        <w:bottom w:val="none" w:sz="0" w:space="0" w:color="auto"/>
        <w:right w:val="none" w:sz="0" w:space="0" w:color="auto"/>
      </w:divBdr>
      <w:divsChild>
        <w:div w:id="2040465830">
          <w:marLeft w:val="0"/>
          <w:marRight w:val="0"/>
          <w:marTop w:val="0"/>
          <w:marBottom w:val="0"/>
          <w:divBdr>
            <w:top w:val="none" w:sz="0" w:space="0" w:color="auto"/>
            <w:left w:val="none" w:sz="0" w:space="0" w:color="auto"/>
            <w:bottom w:val="none" w:sz="0" w:space="0" w:color="auto"/>
            <w:right w:val="none" w:sz="0" w:space="0" w:color="auto"/>
          </w:divBdr>
          <w:divsChild>
            <w:div w:id="1486123239">
              <w:marLeft w:val="0"/>
              <w:marRight w:val="0"/>
              <w:marTop w:val="0"/>
              <w:marBottom w:val="0"/>
              <w:divBdr>
                <w:top w:val="none" w:sz="0" w:space="0" w:color="auto"/>
                <w:left w:val="none" w:sz="0" w:space="0" w:color="auto"/>
                <w:bottom w:val="none" w:sz="0" w:space="0" w:color="auto"/>
                <w:right w:val="none" w:sz="0" w:space="0" w:color="auto"/>
              </w:divBdr>
              <w:divsChild>
                <w:div w:id="2097825966">
                  <w:marLeft w:val="0"/>
                  <w:marRight w:val="0"/>
                  <w:marTop w:val="0"/>
                  <w:marBottom w:val="0"/>
                  <w:divBdr>
                    <w:top w:val="none" w:sz="0" w:space="0" w:color="auto"/>
                    <w:left w:val="none" w:sz="0" w:space="0" w:color="auto"/>
                    <w:bottom w:val="none" w:sz="0" w:space="0" w:color="auto"/>
                    <w:right w:val="none" w:sz="0" w:space="0" w:color="auto"/>
                  </w:divBdr>
                  <w:divsChild>
                    <w:div w:id="338775562">
                      <w:marLeft w:val="0"/>
                      <w:marRight w:val="0"/>
                      <w:marTop w:val="0"/>
                      <w:marBottom w:val="0"/>
                      <w:divBdr>
                        <w:top w:val="none" w:sz="0" w:space="0" w:color="auto"/>
                        <w:left w:val="none" w:sz="0" w:space="0" w:color="auto"/>
                        <w:bottom w:val="none" w:sz="0" w:space="0" w:color="auto"/>
                        <w:right w:val="none" w:sz="0" w:space="0" w:color="auto"/>
                      </w:divBdr>
                      <w:divsChild>
                        <w:div w:id="1482429288">
                          <w:marLeft w:val="0"/>
                          <w:marRight w:val="0"/>
                          <w:marTop w:val="0"/>
                          <w:marBottom w:val="0"/>
                          <w:divBdr>
                            <w:top w:val="none" w:sz="0" w:space="0" w:color="auto"/>
                            <w:left w:val="none" w:sz="0" w:space="0" w:color="auto"/>
                            <w:bottom w:val="none" w:sz="0" w:space="0" w:color="auto"/>
                            <w:right w:val="none" w:sz="0" w:space="0" w:color="auto"/>
                          </w:divBdr>
                          <w:divsChild>
                            <w:div w:id="358775165">
                              <w:marLeft w:val="0"/>
                              <w:marRight w:val="0"/>
                              <w:marTop w:val="0"/>
                              <w:marBottom w:val="0"/>
                              <w:divBdr>
                                <w:top w:val="none" w:sz="0" w:space="0" w:color="auto"/>
                                <w:left w:val="none" w:sz="0" w:space="0" w:color="auto"/>
                                <w:bottom w:val="none" w:sz="0" w:space="0" w:color="auto"/>
                                <w:right w:val="none" w:sz="0" w:space="0" w:color="auto"/>
                              </w:divBdr>
                              <w:divsChild>
                                <w:div w:id="1947617903">
                                  <w:marLeft w:val="0"/>
                                  <w:marRight w:val="0"/>
                                  <w:marTop w:val="0"/>
                                  <w:marBottom w:val="0"/>
                                  <w:divBdr>
                                    <w:top w:val="none" w:sz="0" w:space="0" w:color="auto"/>
                                    <w:left w:val="none" w:sz="0" w:space="0" w:color="auto"/>
                                    <w:bottom w:val="none" w:sz="0" w:space="0" w:color="auto"/>
                                    <w:right w:val="none" w:sz="0" w:space="0" w:color="auto"/>
                                  </w:divBdr>
                                  <w:divsChild>
                                    <w:div w:id="1250504927">
                                      <w:marLeft w:val="0"/>
                                      <w:marRight w:val="0"/>
                                      <w:marTop w:val="0"/>
                                      <w:marBottom w:val="0"/>
                                      <w:divBdr>
                                        <w:top w:val="none" w:sz="0" w:space="0" w:color="auto"/>
                                        <w:left w:val="none" w:sz="0" w:space="0" w:color="auto"/>
                                        <w:bottom w:val="none" w:sz="0" w:space="0" w:color="auto"/>
                                        <w:right w:val="none" w:sz="0" w:space="0" w:color="auto"/>
                                      </w:divBdr>
                                      <w:divsChild>
                                        <w:div w:id="6809349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04018109">
      <w:bodyDiv w:val="1"/>
      <w:marLeft w:val="0"/>
      <w:marRight w:val="0"/>
      <w:marTop w:val="0"/>
      <w:marBottom w:val="0"/>
      <w:divBdr>
        <w:top w:val="none" w:sz="0" w:space="0" w:color="auto"/>
        <w:left w:val="none" w:sz="0" w:space="0" w:color="auto"/>
        <w:bottom w:val="none" w:sz="0" w:space="0" w:color="auto"/>
        <w:right w:val="none" w:sz="0" w:space="0" w:color="auto"/>
      </w:divBdr>
    </w:div>
    <w:div w:id="1216118327">
      <w:bodyDiv w:val="1"/>
      <w:marLeft w:val="0"/>
      <w:marRight w:val="0"/>
      <w:marTop w:val="0"/>
      <w:marBottom w:val="0"/>
      <w:divBdr>
        <w:top w:val="none" w:sz="0" w:space="0" w:color="auto"/>
        <w:left w:val="none" w:sz="0" w:space="0" w:color="auto"/>
        <w:bottom w:val="none" w:sz="0" w:space="0" w:color="auto"/>
        <w:right w:val="none" w:sz="0" w:space="0" w:color="auto"/>
      </w:divBdr>
      <w:divsChild>
        <w:div w:id="1217736802">
          <w:marLeft w:val="0"/>
          <w:marRight w:val="0"/>
          <w:marTop w:val="0"/>
          <w:marBottom w:val="0"/>
          <w:divBdr>
            <w:top w:val="none" w:sz="0" w:space="0" w:color="auto"/>
            <w:left w:val="none" w:sz="0" w:space="0" w:color="auto"/>
            <w:bottom w:val="none" w:sz="0" w:space="0" w:color="auto"/>
            <w:right w:val="none" w:sz="0" w:space="0" w:color="auto"/>
          </w:divBdr>
          <w:divsChild>
            <w:div w:id="1610697441">
              <w:marLeft w:val="0"/>
              <w:marRight w:val="0"/>
              <w:marTop w:val="0"/>
              <w:marBottom w:val="0"/>
              <w:divBdr>
                <w:top w:val="none" w:sz="0" w:space="0" w:color="auto"/>
                <w:left w:val="none" w:sz="0" w:space="0" w:color="auto"/>
                <w:bottom w:val="none" w:sz="0" w:space="0" w:color="auto"/>
                <w:right w:val="none" w:sz="0" w:space="0" w:color="auto"/>
              </w:divBdr>
              <w:divsChild>
                <w:div w:id="294986663">
                  <w:marLeft w:val="0"/>
                  <w:marRight w:val="0"/>
                  <w:marTop w:val="0"/>
                  <w:marBottom w:val="150"/>
                  <w:divBdr>
                    <w:top w:val="none" w:sz="0" w:space="0" w:color="auto"/>
                    <w:left w:val="none" w:sz="0" w:space="0" w:color="auto"/>
                    <w:bottom w:val="single" w:sz="6" w:space="0" w:color="EBEBEB"/>
                    <w:right w:val="none" w:sz="0" w:space="0" w:color="auto"/>
                  </w:divBdr>
                  <w:divsChild>
                    <w:div w:id="1026099381">
                      <w:marLeft w:val="0"/>
                      <w:marRight w:val="0"/>
                      <w:marTop w:val="0"/>
                      <w:marBottom w:val="0"/>
                      <w:divBdr>
                        <w:top w:val="none" w:sz="0" w:space="0" w:color="auto"/>
                        <w:left w:val="none" w:sz="0" w:space="0" w:color="auto"/>
                        <w:bottom w:val="none" w:sz="0" w:space="0" w:color="auto"/>
                        <w:right w:val="none" w:sz="0" w:space="0" w:color="auto"/>
                      </w:divBdr>
                      <w:divsChild>
                        <w:div w:id="637347457">
                          <w:marLeft w:val="0"/>
                          <w:marRight w:val="0"/>
                          <w:marTop w:val="0"/>
                          <w:marBottom w:val="0"/>
                          <w:divBdr>
                            <w:top w:val="none" w:sz="0" w:space="0" w:color="auto"/>
                            <w:left w:val="none" w:sz="0" w:space="0" w:color="auto"/>
                            <w:bottom w:val="none" w:sz="0" w:space="0" w:color="auto"/>
                            <w:right w:val="none" w:sz="0" w:space="0" w:color="auto"/>
                          </w:divBdr>
                          <w:divsChild>
                            <w:div w:id="1655252992">
                              <w:marLeft w:val="0"/>
                              <w:marRight w:val="0"/>
                              <w:marTop w:val="0"/>
                              <w:marBottom w:val="0"/>
                              <w:divBdr>
                                <w:top w:val="none" w:sz="0" w:space="0" w:color="auto"/>
                                <w:left w:val="none" w:sz="0" w:space="0" w:color="auto"/>
                                <w:bottom w:val="none" w:sz="0" w:space="0" w:color="auto"/>
                                <w:right w:val="none" w:sz="0" w:space="0" w:color="auto"/>
                              </w:divBdr>
                              <w:divsChild>
                                <w:div w:id="671371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17202294">
      <w:bodyDiv w:val="1"/>
      <w:marLeft w:val="0"/>
      <w:marRight w:val="0"/>
      <w:marTop w:val="0"/>
      <w:marBottom w:val="0"/>
      <w:divBdr>
        <w:top w:val="none" w:sz="0" w:space="0" w:color="auto"/>
        <w:left w:val="none" w:sz="0" w:space="0" w:color="auto"/>
        <w:bottom w:val="none" w:sz="0" w:space="0" w:color="auto"/>
        <w:right w:val="none" w:sz="0" w:space="0" w:color="auto"/>
      </w:divBdr>
      <w:divsChild>
        <w:div w:id="1720545466">
          <w:marLeft w:val="0"/>
          <w:marRight w:val="0"/>
          <w:marTop w:val="0"/>
          <w:marBottom w:val="0"/>
          <w:divBdr>
            <w:top w:val="none" w:sz="0" w:space="0" w:color="auto"/>
            <w:left w:val="none" w:sz="0" w:space="0" w:color="auto"/>
            <w:bottom w:val="none" w:sz="0" w:space="0" w:color="auto"/>
            <w:right w:val="none" w:sz="0" w:space="0" w:color="auto"/>
          </w:divBdr>
          <w:divsChild>
            <w:div w:id="482351078">
              <w:marLeft w:val="0"/>
              <w:marRight w:val="0"/>
              <w:marTop w:val="0"/>
              <w:marBottom w:val="0"/>
              <w:divBdr>
                <w:top w:val="none" w:sz="0" w:space="0" w:color="auto"/>
                <w:left w:val="none" w:sz="0" w:space="0" w:color="auto"/>
                <w:bottom w:val="none" w:sz="0" w:space="0" w:color="auto"/>
                <w:right w:val="none" w:sz="0" w:space="0" w:color="auto"/>
              </w:divBdr>
              <w:divsChild>
                <w:div w:id="136916766">
                  <w:marLeft w:val="0"/>
                  <w:marRight w:val="0"/>
                  <w:marTop w:val="0"/>
                  <w:marBottom w:val="0"/>
                  <w:divBdr>
                    <w:top w:val="none" w:sz="0" w:space="0" w:color="auto"/>
                    <w:left w:val="none" w:sz="0" w:space="0" w:color="auto"/>
                    <w:bottom w:val="none" w:sz="0" w:space="0" w:color="auto"/>
                    <w:right w:val="none" w:sz="0" w:space="0" w:color="auto"/>
                  </w:divBdr>
                  <w:divsChild>
                    <w:div w:id="981884634">
                      <w:marLeft w:val="0"/>
                      <w:marRight w:val="0"/>
                      <w:marTop w:val="0"/>
                      <w:marBottom w:val="0"/>
                      <w:divBdr>
                        <w:top w:val="none" w:sz="0" w:space="0" w:color="auto"/>
                        <w:left w:val="none" w:sz="0" w:space="0" w:color="auto"/>
                        <w:bottom w:val="none" w:sz="0" w:space="0" w:color="auto"/>
                        <w:right w:val="none" w:sz="0" w:space="0" w:color="auto"/>
                      </w:divBdr>
                      <w:divsChild>
                        <w:div w:id="2072534714">
                          <w:marLeft w:val="0"/>
                          <w:marRight w:val="0"/>
                          <w:marTop w:val="0"/>
                          <w:marBottom w:val="0"/>
                          <w:divBdr>
                            <w:top w:val="none" w:sz="0" w:space="0" w:color="auto"/>
                            <w:left w:val="none" w:sz="0" w:space="0" w:color="auto"/>
                            <w:bottom w:val="none" w:sz="0" w:space="0" w:color="auto"/>
                            <w:right w:val="none" w:sz="0" w:space="0" w:color="auto"/>
                          </w:divBdr>
                          <w:divsChild>
                            <w:div w:id="101607124">
                              <w:marLeft w:val="0"/>
                              <w:marRight w:val="0"/>
                              <w:marTop w:val="0"/>
                              <w:marBottom w:val="0"/>
                              <w:divBdr>
                                <w:top w:val="none" w:sz="0" w:space="0" w:color="auto"/>
                                <w:left w:val="none" w:sz="0" w:space="0" w:color="auto"/>
                                <w:bottom w:val="none" w:sz="0" w:space="0" w:color="auto"/>
                                <w:right w:val="none" w:sz="0" w:space="0" w:color="auto"/>
                              </w:divBdr>
                              <w:divsChild>
                                <w:div w:id="1435594533">
                                  <w:marLeft w:val="0"/>
                                  <w:marRight w:val="0"/>
                                  <w:marTop w:val="0"/>
                                  <w:marBottom w:val="0"/>
                                  <w:divBdr>
                                    <w:top w:val="none" w:sz="0" w:space="0" w:color="auto"/>
                                    <w:left w:val="none" w:sz="0" w:space="0" w:color="auto"/>
                                    <w:bottom w:val="none" w:sz="0" w:space="0" w:color="auto"/>
                                    <w:right w:val="none" w:sz="0" w:space="0" w:color="auto"/>
                                  </w:divBdr>
                                  <w:divsChild>
                                    <w:div w:id="2099401719">
                                      <w:marLeft w:val="0"/>
                                      <w:marRight w:val="0"/>
                                      <w:marTop w:val="0"/>
                                      <w:marBottom w:val="480"/>
                                      <w:divBdr>
                                        <w:top w:val="none" w:sz="0" w:space="0" w:color="auto"/>
                                        <w:left w:val="none" w:sz="0" w:space="0" w:color="auto"/>
                                        <w:bottom w:val="none" w:sz="0" w:space="0" w:color="auto"/>
                                        <w:right w:val="none" w:sz="0" w:space="0" w:color="auto"/>
                                      </w:divBdr>
                                      <w:divsChild>
                                        <w:div w:id="1459761272">
                                          <w:marLeft w:val="0"/>
                                          <w:marRight w:val="0"/>
                                          <w:marTop w:val="0"/>
                                          <w:marBottom w:val="0"/>
                                          <w:divBdr>
                                            <w:top w:val="none" w:sz="0" w:space="0" w:color="auto"/>
                                            <w:left w:val="none" w:sz="0" w:space="0" w:color="auto"/>
                                            <w:bottom w:val="none" w:sz="0" w:space="0" w:color="auto"/>
                                            <w:right w:val="none" w:sz="0" w:space="0" w:color="auto"/>
                                          </w:divBdr>
                                          <w:divsChild>
                                            <w:div w:id="1974559526">
                                              <w:marLeft w:val="0"/>
                                              <w:marRight w:val="0"/>
                                              <w:marTop w:val="0"/>
                                              <w:marBottom w:val="0"/>
                                              <w:divBdr>
                                                <w:top w:val="none" w:sz="0" w:space="0" w:color="auto"/>
                                                <w:left w:val="none" w:sz="0" w:space="0" w:color="auto"/>
                                                <w:bottom w:val="none" w:sz="0" w:space="0" w:color="auto"/>
                                                <w:right w:val="none" w:sz="0" w:space="0" w:color="auto"/>
                                              </w:divBdr>
                                              <w:divsChild>
                                                <w:div w:id="1745685681">
                                                  <w:marLeft w:val="0"/>
                                                  <w:marRight w:val="0"/>
                                                  <w:marTop w:val="0"/>
                                                  <w:marBottom w:val="0"/>
                                                  <w:divBdr>
                                                    <w:top w:val="none" w:sz="0" w:space="0" w:color="auto"/>
                                                    <w:left w:val="none" w:sz="0" w:space="0" w:color="auto"/>
                                                    <w:bottom w:val="none" w:sz="0" w:space="0" w:color="auto"/>
                                                    <w:right w:val="none" w:sz="0" w:space="0" w:color="auto"/>
                                                  </w:divBdr>
                                                  <w:divsChild>
                                                    <w:div w:id="1931573579">
                                                      <w:marLeft w:val="0"/>
                                                      <w:marRight w:val="0"/>
                                                      <w:marTop w:val="0"/>
                                                      <w:marBottom w:val="0"/>
                                                      <w:divBdr>
                                                        <w:top w:val="none" w:sz="0" w:space="0" w:color="auto"/>
                                                        <w:left w:val="none" w:sz="0" w:space="0" w:color="auto"/>
                                                        <w:bottom w:val="none" w:sz="0" w:space="0" w:color="auto"/>
                                                        <w:right w:val="none" w:sz="0" w:space="0" w:color="auto"/>
                                                      </w:divBdr>
                                                      <w:divsChild>
                                                        <w:div w:id="886112976">
                                                          <w:marLeft w:val="150"/>
                                                          <w:marRight w:val="15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547638829">
      <w:bodyDiv w:val="1"/>
      <w:marLeft w:val="0"/>
      <w:marRight w:val="0"/>
      <w:marTop w:val="0"/>
      <w:marBottom w:val="0"/>
      <w:divBdr>
        <w:top w:val="none" w:sz="0" w:space="0" w:color="auto"/>
        <w:left w:val="none" w:sz="0" w:space="0" w:color="auto"/>
        <w:bottom w:val="none" w:sz="0" w:space="0" w:color="auto"/>
        <w:right w:val="none" w:sz="0" w:space="0" w:color="auto"/>
      </w:divBdr>
      <w:divsChild>
        <w:div w:id="1646739940">
          <w:marLeft w:val="0"/>
          <w:marRight w:val="0"/>
          <w:marTop w:val="0"/>
          <w:marBottom w:val="0"/>
          <w:divBdr>
            <w:top w:val="none" w:sz="0" w:space="0" w:color="auto"/>
            <w:left w:val="none" w:sz="0" w:space="0" w:color="auto"/>
            <w:bottom w:val="none" w:sz="0" w:space="0" w:color="auto"/>
            <w:right w:val="none" w:sz="0" w:space="0" w:color="auto"/>
          </w:divBdr>
          <w:divsChild>
            <w:div w:id="965739963">
              <w:marLeft w:val="0"/>
              <w:marRight w:val="0"/>
              <w:marTop w:val="0"/>
              <w:marBottom w:val="0"/>
              <w:divBdr>
                <w:top w:val="none" w:sz="0" w:space="0" w:color="auto"/>
                <w:left w:val="none" w:sz="0" w:space="0" w:color="auto"/>
                <w:bottom w:val="none" w:sz="0" w:space="0" w:color="auto"/>
                <w:right w:val="none" w:sz="0" w:space="0" w:color="auto"/>
              </w:divBdr>
              <w:divsChild>
                <w:div w:id="894660327">
                  <w:marLeft w:val="0"/>
                  <w:marRight w:val="0"/>
                  <w:marTop w:val="0"/>
                  <w:marBottom w:val="0"/>
                  <w:divBdr>
                    <w:top w:val="none" w:sz="0" w:space="0" w:color="auto"/>
                    <w:left w:val="none" w:sz="0" w:space="0" w:color="auto"/>
                    <w:bottom w:val="none" w:sz="0" w:space="0" w:color="auto"/>
                    <w:right w:val="none" w:sz="0" w:space="0" w:color="auto"/>
                  </w:divBdr>
                  <w:divsChild>
                    <w:div w:id="1699231232">
                      <w:marLeft w:val="0"/>
                      <w:marRight w:val="0"/>
                      <w:marTop w:val="0"/>
                      <w:marBottom w:val="0"/>
                      <w:divBdr>
                        <w:top w:val="none" w:sz="0" w:space="0" w:color="auto"/>
                        <w:left w:val="none" w:sz="0" w:space="0" w:color="auto"/>
                        <w:bottom w:val="none" w:sz="0" w:space="0" w:color="auto"/>
                        <w:right w:val="none" w:sz="0" w:space="0" w:color="auto"/>
                      </w:divBdr>
                      <w:divsChild>
                        <w:div w:id="826365730">
                          <w:marLeft w:val="0"/>
                          <w:marRight w:val="0"/>
                          <w:marTop w:val="0"/>
                          <w:marBottom w:val="0"/>
                          <w:divBdr>
                            <w:top w:val="none" w:sz="0" w:space="0" w:color="auto"/>
                            <w:left w:val="none" w:sz="0" w:space="0" w:color="auto"/>
                            <w:bottom w:val="none" w:sz="0" w:space="0" w:color="auto"/>
                            <w:right w:val="none" w:sz="0" w:space="0" w:color="auto"/>
                          </w:divBdr>
                          <w:divsChild>
                            <w:div w:id="126701254">
                              <w:marLeft w:val="0"/>
                              <w:marRight w:val="0"/>
                              <w:marTop w:val="0"/>
                              <w:marBottom w:val="0"/>
                              <w:divBdr>
                                <w:top w:val="none" w:sz="0" w:space="0" w:color="auto"/>
                                <w:left w:val="none" w:sz="0" w:space="0" w:color="auto"/>
                                <w:bottom w:val="none" w:sz="0" w:space="0" w:color="auto"/>
                                <w:right w:val="none" w:sz="0" w:space="0" w:color="auto"/>
                              </w:divBdr>
                              <w:divsChild>
                                <w:div w:id="1303578067">
                                  <w:marLeft w:val="0"/>
                                  <w:marRight w:val="0"/>
                                  <w:marTop w:val="0"/>
                                  <w:marBottom w:val="0"/>
                                  <w:divBdr>
                                    <w:top w:val="none" w:sz="0" w:space="0" w:color="auto"/>
                                    <w:left w:val="none" w:sz="0" w:space="0" w:color="auto"/>
                                    <w:bottom w:val="none" w:sz="0" w:space="0" w:color="auto"/>
                                    <w:right w:val="none" w:sz="0" w:space="0" w:color="auto"/>
                                  </w:divBdr>
                                  <w:divsChild>
                                    <w:div w:id="143738300">
                                      <w:marLeft w:val="0"/>
                                      <w:marRight w:val="0"/>
                                      <w:marTop w:val="0"/>
                                      <w:marBottom w:val="480"/>
                                      <w:divBdr>
                                        <w:top w:val="none" w:sz="0" w:space="0" w:color="auto"/>
                                        <w:left w:val="none" w:sz="0" w:space="0" w:color="auto"/>
                                        <w:bottom w:val="none" w:sz="0" w:space="0" w:color="auto"/>
                                        <w:right w:val="none" w:sz="0" w:space="0" w:color="auto"/>
                                      </w:divBdr>
                                      <w:divsChild>
                                        <w:div w:id="479470341">
                                          <w:marLeft w:val="0"/>
                                          <w:marRight w:val="0"/>
                                          <w:marTop w:val="0"/>
                                          <w:marBottom w:val="0"/>
                                          <w:divBdr>
                                            <w:top w:val="none" w:sz="0" w:space="0" w:color="auto"/>
                                            <w:left w:val="none" w:sz="0" w:space="0" w:color="auto"/>
                                            <w:bottom w:val="none" w:sz="0" w:space="0" w:color="auto"/>
                                            <w:right w:val="none" w:sz="0" w:space="0" w:color="auto"/>
                                          </w:divBdr>
                                          <w:divsChild>
                                            <w:div w:id="1436438324">
                                              <w:marLeft w:val="0"/>
                                              <w:marRight w:val="0"/>
                                              <w:marTop w:val="0"/>
                                              <w:marBottom w:val="0"/>
                                              <w:divBdr>
                                                <w:top w:val="none" w:sz="0" w:space="0" w:color="auto"/>
                                                <w:left w:val="none" w:sz="0" w:space="0" w:color="auto"/>
                                                <w:bottom w:val="none" w:sz="0" w:space="0" w:color="auto"/>
                                                <w:right w:val="none" w:sz="0" w:space="0" w:color="auto"/>
                                              </w:divBdr>
                                              <w:divsChild>
                                                <w:div w:id="1593197108">
                                                  <w:marLeft w:val="0"/>
                                                  <w:marRight w:val="0"/>
                                                  <w:marTop w:val="0"/>
                                                  <w:marBottom w:val="0"/>
                                                  <w:divBdr>
                                                    <w:top w:val="none" w:sz="0" w:space="0" w:color="auto"/>
                                                    <w:left w:val="none" w:sz="0" w:space="0" w:color="auto"/>
                                                    <w:bottom w:val="none" w:sz="0" w:space="0" w:color="auto"/>
                                                    <w:right w:val="none" w:sz="0" w:space="0" w:color="auto"/>
                                                  </w:divBdr>
                                                  <w:divsChild>
                                                    <w:div w:id="1414741873">
                                                      <w:marLeft w:val="0"/>
                                                      <w:marRight w:val="0"/>
                                                      <w:marTop w:val="0"/>
                                                      <w:marBottom w:val="0"/>
                                                      <w:divBdr>
                                                        <w:top w:val="none" w:sz="0" w:space="0" w:color="auto"/>
                                                        <w:left w:val="none" w:sz="0" w:space="0" w:color="auto"/>
                                                        <w:bottom w:val="none" w:sz="0" w:space="0" w:color="auto"/>
                                                        <w:right w:val="none" w:sz="0" w:space="0" w:color="auto"/>
                                                      </w:divBdr>
                                                      <w:divsChild>
                                                        <w:div w:id="1206524275">
                                                          <w:marLeft w:val="150"/>
                                                          <w:marRight w:val="15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875270002">
      <w:bodyDiv w:val="1"/>
      <w:marLeft w:val="0"/>
      <w:marRight w:val="0"/>
      <w:marTop w:val="0"/>
      <w:marBottom w:val="0"/>
      <w:divBdr>
        <w:top w:val="none" w:sz="0" w:space="0" w:color="auto"/>
        <w:left w:val="none" w:sz="0" w:space="0" w:color="auto"/>
        <w:bottom w:val="none" w:sz="0" w:space="0" w:color="auto"/>
        <w:right w:val="none" w:sz="0" w:space="0" w:color="auto"/>
      </w:divBdr>
    </w:div>
    <w:div w:id="1934164588">
      <w:bodyDiv w:val="1"/>
      <w:marLeft w:val="0"/>
      <w:marRight w:val="0"/>
      <w:marTop w:val="0"/>
      <w:marBottom w:val="0"/>
      <w:divBdr>
        <w:top w:val="none" w:sz="0" w:space="0" w:color="auto"/>
        <w:left w:val="none" w:sz="0" w:space="0" w:color="auto"/>
        <w:bottom w:val="none" w:sz="0" w:space="0" w:color="auto"/>
        <w:right w:val="none" w:sz="0" w:space="0" w:color="auto"/>
      </w:divBdr>
      <w:divsChild>
        <w:div w:id="79495418">
          <w:marLeft w:val="0"/>
          <w:marRight w:val="0"/>
          <w:marTop w:val="0"/>
          <w:marBottom w:val="0"/>
          <w:divBdr>
            <w:top w:val="none" w:sz="0" w:space="0" w:color="auto"/>
            <w:left w:val="none" w:sz="0" w:space="0" w:color="auto"/>
            <w:bottom w:val="none" w:sz="0" w:space="0" w:color="auto"/>
            <w:right w:val="none" w:sz="0" w:space="0" w:color="auto"/>
          </w:divBdr>
          <w:divsChild>
            <w:div w:id="188180968">
              <w:marLeft w:val="0"/>
              <w:marRight w:val="0"/>
              <w:marTop w:val="0"/>
              <w:marBottom w:val="0"/>
              <w:divBdr>
                <w:top w:val="none" w:sz="0" w:space="0" w:color="auto"/>
                <w:left w:val="none" w:sz="0" w:space="0" w:color="auto"/>
                <w:bottom w:val="none" w:sz="0" w:space="0" w:color="auto"/>
                <w:right w:val="none" w:sz="0" w:space="0" w:color="auto"/>
              </w:divBdr>
              <w:divsChild>
                <w:div w:id="1210917894">
                  <w:marLeft w:val="0"/>
                  <w:marRight w:val="0"/>
                  <w:marTop w:val="0"/>
                  <w:marBottom w:val="150"/>
                  <w:divBdr>
                    <w:top w:val="none" w:sz="0" w:space="0" w:color="auto"/>
                    <w:left w:val="none" w:sz="0" w:space="0" w:color="auto"/>
                    <w:bottom w:val="single" w:sz="6" w:space="0" w:color="EBEBEB"/>
                    <w:right w:val="none" w:sz="0" w:space="0" w:color="auto"/>
                  </w:divBdr>
                  <w:divsChild>
                    <w:div w:id="2019499429">
                      <w:marLeft w:val="0"/>
                      <w:marRight w:val="0"/>
                      <w:marTop w:val="0"/>
                      <w:marBottom w:val="0"/>
                      <w:divBdr>
                        <w:top w:val="none" w:sz="0" w:space="0" w:color="auto"/>
                        <w:left w:val="none" w:sz="0" w:space="0" w:color="auto"/>
                        <w:bottom w:val="none" w:sz="0" w:space="0" w:color="auto"/>
                        <w:right w:val="none" w:sz="0" w:space="0" w:color="auto"/>
                      </w:divBdr>
                      <w:divsChild>
                        <w:div w:id="1332414885">
                          <w:marLeft w:val="0"/>
                          <w:marRight w:val="0"/>
                          <w:marTop w:val="0"/>
                          <w:marBottom w:val="0"/>
                          <w:divBdr>
                            <w:top w:val="none" w:sz="0" w:space="0" w:color="auto"/>
                            <w:left w:val="none" w:sz="0" w:space="0" w:color="auto"/>
                            <w:bottom w:val="none" w:sz="0" w:space="0" w:color="auto"/>
                            <w:right w:val="none" w:sz="0" w:space="0" w:color="auto"/>
                          </w:divBdr>
                          <w:divsChild>
                            <w:div w:id="1905330569">
                              <w:marLeft w:val="0"/>
                              <w:marRight w:val="0"/>
                              <w:marTop w:val="0"/>
                              <w:marBottom w:val="0"/>
                              <w:divBdr>
                                <w:top w:val="none" w:sz="0" w:space="0" w:color="auto"/>
                                <w:left w:val="none" w:sz="0" w:space="0" w:color="auto"/>
                                <w:bottom w:val="none" w:sz="0" w:space="0" w:color="auto"/>
                                <w:right w:val="none" w:sz="0" w:space="0" w:color="auto"/>
                              </w:divBdr>
                              <w:divsChild>
                                <w:div w:id="840318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cdc.gov/std/program/outbreakresources/outbreak-response-plan-guide.pdf" TargetMode="External"/><Relationship Id="rId18" Type="http://schemas.openxmlformats.org/officeDocument/2006/relationships/hyperlink" Target="https://www.cdc.gov/std/program/outbreakresources/outbreak-response-plan-guide.pdf" TargetMode="External"/><Relationship Id="rId26" Type="http://schemas.openxmlformats.org/officeDocument/2006/relationships/hyperlink" Target="https://www.cdc.gov/std/treatment/default.htm" TargetMode="External"/><Relationship Id="rId39" Type="http://schemas.openxmlformats.org/officeDocument/2006/relationships/footer" Target="footer3.xml"/><Relationship Id="rId21" Type="http://schemas.openxmlformats.org/officeDocument/2006/relationships/hyperlink" Target="https://www.cdc.gov/std/program/outbreakresources/outbreak-response-plan-guide.pdf" TargetMode="External"/><Relationship Id="rId34" Type="http://schemas.openxmlformats.org/officeDocument/2006/relationships/header" Target="header1.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nnptc.org/" TargetMode="External"/><Relationship Id="rId20" Type="http://schemas.openxmlformats.org/officeDocument/2006/relationships/hyperlink" Target="https://www.cdc.gov/std/program/outbreakresources/outbreak-response-plan-guide.pdf" TargetMode="External"/><Relationship Id="rId29" Type="http://schemas.openxmlformats.org/officeDocument/2006/relationships/hyperlink" Target="https://www.cdc.gov/std/gonorrhea/arg/basic.htm" TargetMode="External"/><Relationship Id="rId41"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cdc.gov/std/program/outbreakresources/outbreak-response-plan-guide.pdf" TargetMode="External"/><Relationship Id="rId24" Type="http://schemas.openxmlformats.org/officeDocument/2006/relationships/hyperlink" Target="https://www.cdc.gov/std/program/outbreakresources/outbreak-response-plan-guide.pdf" TargetMode="External"/><Relationship Id="rId32" Type="http://schemas.openxmlformats.org/officeDocument/2006/relationships/hyperlink" Target="https://en.wikipedia.org/wiki/Microorganism" TargetMode="External"/><Relationship Id="rId37" Type="http://schemas.openxmlformats.org/officeDocument/2006/relationships/footer" Target="footer2.xml"/><Relationship Id="rId40"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www.cdc.gov/std/program/outbreakresources/outbreak-response-plan-guide.pdf" TargetMode="External"/><Relationship Id="rId23" Type="http://schemas.openxmlformats.org/officeDocument/2006/relationships/hyperlink" Target="https://www.cdc.gov/std/program/outbreakresources/outbreak-response-plan-guide.pdf" TargetMode="External"/><Relationship Id="rId28" Type="http://schemas.openxmlformats.org/officeDocument/2006/relationships/hyperlink" Target="https://www.cdc.gov/std/gonorrhea/arg/basic.htm" TargetMode="External"/><Relationship Id="rId36" Type="http://schemas.openxmlformats.org/officeDocument/2006/relationships/footer" Target="footer1.xml"/><Relationship Id="rId10" Type="http://schemas.openxmlformats.org/officeDocument/2006/relationships/hyperlink" Target="https://www.cdc.gov/std/program/outbreakresources/outbreak-response-plan-guide.pdf" TargetMode="External"/><Relationship Id="rId19" Type="http://schemas.openxmlformats.org/officeDocument/2006/relationships/hyperlink" Target="https://www.cdc.gov/std/program/outbreakresources/outbreak-response-plan-guide.pdf" TargetMode="External"/><Relationship Id="rId31" Type="http://schemas.openxmlformats.org/officeDocument/2006/relationships/hyperlink" Target="https://en.wikipedia.org/wiki/Antimicrobial_resistance" TargetMode="External"/><Relationship Id="rId4" Type="http://schemas.openxmlformats.org/officeDocument/2006/relationships/settings" Target="settings.xml"/><Relationship Id="rId9" Type="http://schemas.openxmlformats.org/officeDocument/2006/relationships/hyperlink" Target="https://www.cdc.gov/std/treatment/Ceph-R-ResponsePlanJuly30-2012.pdf" TargetMode="External"/><Relationship Id="rId14" Type="http://schemas.openxmlformats.org/officeDocument/2006/relationships/hyperlink" Target="https://www.cdc.gov/std/program/outbreakresources/HANtemplate-gono.htm" TargetMode="External"/><Relationship Id="rId22" Type="http://schemas.openxmlformats.org/officeDocument/2006/relationships/hyperlink" Target="https://www.cdc.gov/std/program/outbreakresources/outbreak-response-plan-guide.pdf" TargetMode="External"/><Relationship Id="rId27" Type="http://schemas.openxmlformats.org/officeDocument/2006/relationships/hyperlink" Target="http://www.nnptc.org" TargetMode="External"/><Relationship Id="rId30" Type="http://schemas.openxmlformats.org/officeDocument/2006/relationships/hyperlink" Target="https://www.cdc.gov/std/program/outbreakresources/outbreak-response-plan-guide.pdf" TargetMode="External"/><Relationship Id="rId35" Type="http://schemas.openxmlformats.org/officeDocument/2006/relationships/header" Target="header2.xml"/><Relationship Id="rId8" Type="http://schemas.openxmlformats.org/officeDocument/2006/relationships/hyperlink" Target="https://www.cdc.gov/std/program/outbreakresources/outbreak-response-plan-guide.pdf" TargetMode="External"/><Relationship Id="rId3" Type="http://schemas.openxmlformats.org/officeDocument/2006/relationships/styles" Target="styles.xml"/><Relationship Id="rId12" Type="http://schemas.openxmlformats.org/officeDocument/2006/relationships/hyperlink" Target="https://www.cdc.gov/std/program/outbreakresources/outbreak-response-plan-guide.pdf" TargetMode="External"/><Relationship Id="rId17" Type="http://schemas.openxmlformats.org/officeDocument/2006/relationships/hyperlink" Target="https://www.cdc.gov/std/program/outbreakresources/outbreak-response-plan-guide.pdf" TargetMode="External"/><Relationship Id="rId25" Type="http://schemas.openxmlformats.org/officeDocument/2006/relationships/hyperlink" Target="https://www.cdc.gov/std/program/outbreakresources/outbreak-response-plan-guide.pdf" TargetMode="External"/><Relationship Id="rId33" Type="http://schemas.openxmlformats.org/officeDocument/2006/relationships/hyperlink" Target="https://en.wikipedia.org/wiki/Antimicrobial" TargetMode="External"/><Relationship Id="rId38" Type="http://schemas.openxmlformats.org/officeDocument/2006/relationships/header" Target="header3.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427C9AB-1DE1-41F8-9E77-0D9B23E9DD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TotalTime>
  <Pages>21</Pages>
  <Words>7132</Words>
  <Characters>40657</Characters>
  <Application>Microsoft Office Word</Application>
  <DocSecurity>0</DocSecurity>
  <Lines>338</Lines>
  <Paragraphs>95</Paragraphs>
  <ScaleCrop>false</ScaleCrop>
  <HeadingPairs>
    <vt:vector size="2" baseType="variant">
      <vt:variant>
        <vt:lpstr>Title</vt:lpstr>
      </vt:variant>
      <vt:variant>
        <vt:i4>1</vt:i4>
      </vt:variant>
    </vt:vector>
  </HeadingPairs>
  <TitlesOfParts>
    <vt:vector size="1" baseType="lpstr">
      <vt:lpstr>Ceftriaxone-REsistant Gonorrhea Outbreak response plaN Guide</vt:lpstr>
    </vt:vector>
  </TitlesOfParts>
  <Company>Centers for Disease Control and PreventioN</Company>
  <LinksUpToDate>false</LinksUpToDate>
  <CharactersWithSpaces>47694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Ceftriaxone-REsistant Gonorrhea Outbreak response plaN Guide</dc:title>
  <dc:subject/>
  <dc:creator>DIVISION OF SEXUALLY TRANSMITTED DISEASES</dc:creator>
  <cp:keywords/>
  <dc:description/>
  <cp:lastModifiedBy>Herald, Amber (CDC/DDID/NCHHSTP/DSTDP)</cp:lastModifiedBy>
  <cp:revision>6</cp:revision>
  <cp:lastPrinted>2019-03-08T19:58:00Z</cp:lastPrinted>
  <dcterms:created xsi:type="dcterms:W3CDTF">2021-05-06T14:34:00Z</dcterms:created>
  <dcterms:modified xsi:type="dcterms:W3CDTF">2021-05-20T18:38:00Z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b94a7b8-f06c-4dfe-bdcc-9b548fd58c31_Enabled">
    <vt:lpwstr>true</vt:lpwstr>
  </property>
  <property fmtid="{D5CDD505-2E9C-101B-9397-08002B2CF9AE}" pid="3" name="MSIP_Label_7b94a7b8-f06c-4dfe-bdcc-9b548fd58c31_SetDate">
    <vt:lpwstr>2020-11-05T14:54:48Z</vt:lpwstr>
  </property>
  <property fmtid="{D5CDD505-2E9C-101B-9397-08002B2CF9AE}" pid="4" name="MSIP_Label_7b94a7b8-f06c-4dfe-bdcc-9b548fd58c31_Method">
    <vt:lpwstr>Privileged</vt:lpwstr>
  </property>
  <property fmtid="{D5CDD505-2E9C-101B-9397-08002B2CF9AE}" pid="5" name="MSIP_Label_7b94a7b8-f06c-4dfe-bdcc-9b548fd58c31_Name">
    <vt:lpwstr>7b94a7b8-f06c-4dfe-bdcc-9b548fd58c31</vt:lpwstr>
  </property>
  <property fmtid="{D5CDD505-2E9C-101B-9397-08002B2CF9AE}" pid="6" name="MSIP_Label_7b94a7b8-f06c-4dfe-bdcc-9b548fd58c31_SiteId">
    <vt:lpwstr>9ce70869-60db-44fd-abe8-d2767077fc8f</vt:lpwstr>
  </property>
  <property fmtid="{D5CDD505-2E9C-101B-9397-08002B2CF9AE}" pid="7" name="MSIP_Label_7b94a7b8-f06c-4dfe-bdcc-9b548fd58c31_ActionId">
    <vt:lpwstr>de06991d-8adb-4814-b427-50e4b9c2ce53</vt:lpwstr>
  </property>
  <property fmtid="{D5CDD505-2E9C-101B-9397-08002B2CF9AE}" pid="8" name="MSIP_Label_7b94a7b8-f06c-4dfe-bdcc-9b548fd58c31_ContentBits">
    <vt:lpwstr>0</vt:lpwstr>
  </property>
</Properties>
</file>