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A62D" w14:textId="3762BC23" w:rsidR="00F41F0B" w:rsidRDefault="00E66B26" w:rsidP="00CD5E80">
      <w:pPr>
        <w:jc w:val="center"/>
        <w:rPr>
          <w:noProof/>
        </w:rPr>
      </w:pPr>
      <w:r>
        <w:rPr>
          <w:noProof/>
        </w:rPr>
        <w:drawing>
          <wp:anchor distT="0" distB="0" distL="114300" distR="114300" simplePos="0" relativeHeight="251658240" behindDoc="1" locked="0" layoutInCell="1" allowOverlap="1" wp14:anchorId="6D0EB6A0" wp14:editId="61D86873">
            <wp:simplePos x="0" y="0"/>
            <wp:positionH relativeFrom="margin">
              <wp:align>center</wp:align>
            </wp:positionH>
            <wp:positionV relativeFrom="paragraph">
              <wp:posOffset>-221442</wp:posOffset>
            </wp:positionV>
            <wp:extent cx="7089569" cy="1473241"/>
            <wp:effectExtent l="0" t="0" r="0" b="0"/>
            <wp:wrapNone/>
            <wp:docPr id="2" name="Picture 2"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9569" cy="14732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2D590" w14:textId="36B2933E" w:rsidR="00F41F0B" w:rsidRDefault="00F41F0B" w:rsidP="00CD5E80">
      <w:pPr>
        <w:jc w:val="center"/>
        <w:rPr>
          <w:noProof/>
        </w:rPr>
      </w:pPr>
    </w:p>
    <w:p w14:paraId="4790F5BA" w14:textId="2CA3AB49" w:rsidR="00F41F0B" w:rsidRDefault="00F41F0B" w:rsidP="00CD5E80">
      <w:pPr>
        <w:jc w:val="center"/>
        <w:rPr>
          <w:noProof/>
        </w:rPr>
      </w:pPr>
    </w:p>
    <w:p w14:paraId="0584FA85" w14:textId="2C15D822" w:rsidR="00F41F0B" w:rsidRDefault="00F41F0B" w:rsidP="00CD5E80">
      <w:pPr>
        <w:jc w:val="center"/>
        <w:rPr>
          <w:noProof/>
        </w:rPr>
      </w:pPr>
    </w:p>
    <w:p w14:paraId="2D78CBCD" w14:textId="68B9B507" w:rsidR="00CD5E80" w:rsidRPr="00CD5E80" w:rsidRDefault="00CD5E80" w:rsidP="00CD5E80">
      <w:pPr>
        <w:jc w:val="center"/>
        <w:rPr>
          <w:b/>
          <w:sz w:val="44"/>
          <w:szCs w:val="32"/>
        </w:rPr>
      </w:pPr>
    </w:p>
    <w:p w14:paraId="17AD55F8" w14:textId="1024BDF5" w:rsidR="00B203C8" w:rsidRDefault="00B203C8" w:rsidP="00986422">
      <w:pPr>
        <w:spacing w:after="80" w:line="240" w:lineRule="auto"/>
        <w:jc w:val="center"/>
        <w:rPr>
          <w:b/>
          <w:sz w:val="44"/>
          <w:szCs w:val="32"/>
        </w:rPr>
      </w:pPr>
    </w:p>
    <w:p w14:paraId="6C9826E2" w14:textId="77777777" w:rsidR="002B2091" w:rsidRDefault="002B2091" w:rsidP="00986422">
      <w:pPr>
        <w:spacing w:after="80" w:line="240" w:lineRule="auto"/>
        <w:jc w:val="center"/>
        <w:rPr>
          <w:b/>
          <w:sz w:val="44"/>
          <w:szCs w:val="32"/>
        </w:rPr>
      </w:pPr>
    </w:p>
    <w:p w14:paraId="018FA031" w14:textId="14267D55" w:rsidR="00CD5E80" w:rsidRDefault="003D5642" w:rsidP="00986422">
      <w:pPr>
        <w:spacing w:after="80" w:line="240" w:lineRule="auto"/>
        <w:jc w:val="center"/>
        <w:rPr>
          <w:b/>
          <w:sz w:val="44"/>
          <w:szCs w:val="32"/>
        </w:rPr>
      </w:pPr>
      <w:r w:rsidRPr="00CD5E80">
        <w:rPr>
          <w:b/>
          <w:sz w:val="44"/>
          <w:szCs w:val="32"/>
        </w:rPr>
        <w:t>Syphilis Surveillance Supplement</w:t>
      </w:r>
      <w:r w:rsidR="00E5685A">
        <w:rPr>
          <w:b/>
          <w:sz w:val="44"/>
          <w:szCs w:val="32"/>
        </w:rPr>
        <w:t>al Slides</w:t>
      </w:r>
      <w:r w:rsidR="00B203C8">
        <w:rPr>
          <w:b/>
          <w:sz w:val="44"/>
          <w:szCs w:val="32"/>
        </w:rPr>
        <w:t xml:space="preserve">, </w:t>
      </w:r>
      <w:r w:rsidRPr="00CD5E80">
        <w:rPr>
          <w:b/>
          <w:sz w:val="44"/>
          <w:szCs w:val="32"/>
        </w:rPr>
        <w:t>201</w:t>
      </w:r>
      <w:r w:rsidR="0014615E">
        <w:rPr>
          <w:b/>
          <w:sz w:val="44"/>
          <w:szCs w:val="32"/>
        </w:rPr>
        <w:t>6</w:t>
      </w:r>
      <w:r w:rsidRPr="00CD5E80">
        <w:rPr>
          <w:b/>
          <w:sz w:val="44"/>
          <w:szCs w:val="32"/>
        </w:rPr>
        <w:t>–</w:t>
      </w:r>
      <w:r w:rsidR="0014615E">
        <w:rPr>
          <w:b/>
          <w:sz w:val="44"/>
          <w:szCs w:val="32"/>
        </w:rPr>
        <w:t>2020</w:t>
      </w:r>
    </w:p>
    <w:p w14:paraId="7DB4F6A5" w14:textId="3B60A000" w:rsidR="006239E1" w:rsidRPr="00B203C8" w:rsidRDefault="006239E1" w:rsidP="00986422">
      <w:pPr>
        <w:spacing w:after="80" w:line="240" w:lineRule="auto"/>
        <w:jc w:val="center"/>
        <w:rPr>
          <w:b/>
          <w:sz w:val="44"/>
          <w:szCs w:val="32"/>
        </w:rPr>
      </w:pPr>
      <w:r w:rsidRPr="00B203C8">
        <w:rPr>
          <w:b/>
          <w:sz w:val="44"/>
          <w:szCs w:val="32"/>
        </w:rPr>
        <w:t>Technical Notes</w:t>
      </w:r>
    </w:p>
    <w:p w14:paraId="332A774C" w14:textId="77777777" w:rsidR="00CD5E80" w:rsidRPr="00CD5E80" w:rsidRDefault="00CD5E80" w:rsidP="00986422">
      <w:pPr>
        <w:jc w:val="center"/>
        <w:rPr>
          <w:b/>
          <w:sz w:val="44"/>
          <w:szCs w:val="32"/>
        </w:rPr>
      </w:pPr>
    </w:p>
    <w:p w14:paraId="74C4A4EC" w14:textId="1CEE5170" w:rsidR="00385501" w:rsidRPr="00CD5E80" w:rsidRDefault="00385501" w:rsidP="00986422">
      <w:pPr>
        <w:jc w:val="center"/>
        <w:rPr>
          <w:b/>
          <w:sz w:val="44"/>
          <w:szCs w:val="32"/>
        </w:rPr>
      </w:pPr>
    </w:p>
    <w:p w14:paraId="50C64089" w14:textId="736EB1D3" w:rsidR="00CD5E80" w:rsidRDefault="00CD5E80" w:rsidP="00986422">
      <w:pPr>
        <w:spacing w:after="40" w:line="240" w:lineRule="auto"/>
        <w:jc w:val="center"/>
        <w:rPr>
          <w:b/>
          <w:sz w:val="44"/>
          <w:szCs w:val="32"/>
        </w:rPr>
      </w:pPr>
    </w:p>
    <w:p w14:paraId="78A8E752" w14:textId="77777777" w:rsidR="00BD3AA7" w:rsidRPr="00CD5E80" w:rsidRDefault="00BD3AA7" w:rsidP="00986422">
      <w:pPr>
        <w:spacing w:after="40" w:line="240" w:lineRule="auto"/>
        <w:jc w:val="center"/>
        <w:rPr>
          <w:b/>
          <w:sz w:val="44"/>
          <w:szCs w:val="32"/>
        </w:rPr>
      </w:pPr>
    </w:p>
    <w:p w14:paraId="64663865" w14:textId="77777777" w:rsidR="00CD5E80" w:rsidRPr="00143236" w:rsidRDefault="00CD5E80" w:rsidP="00986422">
      <w:pPr>
        <w:spacing w:after="40" w:line="240" w:lineRule="auto"/>
        <w:jc w:val="center"/>
        <w:rPr>
          <w:b/>
          <w:sz w:val="32"/>
          <w:szCs w:val="32"/>
        </w:rPr>
      </w:pPr>
      <w:r w:rsidRPr="00143236">
        <w:rPr>
          <w:b/>
          <w:sz w:val="32"/>
          <w:szCs w:val="32"/>
        </w:rPr>
        <w:t>Division of STD Prevention</w:t>
      </w:r>
    </w:p>
    <w:p w14:paraId="1345BBC9" w14:textId="72C68D94" w:rsidR="00CD5E80" w:rsidRPr="00143236" w:rsidRDefault="00296D0F" w:rsidP="00986422">
      <w:pPr>
        <w:spacing w:after="40" w:line="240" w:lineRule="auto"/>
        <w:jc w:val="center"/>
        <w:rPr>
          <w:rFonts w:ascii="Myriad Pro" w:hAnsi="Myriad Pro" w:cs="Myriad Pro"/>
          <w:b/>
          <w:bCs/>
        </w:rPr>
      </w:pPr>
      <w:r>
        <w:rPr>
          <w:b/>
          <w:sz w:val="32"/>
          <w:szCs w:val="32"/>
        </w:rPr>
        <w:t>October</w:t>
      </w:r>
      <w:r w:rsidR="0014615E">
        <w:rPr>
          <w:b/>
          <w:sz w:val="32"/>
          <w:szCs w:val="32"/>
        </w:rPr>
        <w:t xml:space="preserve"> 2022</w:t>
      </w:r>
    </w:p>
    <w:p w14:paraId="7541B98D" w14:textId="77777777" w:rsidR="00CD5E80" w:rsidRPr="00CD5E80" w:rsidRDefault="00CD5E80" w:rsidP="00CD5E80"/>
    <w:p w14:paraId="34F38F39" w14:textId="5B789DF2" w:rsidR="00CD5E80" w:rsidRDefault="00CD5E80" w:rsidP="00CD5E80"/>
    <w:p w14:paraId="2E8BCD5D" w14:textId="0E935A49" w:rsidR="00CD5E80" w:rsidRPr="00CD5E80" w:rsidRDefault="00CD5E80" w:rsidP="00CD5E80"/>
    <w:p w14:paraId="48705B9F" w14:textId="65FD8B71" w:rsidR="00CD5E80" w:rsidRPr="00CD5E80" w:rsidRDefault="00CD5E80" w:rsidP="00CD5E80"/>
    <w:p w14:paraId="5425DD7A" w14:textId="77777777" w:rsidR="00CD5E80" w:rsidRPr="00CD5E80" w:rsidRDefault="00CD5E80" w:rsidP="00CD5E80">
      <w:pPr>
        <w:pStyle w:val="ParagraphCDCinfo"/>
        <w:rPr>
          <w:rFonts w:asciiTheme="minorHAnsi" w:hAnsiTheme="minorHAnsi" w:cstheme="minorHAnsi"/>
          <w:color w:val="auto"/>
        </w:rPr>
      </w:pPr>
      <w:r w:rsidRPr="00CD5E80">
        <w:rPr>
          <w:rFonts w:asciiTheme="minorHAnsi" w:hAnsiTheme="minorHAnsi" w:cstheme="minorHAnsi"/>
          <w:color w:val="auto"/>
        </w:rPr>
        <w:t>U.S Department of Health and Human Services</w:t>
      </w:r>
    </w:p>
    <w:p w14:paraId="4BAE7B58" w14:textId="77777777" w:rsidR="00CD5E80" w:rsidRPr="00CD5E80" w:rsidRDefault="00CD5E80" w:rsidP="00CD5E80">
      <w:pPr>
        <w:pStyle w:val="ParagraphCDCinfo"/>
        <w:rPr>
          <w:rFonts w:asciiTheme="minorHAnsi" w:hAnsiTheme="minorHAnsi" w:cstheme="minorHAnsi"/>
          <w:color w:val="auto"/>
          <w:sz w:val="28"/>
        </w:rPr>
      </w:pPr>
      <w:r w:rsidRPr="00CD5E80">
        <w:rPr>
          <w:rFonts w:asciiTheme="minorHAnsi" w:hAnsiTheme="minorHAnsi" w:cstheme="minorHAnsi"/>
          <w:b/>
          <w:bCs/>
          <w:color w:val="auto"/>
          <w:sz w:val="28"/>
        </w:rPr>
        <w:t>Centers for Disease Control and Prevention</w:t>
      </w:r>
    </w:p>
    <w:p w14:paraId="7FBEB9A1" w14:textId="493F3E95" w:rsidR="00CD5E80" w:rsidRPr="00CD5E80" w:rsidRDefault="00CD5E80" w:rsidP="00CD5E80">
      <w:pPr>
        <w:pStyle w:val="ParagraphCDCinfo"/>
        <w:rPr>
          <w:rFonts w:asciiTheme="minorHAnsi" w:hAnsiTheme="minorHAnsi" w:cstheme="minorHAnsi"/>
          <w:color w:val="auto"/>
        </w:rPr>
      </w:pPr>
      <w:r w:rsidRPr="00CD5E80">
        <w:rPr>
          <w:rFonts w:asciiTheme="minorHAnsi" w:hAnsiTheme="minorHAnsi" w:cstheme="minorHAnsi"/>
          <w:color w:val="auto"/>
        </w:rPr>
        <w:t xml:space="preserve">National Center for HIV, Viral Hepatitis, STD, and TB Prevention </w:t>
      </w:r>
      <w:r w:rsidRPr="00CD5E80">
        <w:rPr>
          <w:rFonts w:asciiTheme="minorHAnsi" w:hAnsiTheme="minorHAnsi" w:cstheme="minorHAnsi"/>
          <w:color w:val="auto"/>
        </w:rPr>
        <w:br/>
        <w:t>Division of STD Prevention</w:t>
      </w:r>
    </w:p>
    <w:p w14:paraId="52E44D73" w14:textId="77777777" w:rsidR="00CD5E80" w:rsidRPr="00CD5E80" w:rsidRDefault="00CD5E80" w:rsidP="00CD5E80">
      <w:pPr>
        <w:pStyle w:val="ParagraphCDCinfo"/>
        <w:rPr>
          <w:rFonts w:asciiTheme="minorHAnsi" w:hAnsiTheme="minorHAnsi" w:cstheme="minorHAnsi"/>
          <w:color w:val="auto"/>
        </w:rPr>
      </w:pPr>
      <w:r w:rsidRPr="00CD5E80">
        <w:rPr>
          <w:rFonts w:asciiTheme="minorHAnsi" w:hAnsiTheme="minorHAnsi" w:cstheme="minorHAnsi"/>
          <w:color w:val="auto"/>
        </w:rPr>
        <w:t>Atlanta, Georgia, 30329-4027</w:t>
      </w:r>
    </w:p>
    <w:p w14:paraId="5A6A78E0" w14:textId="212D2B85" w:rsidR="00215167" w:rsidRPr="006239E1" w:rsidRDefault="00215167">
      <w:pPr>
        <w:rPr>
          <w:i/>
          <w:sz w:val="24"/>
          <w:szCs w:val="24"/>
        </w:rPr>
      </w:pPr>
    </w:p>
    <w:p w14:paraId="6FC612C1" w14:textId="77777777" w:rsidR="003514E7" w:rsidRDefault="003514E7" w:rsidP="003514E7">
      <w:pPr>
        <w:autoSpaceDE w:val="0"/>
        <w:autoSpaceDN w:val="0"/>
        <w:adjustRightInd w:val="0"/>
        <w:spacing w:after="0" w:line="240" w:lineRule="auto"/>
        <w:rPr>
          <w:rFonts w:ascii="Calibri" w:hAnsi="Calibri" w:cs="Calibri"/>
          <w:i/>
          <w:iCs/>
          <w:color w:val="000000"/>
          <w:sz w:val="23"/>
          <w:szCs w:val="23"/>
        </w:rPr>
      </w:pPr>
    </w:p>
    <w:p w14:paraId="426510C9" w14:textId="77777777" w:rsidR="001E014C" w:rsidRDefault="001E014C">
      <w:pPr>
        <w:rPr>
          <w:rFonts w:ascii="Calibri" w:hAnsi="Calibri" w:cs="Calibri"/>
          <w:i/>
          <w:iCs/>
          <w:color w:val="000000"/>
          <w:sz w:val="23"/>
          <w:szCs w:val="23"/>
        </w:rPr>
      </w:pPr>
      <w:r>
        <w:rPr>
          <w:rFonts w:ascii="Calibri" w:hAnsi="Calibri" w:cs="Calibri"/>
          <w:i/>
          <w:iCs/>
          <w:color w:val="000000"/>
          <w:sz w:val="23"/>
          <w:szCs w:val="23"/>
        </w:rPr>
        <w:br w:type="page"/>
      </w:r>
    </w:p>
    <w:p w14:paraId="083DF468" w14:textId="6C9244C4" w:rsidR="003514E7" w:rsidRPr="003514E7" w:rsidRDefault="003514E7" w:rsidP="003514E7">
      <w:pPr>
        <w:autoSpaceDE w:val="0"/>
        <w:autoSpaceDN w:val="0"/>
        <w:adjustRightInd w:val="0"/>
        <w:spacing w:after="0" w:line="240" w:lineRule="auto"/>
        <w:jc w:val="center"/>
        <w:rPr>
          <w:rFonts w:ascii="Calibri" w:hAnsi="Calibri" w:cs="Calibri"/>
          <w:color w:val="000000"/>
          <w:sz w:val="23"/>
          <w:szCs w:val="23"/>
        </w:rPr>
      </w:pPr>
      <w:r w:rsidRPr="003514E7">
        <w:rPr>
          <w:rFonts w:ascii="Calibri" w:hAnsi="Calibri" w:cs="Calibri"/>
          <w:i/>
          <w:iCs/>
          <w:color w:val="000000"/>
          <w:sz w:val="23"/>
          <w:szCs w:val="23"/>
        </w:rPr>
        <w:lastRenderedPageBreak/>
        <w:t>This report was prepared by</w:t>
      </w:r>
    </w:p>
    <w:p w14:paraId="499A4711" w14:textId="77777777" w:rsidR="003514E7" w:rsidRDefault="003514E7" w:rsidP="003514E7">
      <w:pPr>
        <w:autoSpaceDE w:val="0"/>
        <w:autoSpaceDN w:val="0"/>
        <w:adjustRightInd w:val="0"/>
        <w:spacing w:after="0" w:line="240" w:lineRule="auto"/>
        <w:jc w:val="center"/>
        <w:rPr>
          <w:rFonts w:ascii="Calibri" w:hAnsi="Calibri" w:cs="Calibri"/>
          <w:b/>
          <w:bCs/>
          <w:color w:val="000000"/>
          <w:sz w:val="32"/>
          <w:szCs w:val="32"/>
        </w:rPr>
      </w:pPr>
    </w:p>
    <w:p w14:paraId="4BD5EF5B" w14:textId="09E8D43B" w:rsidR="003514E7" w:rsidRPr="00F52A02" w:rsidRDefault="003514E7" w:rsidP="003514E7">
      <w:pPr>
        <w:autoSpaceDE w:val="0"/>
        <w:autoSpaceDN w:val="0"/>
        <w:adjustRightInd w:val="0"/>
        <w:spacing w:after="0" w:line="240" w:lineRule="auto"/>
        <w:jc w:val="center"/>
        <w:rPr>
          <w:rFonts w:ascii="Calibri" w:hAnsi="Calibri" w:cs="Calibri"/>
          <w:color w:val="000000"/>
          <w:sz w:val="32"/>
          <w:szCs w:val="32"/>
        </w:rPr>
      </w:pPr>
      <w:r w:rsidRPr="00F52A02">
        <w:rPr>
          <w:rFonts w:ascii="Calibri" w:hAnsi="Calibri" w:cs="Calibri"/>
          <w:b/>
          <w:bCs/>
          <w:color w:val="000000"/>
          <w:sz w:val="32"/>
          <w:szCs w:val="32"/>
        </w:rPr>
        <w:t xml:space="preserve">Surveillance and Data </w:t>
      </w:r>
      <w:r w:rsidR="00343134">
        <w:rPr>
          <w:rFonts w:ascii="Calibri" w:hAnsi="Calibri" w:cs="Calibri"/>
          <w:b/>
          <w:bCs/>
          <w:color w:val="000000"/>
          <w:sz w:val="32"/>
          <w:szCs w:val="32"/>
        </w:rPr>
        <w:t>Science</w:t>
      </w:r>
      <w:r w:rsidRPr="00F52A02">
        <w:rPr>
          <w:rFonts w:ascii="Calibri" w:hAnsi="Calibri" w:cs="Calibri"/>
          <w:b/>
          <w:bCs/>
          <w:color w:val="000000"/>
          <w:sz w:val="32"/>
          <w:szCs w:val="32"/>
        </w:rPr>
        <w:t xml:space="preserve"> Branch</w:t>
      </w:r>
    </w:p>
    <w:p w14:paraId="694C4B06" w14:textId="5B9DD1E0" w:rsidR="003514E7" w:rsidRPr="00693F8E" w:rsidRDefault="003514E7" w:rsidP="003514E7">
      <w:pPr>
        <w:autoSpaceDE w:val="0"/>
        <w:autoSpaceDN w:val="0"/>
        <w:adjustRightInd w:val="0"/>
        <w:spacing w:after="0" w:line="240" w:lineRule="auto"/>
        <w:jc w:val="center"/>
        <w:rPr>
          <w:rFonts w:ascii="Calibri" w:hAnsi="Calibri" w:cs="Calibri"/>
          <w:b/>
          <w:bCs/>
          <w:color w:val="000000"/>
          <w:sz w:val="28"/>
          <w:szCs w:val="28"/>
        </w:rPr>
      </w:pPr>
      <w:r w:rsidRPr="00693F8E">
        <w:rPr>
          <w:rFonts w:ascii="Calibri" w:hAnsi="Calibri" w:cs="Calibri"/>
          <w:b/>
          <w:bCs/>
          <w:color w:val="000000"/>
          <w:sz w:val="28"/>
          <w:szCs w:val="28"/>
        </w:rPr>
        <w:t>Division of STD Prevention</w:t>
      </w:r>
    </w:p>
    <w:p w14:paraId="2EE724A2" w14:textId="11931E78" w:rsidR="003514E7" w:rsidRPr="00F52A02"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color w:val="000000"/>
          <w:sz w:val="28"/>
          <w:szCs w:val="28"/>
        </w:rPr>
        <w:t>National Center for HIV, Viral Hepatitis, STD, and TB Prevention</w:t>
      </w:r>
    </w:p>
    <w:p w14:paraId="74753390" w14:textId="43B31D7E" w:rsidR="003514E7" w:rsidRPr="00F52A02"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color w:val="000000"/>
          <w:sz w:val="28"/>
          <w:szCs w:val="28"/>
        </w:rPr>
        <w:t>Centers for Disease Control and Prevention</w:t>
      </w:r>
    </w:p>
    <w:p w14:paraId="19FFF0E4" w14:textId="77777777" w:rsidR="00343134" w:rsidRDefault="00343134" w:rsidP="003514E7">
      <w:pPr>
        <w:autoSpaceDE w:val="0"/>
        <w:autoSpaceDN w:val="0"/>
        <w:adjustRightInd w:val="0"/>
        <w:spacing w:after="0" w:line="240" w:lineRule="auto"/>
        <w:jc w:val="center"/>
        <w:rPr>
          <w:rFonts w:ascii="Calibri" w:hAnsi="Calibri" w:cs="Calibri"/>
          <w:color w:val="000000"/>
          <w:sz w:val="28"/>
          <w:szCs w:val="28"/>
        </w:rPr>
      </w:pPr>
    </w:p>
    <w:p w14:paraId="34422361" w14:textId="611266D5" w:rsidR="00343134" w:rsidRPr="00343134" w:rsidRDefault="00343134" w:rsidP="003514E7">
      <w:pPr>
        <w:autoSpaceDE w:val="0"/>
        <w:autoSpaceDN w:val="0"/>
        <w:adjustRightInd w:val="0"/>
        <w:spacing w:after="0" w:line="240" w:lineRule="auto"/>
        <w:jc w:val="center"/>
        <w:rPr>
          <w:rFonts w:ascii="Calibri" w:hAnsi="Calibri" w:cs="Calibri"/>
          <w:color w:val="000000"/>
          <w:sz w:val="10"/>
          <w:szCs w:val="10"/>
        </w:rPr>
        <w:sectPr w:rsidR="00343134" w:rsidRPr="00343134" w:rsidSect="00EA6DAE">
          <w:headerReference w:type="even" r:id="rId12"/>
          <w:headerReference w:type="default" r:id="rId13"/>
          <w:footerReference w:type="even" r:id="rId14"/>
          <w:footerReference w:type="default" r:id="rId15"/>
          <w:headerReference w:type="first" r:id="rId16"/>
          <w:footerReference w:type="first" r:id="rId17"/>
          <w:pgSz w:w="12240" w:h="15840"/>
          <w:pgMar w:top="720" w:right="864" w:bottom="1440" w:left="1008" w:header="720" w:footer="720" w:gutter="0"/>
          <w:cols w:space="720"/>
          <w:docGrid w:linePitch="360"/>
        </w:sectPr>
      </w:pPr>
    </w:p>
    <w:p w14:paraId="53D49711"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Darlene Davis</w:t>
      </w:r>
    </w:p>
    <w:p w14:paraId="1DB45C24"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Jeremy Grey</w:t>
      </w:r>
    </w:p>
    <w:p w14:paraId="2B3F9950"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Alesia Harvey</w:t>
      </w:r>
    </w:p>
    <w:p w14:paraId="0E0B97C7" w14:textId="77777777" w:rsidR="003C16D1" w:rsidRDefault="003C16D1" w:rsidP="003C16D1">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David Jackson</w:t>
      </w:r>
    </w:p>
    <w:p w14:paraId="2875253E" w14:textId="77777777" w:rsidR="0009427A" w:rsidRDefault="0009427A" w:rsidP="003C16D1">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Michelle Johnson-Jones</w:t>
      </w:r>
    </w:p>
    <w:p w14:paraId="2DB30A15" w14:textId="7EF2174F"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Irma Kocer</w:t>
      </w:r>
    </w:p>
    <w:p w14:paraId="48968A8A"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Neeraja Lakshmipathy</w:t>
      </w:r>
    </w:p>
    <w:p w14:paraId="524DB1D7"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Robert McDonald</w:t>
      </w:r>
    </w:p>
    <w:p w14:paraId="33F444E6"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 xml:space="preserve">Melissa Pagaoa </w:t>
      </w:r>
    </w:p>
    <w:p w14:paraId="3D03FAC1"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Alejandro Perez</w:t>
      </w:r>
    </w:p>
    <w:p w14:paraId="5CB797BA"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Tracy Pondo</w:t>
      </w:r>
    </w:p>
    <w:p w14:paraId="0A449DB4"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Jamie Smimble</w:t>
      </w:r>
    </w:p>
    <w:p w14:paraId="0562C1C9"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Elizabeth Torrone</w:t>
      </w:r>
    </w:p>
    <w:p w14:paraId="38B0E2C2" w14:textId="77777777" w:rsidR="003C16D1" w:rsidRPr="003C16D1" w:rsidRDefault="003C16D1" w:rsidP="003C16D1">
      <w:pPr>
        <w:autoSpaceDE w:val="0"/>
        <w:autoSpaceDN w:val="0"/>
        <w:adjustRightInd w:val="0"/>
        <w:spacing w:after="0" w:line="240" w:lineRule="auto"/>
        <w:jc w:val="center"/>
        <w:rPr>
          <w:rFonts w:ascii="Calibri" w:hAnsi="Calibri" w:cs="Calibri"/>
          <w:color w:val="000000"/>
          <w:sz w:val="28"/>
          <w:szCs w:val="28"/>
        </w:rPr>
      </w:pPr>
      <w:r w:rsidRPr="003C16D1">
        <w:rPr>
          <w:rFonts w:ascii="Calibri" w:hAnsi="Calibri" w:cs="Calibri"/>
          <w:color w:val="000000"/>
          <w:sz w:val="28"/>
          <w:szCs w:val="28"/>
        </w:rPr>
        <w:t>Hillard Weinstock</w:t>
      </w:r>
    </w:p>
    <w:p w14:paraId="7D53E49E" w14:textId="74F802CB" w:rsidR="00343134" w:rsidRDefault="003C16D1" w:rsidP="003C16D1">
      <w:pPr>
        <w:autoSpaceDE w:val="0"/>
        <w:autoSpaceDN w:val="0"/>
        <w:adjustRightInd w:val="0"/>
        <w:spacing w:after="0" w:line="240" w:lineRule="auto"/>
        <w:jc w:val="center"/>
        <w:rPr>
          <w:rFonts w:ascii="Calibri" w:hAnsi="Calibri" w:cs="Calibri"/>
          <w:i/>
          <w:iCs/>
          <w:color w:val="000000"/>
          <w:sz w:val="28"/>
          <w:szCs w:val="28"/>
        </w:rPr>
        <w:sectPr w:rsidR="00343134" w:rsidSect="00343134">
          <w:type w:val="continuous"/>
          <w:pgSz w:w="12240" w:h="15840"/>
          <w:pgMar w:top="720" w:right="2520" w:bottom="1440" w:left="2430" w:header="720" w:footer="720" w:gutter="0"/>
          <w:cols w:num="2" w:space="126"/>
          <w:docGrid w:linePitch="360"/>
        </w:sectPr>
      </w:pPr>
      <w:r w:rsidRPr="003C16D1">
        <w:rPr>
          <w:rFonts w:ascii="Calibri" w:hAnsi="Calibri" w:cs="Calibri"/>
          <w:color w:val="000000"/>
          <w:sz w:val="28"/>
          <w:szCs w:val="28"/>
        </w:rPr>
        <w:t>Niketta Womack</w:t>
      </w:r>
    </w:p>
    <w:p w14:paraId="5340DA54" w14:textId="6854191A" w:rsidR="003514E7" w:rsidRPr="00F52A02" w:rsidRDefault="003514E7" w:rsidP="003514E7">
      <w:pPr>
        <w:autoSpaceDE w:val="0"/>
        <w:autoSpaceDN w:val="0"/>
        <w:adjustRightInd w:val="0"/>
        <w:spacing w:after="0" w:line="240" w:lineRule="auto"/>
        <w:jc w:val="center"/>
        <w:rPr>
          <w:rFonts w:ascii="Calibri" w:hAnsi="Calibri" w:cs="Calibri"/>
          <w:i/>
          <w:iCs/>
          <w:color w:val="000000"/>
          <w:sz w:val="28"/>
          <w:szCs w:val="28"/>
        </w:rPr>
      </w:pPr>
    </w:p>
    <w:p w14:paraId="052BEFE7" w14:textId="230D60A2" w:rsidR="003514E7" w:rsidRPr="00F52A02"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i/>
          <w:iCs/>
          <w:color w:val="000000"/>
          <w:sz w:val="28"/>
          <w:szCs w:val="28"/>
        </w:rPr>
        <w:t>Others contributing to the production and dissemination of this publication</w:t>
      </w:r>
    </w:p>
    <w:p w14:paraId="7461BFF4" w14:textId="77777777" w:rsidR="00693F8E" w:rsidRPr="00693F8E" w:rsidRDefault="00693F8E" w:rsidP="003514E7">
      <w:pPr>
        <w:autoSpaceDE w:val="0"/>
        <w:autoSpaceDN w:val="0"/>
        <w:adjustRightInd w:val="0"/>
        <w:spacing w:after="0" w:line="240" w:lineRule="auto"/>
        <w:jc w:val="center"/>
        <w:rPr>
          <w:rFonts w:ascii="Calibri" w:hAnsi="Calibri" w:cs="Calibri"/>
          <w:b/>
          <w:bCs/>
          <w:color w:val="000000"/>
          <w:sz w:val="32"/>
          <w:szCs w:val="32"/>
        </w:rPr>
      </w:pPr>
      <w:r w:rsidRPr="00693F8E">
        <w:rPr>
          <w:rFonts w:ascii="Calibri" w:hAnsi="Calibri" w:cs="Calibri"/>
          <w:b/>
          <w:bCs/>
          <w:color w:val="000000"/>
          <w:sz w:val="32"/>
          <w:szCs w:val="32"/>
        </w:rPr>
        <w:t>Office of the Director</w:t>
      </w:r>
    </w:p>
    <w:p w14:paraId="019F1171" w14:textId="7E934F9A" w:rsidR="003514E7" w:rsidRPr="00F52A02"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b/>
          <w:bCs/>
          <w:color w:val="000000"/>
          <w:sz w:val="28"/>
          <w:szCs w:val="28"/>
        </w:rPr>
        <w:t>Division of STD Prevention</w:t>
      </w:r>
    </w:p>
    <w:p w14:paraId="2B8BA1BD" w14:textId="6B8009DC" w:rsidR="003514E7" w:rsidRPr="00F52A02"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color w:val="000000"/>
          <w:sz w:val="28"/>
          <w:szCs w:val="28"/>
        </w:rPr>
        <w:t>Keith Davis</w:t>
      </w:r>
    </w:p>
    <w:p w14:paraId="26C89C04" w14:textId="3143E6A9" w:rsidR="003514E7" w:rsidRDefault="003514E7" w:rsidP="003514E7">
      <w:pPr>
        <w:autoSpaceDE w:val="0"/>
        <w:autoSpaceDN w:val="0"/>
        <w:adjustRightInd w:val="0"/>
        <w:spacing w:after="0" w:line="240" w:lineRule="auto"/>
        <w:jc w:val="center"/>
        <w:rPr>
          <w:rFonts w:ascii="Calibri" w:hAnsi="Calibri" w:cs="Calibri"/>
          <w:color w:val="000000"/>
          <w:sz w:val="28"/>
          <w:szCs w:val="28"/>
        </w:rPr>
      </w:pPr>
      <w:r w:rsidRPr="00F52A02">
        <w:rPr>
          <w:rFonts w:ascii="Calibri" w:hAnsi="Calibri" w:cs="Calibri"/>
          <w:color w:val="000000"/>
          <w:sz w:val="28"/>
          <w:szCs w:val="28"/>
        </w:rPr>
        <w:t>Nikki Mayes</w:t>
      </w:r>
    </w:p>
    <w:p w14:paraId="14F4B4B8" w14:textId="6B816B7F" w:rsidR="004128EC" w:rsidRPr="00F52A02" w:rsidRDefault="004128EC" w:rsidP="003514E7">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Tiffani Phelps</w:t>
      </w:r>
    </w:p>
    <w:p w14:paraId="0A6A4037" w14:textId="77777777" w:rsidR="003514E7" w:rsidRDefault="003514E7" w:rsidP="003514E7">
      <w:pPr>
        <w:jc w:val="center"/>
        <w:rPr>
          <w:rFonts w:ascii="Calibri" w:hAnsi="Calibri" w:cs="Calibri"/>
          <w:b/>
          <w:bCs/>
          <w:color w:val="000000"/>
          <w:sz w:val="28"/>
          <w:szCs w:val="28"/>
        </w:rPr>
      </w:pPr>
    </w:p>
    <w:p w14:paraId="61BD46FD" w14:textId="4568FC5F" w:rsidR="003514E7" w:rsidRPr="003514E7" w:rsidRDefault="003514E7" w:rsidP="003514E7">
      <w:pPr>
        <w:jc w:val="center"/>
      </w:pPr>
      <w:r w:rsidRPr="003514E7">
        <w:rPr>
          <w:rFonts w:ascii="Calibri" w:hAnsi="Calibri" w:cs="Calibri"/>
          <w:color w:val="000000"/>
          <w:sz w:val="28"/>
          <w:szCs w:val="28"/>
        </w:rPr>
        <w:t>Publication of this report would not have been possible without the contributions of the state and territorial health departments</w:t>
      </w:r>
      <w:r>
        <w:rPr>
          <w:rFonts w:ascii="Calibri" w:hAnsi="Calibri" w:cs="Calibri"/>
          <w:color w:val="000000"/>
          <w:sz w:val="28"/>
          <w:szCs w:val="28"/>
        </w:rPr>
        <w:t xml:space="preserve"> and</w:t>
      </w:r>
      <w:r w:rsidRPr="003514E7">
        <w:rPr>
          <w:rFonts w:ascii="Calibri" w:hAnsi="Calibri" w:cs="Calibri"/>
          <w:color w:val="000000"/>
          <w:sz w:val="28"/>
          <w:szCs w:val="28"/>
        </w:rPr>
        <w:t xml:space="preserve"> STD control programs that provided surveillance data to CDC.</w:t>
      </w:r>
    </w:p>
    <w:p w14:paraId="10405184" w14:textId="53BF8E03" w:rsidR="00A27A25" w:rsidRDefault="00A27A25" w:rsidP="003514E7">
      <w:pPr>
        <w:jc w:val="center"/>
        <w:rPr>
          <w:rFonts w:ascii="Calibri" w:hAnsi="Calibri" w:cs="Calibri"/>
          <w:color w:val="000000"/>
          <w:sz w:val="23"/>
          <w:szCs w:val="23"/>
        </w:rPr>
      </w:pPr>
    </w:p>
    <w:p w14:paraId="64034B6F" w14:textId="77777777" w:rsidR="003514E7" w:rsidRPr="00A27A25" w:rsidRDefault="003514E7" w:rsidP="003514E7">
      <w:pPr>
        <w:autoSpaceDE w:val="0"/>
        <w:autoSpaceDN w:val="0"/>
        <w:adjustRightInd w:val="0"/>
        <w:spacing w:after="0" w:line="240" w:lineRule="auto"/>
        <w:rPr>
          <w:rFonts w:ascii="Calibri" w:hAnsi="Calibri" w:cs="Calibri"/>
          <w:color w:val="000000"/>
          <w:sz w:val="36"/>
          <w:szCs w:val="36"/>
        </w:rPr>
      </w:pPr>
      <w:r w:rsidRPr="00A27A25">
        <w:rPr>
          <w:rFonts w:ascii="Calibri" w:hAnsi="Calibri" w:cs="Calibri"/>
          <w:b/>
          <w:bCs/>
          <w:color w:val="000000"/>
          <w:sz w:val="36"/>
          <w:szCs w:val="36"/>
        </w:rPr>
        <w:t xml:space="preserve">Copyright Information </w:t>
      </w:r>
    </w:p>
    <w:p w14:paraId="6D71DA42" w14:textId="77777777" w:rsidR="003514E7" w:rsidRPr="00A27A25" w:rsidRDefault="003514E7" w:rsidP="003514E7">
      <w:pPr>
        <w:autoSpaceDE w:val="0"/>
        <w:autoSpaceDN w:val="0"/>
        <w:adjustRightInd w:val="0"/>
        <w:spacing w:after="0" w:line="240" w:lineRule="auto"/>
        <w:rPr>
          <w:rFonts w:ascii="Calibri" w:hAnsi="Calibri" w:cs="Calibri"/>
          <w:color w:val="000000"/>
          <w:sz w:val="23"/>
          <w:szCs w:val="23"/>
        </w:rPr>
      </w:pPr>
      <w:r w:rsidRPr="00A27A25">
        <w:rPr>
          <w:rFonts w:ascii="Calibri" w:hAnsi="Calibri" w:cs="Calibri"/>
          <w:color w:val="000000"/>
          <w:sz w:val="23"/>
          <w:szCs w:val="23"/>
        </w:rPr>
        <w:t xml:space="preserve">All material contained in this report is in the public domain and may be used and reprinted without special permission; however, citation as to source is appreciated. </w:t>
      </w:r>
    </w:p>
    <w:p w14:paraId="43CEF642" w14:textId="77777777" w:rsidR="003514E7" w:rsidRDefault="003514E7" w:rsidP="003514E7">
      <w:pPr>
        <w:autoSpaceDE w:val="0"/>
        <w:autoSpaceDN w:val="0"/>
        <w:adjustRightInd w:val="0"/>
        <w:spacing w:after="0" w:line="240" w:lineRule="auto"/>
        <w:rPr>
          <w:rFonts w:ascii="Calibri" w:hAnsi="Calibri" w:cs="Calibri"/>
          <w:b/>
          <w:bCs/>
          <w:color w:val="000000"/>
          <w:sz w:val="36"/>
          <w:szCs w:val="36"/>
        </w:rPr>
      </w:pPr>
    </w:p>
    <w:p w14:paraId="75CA2B8C" w14:textId="77777777" w:rsidR="003514E7" w:rsidRPr="009923A0" w:rsidRDefault="003514E7" w:rsidP="003514E7">
      <w:pPr>
        <w:autoSpaceDE w:val="0"/>
        <w:autoSpaceDN w:val="0"/>
        <w:adjustRightInd w:val="0"/>
        <w:spacing w:after="0" w:line="240" w:lineRule="auto"/>
        <w:rPr>
          <w:rFonts w:ascii="Calibri" w:hAnsi="Calibri" w:cs="Calibri"/>
          <w:b/>
          <w:bCs/>
          <w:color w:val="000000"/>
          <w:sz w:val="36"/>
          <w:szCs w:val="36"/>
        </w:rPr>
      </w:pPr>
      <w:r w:rsidRPr="00A27A25">
        <w:rPr>
          <w:rFonts w:ascii="Calibri" w:hAnsi="Calibri" w:cs="Calibri"/>
          <w:b/>
          <w:bCs/>
          <w:color w:val="000000"/>
          <w:sz w:val="36"/>
          <w:szCs w:val="36"/>
        </w:rPr>
        <w:t xml:space="preserve">Suggested Citation </w:t>
      </w:r>
    </w:p>
    <w:p w14:paraId="67F59770" w14:textId="70079A83" w:rsidR="003514E7" w:rsidRDefault="009923A0" w:rsidP="009923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Centers for D</w:t>
      </w:r>
      <w:r w:rsidR="003514E7" w:rsidRPr="00A27A25">
        <w:rPr>
          <w:rFonts w:ascii="Calibri" w:hAnsi="Calibri" w:cs="Calibri"/>
          <w:color w:val="000000"/>
          <w:sz w:val="23"/>
          <w:szCs w:val="23"/>
        </w:rPr>
        <w:t xml:space="preserve">isease Control and Prevention. </w:t>
      </w:r>
      <w:r w:rsidR="003514E7" w:rsidRPr="00A27A25">
        <w:rPr>
          <w:rFonts w:ascii="Calibri" w:hAnsi="Calibri" w:cs="Calibri"/>
          <w:i/>
          <w:iCs/>
          <w:color w:val="000000"/>
          <w:sz w:val="23"/>
          <w:szCs w:val="23"/>
        </w:rPr>
        <w:t>Syphilis Surveillance Supplement</w:t>
      </w:r>
      <w:r w:rsidR="007F29A5">
        <w:rPr>
          <w:rFonts w:ascii="Calibri" w:hAnsi="Calibri" w:cs="Calibri"/>
          <w:i/>
          <w:iCs/>
          <w:color w:val="000000"/>
          <w:sz w:val="23"/>
          <w:szCs w:val="23"/>
        </w:rPr>
        <w:t>al Slides</w:t>
      </w:r>
      <w:r w:rsidR="003514E7">
        <w:rPr>
          <w:rFonts w:ascii="Calibri" w:hAnsi="Calibri" w:cs="Calibri"/>
          <w:i/>
          <w:iCs/>
          <w:color w:val="000000"/>
          <w:sz w:val="23"/>
          <w:szCs w:val="23"/>
        </w:rPr>
        <w:t>,</w:t>
      </w:r>
      <w:r w:rsidR="003514E7" w:rsidRPr="00A27A25">
        <w:rPr>
          <w:rFonts w:ascii="Calibri" w:hAnsi="Calibri" w:cs="Calibri"/>
          <w:i/>
          <w:iCs/>
          <w:color w:val="000000"/>
          <w:sz w:val="23"/>
          <w:szCs w:val="23"/>
        </w:rPr>
        <w:t xml:space="preserve"> 201</w:t>
      </w:r>
      <w:r w:rsidR="004128EC">
        <w:rPr>
          <w:rFonts w:ascii="Calibri" w:hAnsi="Calibri" w:cs="Calibri"/>
          <w:i/>
          <w:iCs/>
          <w:color w:val="000000"/>
          <w:sz w:val="23"/>
          <w:szCs w:val="23"/>
        </w:rPr>
        <w:t>6</w:t>
      </w:r>
      <w:r w:rsidR="003514E7" w:rsidRPr="00A27A25">
        <w:rPr>
          <w:rFonts w:ascii="Calibri" w:hAnsi="Calibri" w:cs="Calibri"/>
          <w:i/>
          <w:iCs/>
          <w:color w:val="000000"/>
          <w:sz w:val="23"/>
          <w:szCs w:val="23"/>
        </w:rPr>
        <w:t>–20</w:t>
      </w:r>
      <w:r w:rsidR="004128EC">
        <w:rPr>
          <w:rFonts w:ascii="Calibri" w:hAnsi="Calibri" w:cs="Calibri"/>
          <w:i/>
          <w:iCs/>
          <w:color w:val="000000"/>
          <w:sz w:val="23"/>
          <w:szCs w:val="23"/>
        </w:rPr>
        <w:t>20</w:t>
      </w:r>
      <w:r w:rsidR="003514E7" w:rsidRPr="00A27A25">
        <w:rPr>
          <w:rFonts w:ascii="Calibri" w:hAnsi="Calibri" w:cs="Calibri"/>
          <w:color w:val="000000"/>
          <w:sz w:val="23"/>
          <w:szCs w:val="23"/>
        </w:rPr>
        <w:t xml:space="preserve">. Atlanta: U.S. Department of Health and Human Services; </w:t>
      </w:r>
      <w:r w:rsidR="004128EC">
        <w:rPr>
          <w:rFonts w:ascii="Calibri" w:hAnsi="Calibri" w:cs="Calibri"/>
          <w:color w:val="000000"/>
          <w:sz w:val="23"/>
          <w:szCs w:val="23"/>
        </w:rPr>
        <w:t>2022</w:t>
      </w:r>
      <w:r w:rsidR="003514E7" w:rsidRPr="00A27A25">
        <w:rPr>
          <w:rFonts w:ascii="Calibri" w:hAnsi="Calibri" w:cs="Calibri"/>
          <w:color w:val="000000"/>
          <w:sz w:val="23"/>
          <w:szCs w:val="23"/>
        </w:rPr>
        <w:t xml:space="preserve">. </w:t>
      </w:r>
    </w:p>
    <w:p w14:paraId="2C5C17A1" w14:textId="77777777" w:rsidR="003514E7" w:rsidRDefault="003514E7" w:rsidP="003514E7">
      <w:pPr>
        <w:jc w:val="center"/>
        <w:rPr>
          <w:rFonts w:ascii="Calibri" w:hAnsi="Calibri" w:cs="Calibri"/>
          <w:color w:val="000000"/>
          <w:sz w:val="23"/>
          <w:szCs w:val="23"/>
        </w:rPr>
      </w:pPr>
    </w:p>
    <w:p w14:paraId="0D9F2DD3" w14:textId="5F962226" w:rsidR="00AF3F7D" w:rsidRPr="00986422" w:rsidRDefault="003514E7" w:rsidP="00693F8E">
      <w:pPr>
        <w:rPr>
          <w:rFonts w:cstheme="minorHAnsi"/>
          <w:sz w:val="36"/>
        </w:rPr>
      </w:pPr>
      <w:r>
        <w:rPr>
          <w:rFonts w:cstheme="minorHAnsi"/>
          <w:b/>
          <w:sz w:val="36"/>
          <w:u w:val="single"/>
        </w:rPr>
        <w:br w:type="page"/>
      </w:r>
      <w:r w:rsidR="00D272A0">
        <w:rPr>
          <w:rFonts w:cstheme="minorHAnsi"/>
          <w:b/>
          <w:sz w:val="36"/>
          <w:u w:val="single"/>
        </w:rPr>
        <w:lastRenderedPageBreak/>
        <w:t>Background</w:t>
      </w:r>
    </w:p>
    <w:p w14:paraId="30325572" w14:textId="4F8254D4" w:rsidR="00D272A0" w:rsidRPr="009F2E73" w:rsidRDefault="00134973" w:rsidP="003D2E5D">
      <w:pPr>
        <w:rPr>
          <w:sz w:val="24"/>
          <w:szCs w:val="24"/>
        </w:rPr>
      </w:pPr>
      <w:r w:rsidRPr="00CD5E80">
        <w:rPr>
          <w:sz w:val="24"/>
          <w:szCs w:val="24"/>
        </w:rPr>
        <w:t>In the United States, t</w:t>
      </w:r>
      <w:r w:rsidR="00B90380" w:rsidRPr="00CD5E80">
        <w:rPr>
          <w:sz w:val="24"/>
          <w:szCs w:val="24"/>
        </w:rPr>
        <w:t xml:space="preserve">he national rate of primary and secondary (P&amp;S) syphilis has increased </w:t>
      </w:r>
      <w:r w:rsidR="003C25CE">
        <w:rPr>
          <w:sz w:val="24"/>
          <w:szCs w:val="24"/>
        </w:rPr>
        <w:t>steadily</w:t>
      </w:r>
      <w:r w:rsidR="004B464F" w:rsidRPr="00CD5E80">
        <w:rPr>
          <w:sz w:val="24"/>
          <w:szCs w:val="24"/>
        </w:rPr>
        <w:t xml:space="preserve"> since </w:t>
      </w:r>
      <w:r w:rsidR="004B464F" w:rsidRPr="009F2E73">
        <w:rPr>
          <w:sz w:val="24"/>
          <w:szCs w:val="24"/>
        </w:rPr>
        <w:t>2001</w:t>
      </w:r>
      <w:r w:rsidR="007F0B73" w:rsidRPr="009F2E73">
        <w:rPr>
          <w:sz w:val="24"/>
          <w:szCs w:val="24"/>
        </w:rPr>
        <w:t>.</w:t>
      </w:r>
      <w:r w:rsidR="007F0B73" w:rsidRPr="009F2E73">
        <w:rPr>
          <w:sz w:val="24"/>
          <w:szCs w:val="24"/>
          <w:vertAlign w:val="superscript"/>
        </w:rPr>
        <w:t>1</w:t>
      </w:r>
      <w:r w:rsidR="004B464F" w:rsidRPr="009F2E73">
        <w:rPr>
          <w:sz w:val="24"/>
          <w:szCs w:val="24"/>
        </w:rPr>
        <w:t xml:space="preserve"> </w:t>
      </w:r>
      <w:r w:rsidR="00B90380" w:rsidRPr="009F2E73">
        <w:rPr>
          <w:sz w:val="24"/>
          <w:szCs w:val="24"/>
        </w:rPr>
        <w:t xml:space="preserve">In </w:t>
      </w:r>
      <w:r w:rsidR="004F147A" w:rsidRPr="009F2E73">
        <w:rPr>
          <w:sz w:val="24"/>
          <w:szCs w:val="24"/>
        </w:rPr>
        <w:t>2020</w:t>
      </w:r>
      <w:r w:rsidR="00B90380" w:rsidRPr="009F2E73">
        <w:rPr>
          <w:sz w:val="24"/>
          <w:szCs w:val="24"/>
        </w:rPr>
        <w:t xml:space="preserve">, </w:t>
      </w:r>
      <w:r w:rsidR="00845C66" w:rsidRPr="009F2E73">
        <w:rPr>
          <w:sz w:val="24"/>
          <w:szCs w:val="24"/>
        </w:rPr>
        <w:t>41,655</w:t>
      </w:r>
      <w:r w:rsidR="00B90380" w:rsidRPr="009F2E73">
        <w:rPr>
          <w:sz w:val="24"/>
          <w:szCs w:val="24"/>
        </w:rPr>
        <w:t xml:space="preserve"> cases </w:t>
      </w:r>
      <w:r w:rsidR="004B464F" w:rsidRPr="009F2E73">
        <w:rPr>
          <w:sz w:val="24"/>
          <w:szCs w:val="24"/>
        </w:rPr>
        <w:t>of P&amp;S</w:t>
      </w:r>
      <w:r w:rsidR="00B90380" w:rsidRPr="009F2E73">
        <w:rPr>
          <w:sz w:val="24"/>
          <w:szCs w:val="24"/>
        </w:rPr>
        <w:t xml:space="preserve"> syphilis were reported in the United States</w:t>
      </w:r>
      <w:r w:rsidR="007F0B73" w:rsidRPr="009F2E73">
        <w:rPr>
          <w:sz w:val="24"/>
          <w:szCs w:val="24"/>
        </w:rPr>
        <w:t xml:space="preserve"> for a national rate of 12.7 cases per 100,000 persons</w:t>
      </w:r>
      <w:r w:rsidR="004B464F" w:rsidRPr="009F2E73">
        <w:rPr>
          <w:sz w:val="24"/>
          <w:szCs w:val="24"/>
        </w:rPr>
        <w:t xml:space="preserve">. </w:t>
      </w:r>
      <w:r w:rsidR="0058165C" w:rsidRPr="009F2E73">
        <w:rPr>
          <w:sz w:val="24"/>
          <w:szCs w:val="24"/>
        </w:rPr>
        <w:t>Although</w:t>
      </w:r>
      <w:r w:rsidR="006410CC" w:rsidRPr="009F2E73">
        <w:rPr>
          <w:sz w:val="24"/>
          <w:szCs w:val="24"/>
        </w:rPr>
        <w:t xml:space="preserve"> the COVID-19 pandemic impacted trends in </w:t>
      </w:r>
      <w:r w:rsidR="00B17997" w:rsidRPr="009F2E73">
        <w:rPr>
          <w:sz w:val="24"/>
          <w:szCs w:val="24"/>
        </w:rPr>
        <w:t>sexually transmitted disease (</w:t>
      </w:r>
      <w:r w:rsidR="002A0C78" w:rsidRPr="009F2E73">
        <w:rPr>
          <w:sz w:val="24"/>
          <w:szCs w:val="24"/>
        </w:rPr>
        <w:t>STD</w:t>
      </w:r>
      <w:r w:rsidR="00B17997" w:rsidRPr="009F2E73">
        <w:rPr>
          <w:sz w:val="24"/>
          <w:szCs w:val="24"/>
        </w:rPr>
        <w:t>)</w:t>
      </w:r>
      <w:r w:rsidR="002A0C78" w:rsidRPr="009F2E73">
        <w:rPr>
          <w:sz w:val="24"/>
          <w:szCs w:val="24"/>
        </w:rPr>
        <w:t xml:space="preserve"> surveillance in 2020</w:t>
      </w:r>
      <w:r w:rsidR="00C2020D" w:rsidRPr="009F2E73">
        <w:rPr>
          <w:sz w:val="24"/>
          <w:szCs w:val="24"/>
        </w:rPr>
        <w:t xml:space="preserve">, including </w:t>
      </w:r>
      <w:r w:rsidR="00B17997" w:rsidRPr="009F2E73">
        <w:rPr>
          <w:sz w:val="24"/>
          <w:szCs w:val="24"/>
        </w:rPr>
        <w:t>a reduction in the number of identified and reported</w:t>
      </w:r>
      <w:r w:rsidR="002D4DBB" w:rsidRPr="009F2E73">
        <w:rPr>
          <w:sz w:val="24"/>
          <w:szCs w:val="24"/>
        </w:rPr>
        <w:t xml:space="preserve"> P&amp;S syphilis</w:t>
      </w:r>
      <w:r w:rsidR="00B17997" w:rsidRPr="009F2E73">
        <w:rPr>
          <w:sz w:val="24"/>
          <w:szCs w:val="24"/>
        </w:rPr>
        <w:t xml:space="preserve"> cases</w:t>
      </w:r>
      <w:r w:rsidR="00C2020D" w:rsidRPr="009F2E73">
        <w:rPr>
          <w:sz w:val="24"/>
          <w:szCs w:val="24"/>
        </w:rPr>
        <w:t xml:space="preserve"> during the initial shelter-in-place orders</w:t>
      </w:r>
      <w:r w:rsidR="006410CC" w:rsidRPr="009F2E73">
        <w:rPr>
          <w:sz w:val="24"/>
          <w:szCs w:val="24"/>
        </w:rPr>
        <w:t xml:space="preserve">, </w:t>
      </w:r>
      <w:r w:rsidR="003D2E5D" w:rsidRPr="009F2E73">
        <w:rPr>
          <w:sz w:val="24"/>
          <w:szCs w:val="24"/>
        </w:rPr>
        <w:t xml:space="preserve">rates of reported P&amp;S syphilis </w:t>
      </w:r>
      <w:r w:rsidR="002D4DBB" w:rsidRPr="009F2E73">
        <w:rPr>
          <w:sz w:val="24"/>
          <w:szCs w:val="24"/>
        </w:rPr>
        <w:t xml:space="preserve">ultimately </w:t>
      </w:r>
      <w:r w:rsidR="003D2E5D" w:rsidRPr="009F2E73">
        <w:rPr>
          <w:sz w:val="24"/>
          <w:szCs w:val="24"/>
        </w:rPr>
        <w:t xml:space="preserve">increased 6.8% during 2019–2020 </w:t>
      </w:r>
      <w:r w:rsidR="00E52415" w:rsidRPr="009F2E73">
        <w:rPr>
          <w:sz w:val="24"/>
          <w:szCs w:val="24"/>
        </w:rPr>
        <w:t>(</w:t>
      </w:r>
      <w:r w:rsidR="00611F6E" w:rsidRPr="009F2E73">
        <w:rPr>
          <w:sz w:val="24"/>
          <w:szCs w:val="24"/>
        </w:rPr>
        <w:t>11.9</w:t>
      </w:r>
      <w:r w:rsidR="00E52415" w:rsidRPr="009F2E73">
        <w:rPr>
          <w:sz w:val="24"/>
          <w:szCs w:val="24"/>
        </w:rPr>
        <w:t xml:space="preserve"> to 12.7 cases per 100,000 persons) </w:t>
      </w:r>
      <w:r w:rsidR="003D2E5D" w:rsidRPr="009F2E73">
        <w:rPr>
          <w:sz w:val="24"/>
          <w:szCs w:val="24"/>
        </w:rPr>
        <w:t>and</w:t>
      </w:r>
      <w:r w:rsidR="0005215E" w:rsidRPr="009F2E73">
        <w:rPr>
          <w:sz w:val="24"/>
          <w:szCs w:val="24"/>
        </w:rPr>
        <w:t xml:space="preserve"> increased 47.7%</w:t>
      </w:r>
      <w:r w:rsidR="004F2BAE" w:rsidRPr="009F2E73">
        <w:rPr>
          <w:sz w:val="24"/>
          <w:szCs w:val="24"/>
        </w:rPr>
        <w:t xml:space="preserve"> </w:t>
      </w:r>
      <w:r w:rsidR="003D2E5D" w:rsidRPr="009F2E73">
        <w:rPr>
          <w:sz w:val="24"/>
          <w:szCs w:val="24"/>
        </w:rPr>
        <w:t xml:space="preserve">during 2016–2020 </w:t>
      </w:r>
      <w:r w:rsidR="004F2BAE" w:rsidRPr="009F2E73">
        <w:rPr>
          <w:sz w:val="24"/>
          <w:szCs w:val="24"/>
        </w:rPr>
        <w:t>(8.6 to 12.7 cases per 100,000</w:t>
      </w:r>
      <w:r w:rsidR="007F0B73" w:rsidRPr="009F2E73">
        <w:rPr>
          <w:sz w:val="24"/>
          <w:szCs w:val="24"/>
        </w:rPr>
        <w:t xml:space="preserve"> persons)</w:t>
      </w:r>
      <w:r w:rsidR="006410CC" w:rsidRPr="009F2E73">
        <w:rPr>
          <w:sz w:val="24"/>
          <w:szCs w:val="24"/>
        </w:rPr>
        <w:t>.</w:t>
      </w:r>
      <w:r w:rsidR="0058165C" w:rsidRPr="009F2E73">
        <w:rPr>
          <w:sz w:val="24"/>
          <w:szCs w:val="24"/>
        </w:rPr>
        <w:t xml:space="preserve"> </w:t>
      </w:r>
      <w:r w:rsidR="004B464F" w:rsidRPr="009F2E73">
        <w:rPr>
          <w:sz w:val="24"/>
          <w:szCs w:val="24"/>
        </w:rPr>
        <w:t xml:space="preserve"> </w:t>
      </w:r>
    </w:p>
    <w:p w14:paraId="32A9ECAE" w14:textId="3F70B9EF" w:rsidR="00D272A0" w:rsidRPr="009F2E73" w:rsidRDefault="003D5642" w:rsidP="00D272A0">
      <w:pPr>
        <w:rPr>
          <w:sz w:val="24"/>
          <w:szCs w:val="24"/>
        </w:rPr>
      </w:pPr>
      <w:r w:rsidRPr="009F2E73">
        <w:rPr>
          <w:i/>
          <w:sz w:val="24"/>
          <w:szCs w:val="24"/>
        </w:rPr>
        <w:t>Syphilis Surveillance Supplement</w:t>
      </w:r>
      <w:r w:rsidR="00985F3D" w:rsidRPr="009F2E73">
        <w:rPr>
          <w:i/>
          <w:sz w:val="24"/>
          <w:szCs w:val="24"/>
        </w:rPr>
        <w:t>al Slides</w:t>
      </w:r>
      <w:r w:rsidR="00E67F56" w:rsidRPr="009F2E73">
        <w:rPr>
          <w:i/>
          <w:sz w:val="24"/>
          <w:szCs w:val="24"/>
        </w:rPr>
        <w:t xml:space="preserve">, </w:t>
      </w:r>
      <w:r w:rsidRPr="009F2E73">
        <w:rPr>
          <w:i/>
          <w:sz w:val="24"/>
          <w:szCs w:val="24"/>
        </w:rPr>
        <w:t>201</w:t>
      </w:r>
      <w:r w:rsidR="006410CC" w:rsidRPr="009F2E73">
        <w:rPr>
          <w:i/>
          <w:sz w:val="24"/>
          <w:szCs w:val="24"/>
        </w:rPr>
        <w:t>6</w:t>
      </w:r>
      <w:r w:rsidRPr="009F2E73">
        <w:rPr>
          <w:i/>
          <w:sz w:val="24"/>
          <w:szCs w:val="24"/>
        </w:rPr>
        <w:t>–20</w:t>
      </w:r>
      <w:r w:rsidR="006410CC" w:rsidRPr="009F2E73">
        <w:rPr>
          <w:i/>
          <w:sz w:val="24"/>
          <w:szCs w:val="24"/>
        </w:rPr>
        <w:t>20</w:t>
      </w:r>
      <w:r w:rsidRPr="009F2E73">
        <w:rPr>
          <w:i/>
          <w:sz w:val="24"/>
          <w:szCs w:val="24"/>
        </w:rPr>
        <w:t xml:space="preserve"> </w:t>
      </w:r>
      <w:r w:rsidR="0084784C" w:rsidRPr="009F2E73">
        <w:rPr>
          <w:sz w:val="24"/>
          <w:szCs w:val="24"/>
        </w:rPr>
        <w:t>provide</w:t>
      </w:r>
      <w:r w:rsidR="00985F3D" w:rsidRPr="009F2E73">
        <w:rPr>
          <w:sz w:val="24"/>
          <w:szCs w:val="24"/>
        </w:rPr>
        <w:t>s</w:t>
      </w:r>
      <w:r w:rsidRPr="009F2E73">
        <w:rPr>
          <w:sz w:val="24"/>
          <w:szCs w:val="24"/>
        </w:rPr>
        <w:t xml:space="preserve"> </w:t>
      </w:r>
      <w:r w:rsidR="00702B20" w:rsidRPr="009F2E73">
        <w:rPr>
          <w:sz w:val="24"/>
          <w:szCs w:val="24"/>
        </w:rPr>
        <w:t xml:space="preserve">surveillance </w:t>
      </w:r>
      <w:r w:rsidR="00FF41A0" w:rsidRPr="009F2E73">
        <w:rPr>
          <w:sz w:val="24"/>
          <w:szCs w:val="24"/>
        </w:rPr>
        <w:t>data on</w:t>
      </w:r>
      <w:r w:rsidRPr="009F2E73">
        <w:rPr>
          <w:sz w:val="24"/>
          <w:szCs w:val="24"/>
        </w:rPr>
        <w:t xml:space="preserve"> </w:t>
      </w:r>
      <w:r w:rsidR="00FE6EE7" w:rsidRPr="009F2E73">
        <w:rPr>
          <w:sz w:val="24"/>
          <w:szCs w:val="24"/>
        </w:rPr>
        <w:t xml:space="preserve">selected </w:t>
      </w:r>
      <w:r w:rsidR="00B90380" w:rsidRPr="009F2E73">
        <w:rPr>
          <w:sz w:val="24"/>
          <w:szCs w:val="24"/>
        </w:rPr>
        <w:t xml:space="preserve">reported </w:t>
      </w:r>
      <w:r w:rsidRPr="009F2E73">
        <w:rPr>
          <w:sz w:val="24"/>
          <w:szCs w:val="24"/>
        </w:rPr>
        <w:t xml:space="preserve">behaviors among </w:t>
      </w:r>
      <w:r w:rsidR="004B464F" w:rsidRPr="009F2E73">
        <w:rPr>
          <w:sz w:val="24"/>
          <w:szCs w:val="24"/>
        </w:rPr>
        <w:t>P&amp;S</w:t>
      </w:r>
      <w:r w:rsidRPr="009F2E73">
        <w:rPr>
          <w:sz w:val="24"/>
          <w:szCs w:val="24"/>
        </w:rPr>
        <w:t xml:space="preserve"> syphilis cases in the United States during 201</w:t>
      </w:r>
      <w:r w:rsidR="006410CC" w:rsidRPr="009F2E73">
        <w:rPr>
          <w:sz w:val="24"/>
          <w:szCs w:val="24"/>
        </w:rPr>
        <w:t>6</w:t>
      </w:r>
      <w:r w:rsidRPr="009F2E73">
        <w:rPr>
          <w:sz w:val="24"/>
          <w:szCs w:val="24"/>
        </w:rPr>
        <w:t>–20</w:t>
      </w:r>
      <w:r w:rsidR="006410CC" w:rsidRPr="009F2E73">
        <w:rPr>
          <w:sz w:val="24"/>
          <w:szCs w:val="24"/>
        </w:rPr>
        <w:t>20</w:t>
      </w:r>
      <w:r w:rsidR="00E60D3D" w:rsidRPr="009F2E73">
        <w:rPr>
          <w:sz w:val="24"/>
          <w:szCs w:val="24"/>
        </w:rPr>
        <w:t xml:space="preserve">, stratified by </w:t>
      </w:r>
      <w:r w:rsidR="00867461" w:rsidRPr="009F2E73">
        <w:rPr>
          <w:sz w:val="24"/>
          <w:szCs w:val="24"/>
        </w:rPr>
        <w:t xml:space="preserve">region, race/Hispanic ethnicity, and </w:t>
      </w:r>
      <w:r w:rsidR="0058165C" w:rsidRPr="009F2E73">
        <w:rPr>
          <w:sz w:val="24"/>
          <w:szCs w:val="24"/>
        </w:rPr>
        <w:t xml:space="preserve">sex and </w:t>
      </w:r>
      <w:r w:rsidR="00867461" w:rsidRPr="009F2E73">
        <w:rPr>
          <w:sz w:val="24"/>
          <w:szCs w:val="24"/>
        </w:rPr>
        <w:t>sex of sex partners</w:t>
      </w:r>
      <w:r w:rsidRPr="009F2E73">
        <w:rPr>
          <w:sz w:val="24"/>
          <w:szCs w:val="24"/>
        </w:rPr>
        <w:t xml:space="preserve">. </w:t>
      </w:r>
      <w:r w:rsidR="00955C88" w:rsidRPr="009F2E73">
        <w:rPr>
          <w:sz w:val="24"/>
          <w:szCs w:val="24"/>
        </w:rPr>
        <w:t>The figures in these supplemental slides supersede those in earlier publications of these data.</w:t>
      </w:r>
      <w:r w:rsidR="00955C88" w:rsidRPr="009F2E73">
        <w:rPr>
          <w:rFonts w:ascii="Open Sans" w:hAnsi="Open Sans" w:cs="Open Sans"/>
          <w:color w:val="000000"/>
          <w:sz w:val="26"/>
          <w:szCs w:val="26"/>
          <w:shd w:val="clear" w:color="auto" w:fill="FFFFFF"/>
        </w:rPr>
        <w:t xml:space="preserve"> </w:t>
      </w:r>
      <w:r w:rsidR="00D272A0" w:rsidRPr="009F2E73">
        <w:rPr>
          <w:sz w:val="24"/>
          <w:szCs w:val="24"/>
        </w:rPr>
        <w:t xml:space="preserve">The </w:t>
      </w:r>
      <w:r w:rsidR="005F7ABD" w:rsidRPr="009F2E73">
        <w:rPr>
          <w:sz w:val="24"/>
          <w:szCs w:val="24"/>
        </w:rPr>
        <w:t xml:space="preserve">supplemental slides </w:t>
      </w:r>
      <w:r w:rsidR="001A61DB" w:rsidRPr="009F2E73">
        <w:rPr>
          <w:sz w:val="24"/>
          <w:szCs w:val="24"/>
        </w:rPr>
        <w:t xml:space="preserve">and data </w:t>
      </w:r>
      <w:r w:rsidR="00491A14" w:rsidRPr="009F2E73">
        <w:rPr>
          <w:sz w:val="24"/>
          <w:szCs w:val="24"/>
        </w:rPr>
        <w:t>points</w:t>
      </w:r>
      <w:r w:rsidR="001A61DB" w:rsidRPr="009F2E73">
        <w:rPr>
          <w:sz w:val="24"/>
          <w:szCs w:val="24"/>
        </w:rPr>
        <w:t xml:space="preserve"> are available at</w:t>
      </w:r>
      <w:r w:rsidR="00FE6EE7" w:rsidRPr="009F2E73">
        <w:rPr>
          <w:sz w:val="24"/>
          <w:szCs w:val="24"/>
        </w:rPr>
        <w:t xml:space="preserve">: </w:t>
      </w:r>
      <w:hyperlink r:id="rId18" w:history="1">
        <w:r w:rsidR="008055CC" w:rsidRPr="009F2E73">
          <w:rPr>
            <w:rStyle w:val="Hyperlink"/>
            <w:sz w:val="24"/>
            <w:szCs w:val="24"/>
          </w:rPr>
          <w:t>https://www.cdc.gov/std/statistics/syphilis-supplement/default.htm</w:t>
        </w:r>
      </w:hyperlink>
      <w:r w:rsidR="00FE6EE7" w:rsidRPr="009F2E73">
        <w:rPr>
          <w:sz w:val="24"/>
          <w:szCs w:val="24"/>
        </w:rPr>
        <w:t xml:space="preserve">. </w:t>
      </w:r>
    </w:p>
    <w:p w14:paraId="2EADA788" w14:textId="5CE96F54" w:rsidR="00854F47" w:rsidRDefault="00E67F56" w:rsidP="00E7796A">
      <w:pPr>
        <w:rPr>
          <w:sz w:val="24"/>
          <w:szCs w:val="24"/>
        </w:rPr>
      </w:pPr>
      <w:r w:rsidRPr="009F2E73">
        <w:rPr>
          <w:i/>
          <w:sz w:val="24"/>
          <w:szCs w:val="24"/>
        </w:rPr>
        <w:t xml:space="preserve">Syphilis Surveillance Supplemental Slides, </w:t>
      </w:r>
      <w:r w:rsidR="005D5E38" w:rsidRPr="009F2E73">
        <w:rPr>
          <w:i/>
          <w:sz w:val="24"/>
          <w:szCs w:val="24"/>
        </w:rPr>
        <w:t>201</w:t>
      </w:r>
      <w:r w:rsidR="00867461" w:rsidRPr="009F2E73">
        <w:rPr>
          <w:i/>
          <w:sz w:val="24"/>
          <w:szCs w:val="24"/>
        </w:rPr>
        <w:t>6</w:t>
      </w:r>
      <w:r w:rsidR="005D5E38" w:rsidRPr="009F2E73">
        <w:rPr>
          <w:i/>
          <w:sz w:val="24"/>
          <w:szCs w:val="24"/>
        </w:rPr>
        <w:t>–20</w:t>
      </w:r>
      <w:r w:rsidR="00867461" w:rsidRPr="009F2E73">
        <w:rPr>
          <w:i/>
          <w:sz w:val="24"/>
          <w:szCs w:val="24"/>
        </w:rPr>
        <w:t>20</w:t>
      </w:r>
      <w:r w:rsidR="005D5E38" w:rsidRPr="009F2E73">
        <w:rPr>
          <w:i/>
          <w:sz w:val="24"/>
          <w:szCs w:val="24"/>
        </w:rPr>
        <w:t xml:space="preserve"> </w:t>
      </w:r>
      <w:r w:rsidR="0084784C" w:rsidRPr="009F2E73">
        <w:rPr>
          <w:sz w:val="24"/>
          <w:szCs w:val="24"/>
        </w:rPr>
        <w:t>are</w:t>
      </w:r>
      <w:r w:rsidR="003D5642" w:rsidRPr="009F2E73">
        <w:rPr>
          <w:sz w:val="24"/>
          <w:szCs w:val="24"/>
        </w:rPr>
        <w:t xml:space="preserve"> </w:t>
      </w:r>
      <w:r w:rsidR="00E7796A" w:rsidRPr="009F2E73">
        <w:rPr>
          <w:sz w:val="24"/>
          <w:szCs w:val="24"/>
        </w:rPr>
        <w:t xml:space="preserve">best viewed as </w:t>
      </w:r>
      <w:r w:rsidR="00FF41A0" w:rsidRPr="009F2E73">
        <w:rPr>
          <w:sz w:val="24"/>
          <w:szCs w:val="24"/>
        </w:rPr>
        <w:t xml:space="preserve">a companion to </w:t>
      </w:r>
      <w:r w:rsidR="00FF41A0" w:rsidRPr="009F2E73">
        <w:rPr>
          <w:i/>
          <w:sz w:val="24"/>
          <w:szCs w:val="24"/>
        </w:rPr>
        <w:t xml:space="preserve">Sexually Transmitted Disease Surveillance </w:t>
      </w:r>
      <w:r w:rsidR="00867461" w:rsidRPr="009F2E73">
        <w:rPr>
          <w:i/>
          <w:sz w:val="24"/>
          <w:szCs w:val="24"/>
        </w:rPr>
        <w:t>2020</w:t>
      </w:r>
      <w:r w:rsidR="005C5D6C" w:rsidRPr="009F2E73">
        <w:rPr>
          <w:iCs/>
          <w:sz w:val="24"/>
          <w:szCs w:val="24"/>
        </w:rPr>
        <w:t>,</w:t>
      </w:r>
      <w:r w:rsidR="005C5D6C" w:rsidRPr="009F2E73">
        <w:rPr>
          <w:iCs/>
          <w:sz w:val="24"/>
          <w:szCs w:val="24"/>
          <w:vertAlign w:val="superscript"/>
        </w:rPr>
        <w:t>1</w:t>
      </w:r>
      <w:r w:rsidR="00E7796A" w:rsidRPr="009F2E73">
        <w:rPr>
          <w:sz w:val="24"/>
          <w:szCs w:val="24"/>
        </w:rPr>
        <w:t xml:space="preserve"> </w:t>
      </w:r>
      <w:r w:rsidR="00FF41A0" w:rsidRPr="009F2E73">
        <w:rPr>
          <w:sz w:val="24"/>
          <w:szCs w:val="24"/>
        </w:rPr>
        <w:t>which includes descriptions of trends in the number of syphilis cases and rates</w:t>
      </w:r>
      <w:r w:rsidR="00713DB4" w:rsidRPr="009F2E73">
        <w:rPr>
          <w:sz w:val="24"/>
          <w:szCs w:val="24"/>
        </w:rPr>
        <w:t xml:space="preserve"> over time</w:t>
      </w:r>
      <w:r w:rsidR="001A61DB" w:rsidRPr="009F2E73">
        <w:rPr>
          <w:sz w:val="24"/>
          <w:szCs w:val="24"/>
        </w:rPr>
        <w:t>,</w:t>
      </w:r>
      <w:r w:rsidR="004B464F" w:rsidRPr="009F2E73">
        <w:rPr>
          <w:sz w:val="24"/>
          <w:szCs w:val="24"/>
        </w:rPr>
        <w:t xml:space="preserve"> as well as </w:t>
      </w:r>
      <w:r w:rsidR="00FF41A0" w:rsidRPr="009F2E73">
        <w:rPr>
          <w:sz w:val="24"/>
          <w:szCs w:val="24"/>
        </w:rPr>
        <w:t xml:space="preserve">comparison of syphilis rates and trends among demographic groups. </w:t>
      </w:r>
      <w:proofErr w:type="gramStart"/>
      <w:r w:rsidR="00FF41A0" w:rsidRPr="009F2E73">
        <w:rPr>
          <w:sz w:val="24"/>
          <w:szCs w:val="24"/>
        </w:rPr>
        <w:t>Both of these</w:t>
      </w:r>
      <w:proofErr w:type="gramEnd"/>
      <w:r w:rsidR="00FF41A0" w:rsidRPr="009F2E73">
        <w:rPr>
          <w:sz w:val="24"/>
          <w:szCs w:val="24"/>
        </w:rPr>
        <w:t xml:space="preserve"> publications are intended as reference</w:t>
      </w:r>
      <w:r w:rsidR="003D5642" w:rsidRPr="009F2E73">
        <w:rPr>
          <w:sz w:val="24"/>
          <w:szCs w:val="24"/>
        </w:rPr>
        <w:t xml:space="preserve"> document</w:t>
      </w:r>
      <w:r w:rsidR="00FF41A0" w:rsidRPr="009F2E73">
        <w:rPr>
          <w:sz w:val="24"/>
          <w:szCs w:val="24"/>
        </w:rPr>
        <w:t>s</w:t>
      </w:r>
      <w:r w:rsidR="003D5642" w:rsidRPr="009F2E73">
        <w:rPr>
          <w:sz w:val="24"/>
          <w:szCs w:val="24"/>
        </w:rPr>
        <w:t xml:space="preserve"> for policy makers</w:t>
      </w:r>
      <w:r w:rsidR="003D5642" w:rsidRPr="00CD5E80">
        <w:rPr>
          <w:sz w:val="24"/>
          <w:szCs w:val="24"/>
        </w:rPr>
        <w:t>, program managers, researchers, and others who are concerned</w:t>
      </w:r>
      <w:r w:rsidR="00FF41A0" w:rsidRPr="00CD5E80">
        <w:rPr>
          <w:sz w:val="24"/>
          <w:szCs w:val="24"/>
        </w:rPr>
        <w:t xml:space="preserve"> with syphilis and its public health implications.</w:t>
      </w:r>
      <w:r w:rsidR="00854F47" w:rsidRPr="00CD5E80">
        <w:rPr>
          <w:sz w:val="24"/>
          <w:szCs w:val="24"/>
        </w:rPr>
        <w:t xml:space="preserve"> </w:t>
      </w:r>
    </w:p>
    <w:p w14:paraId="58F26C08" w14:textId="53DD6AF9" w:rsidR="0089034E" w:rsidRPr="00CD66ED" w:rsidRDefault="003D5642" w:rsidP="00CD66ED">
      <w:pPr>
        <w:pStyle w:val="Heading1"/>
        <w:rPr>
          <w:rFonts w:asciiTheme="minorHAnsi" w:hAnsiTheme="minorHAnsi" w:cstheme="minorHAnsi"/>
          <w:b/>
          <w:color w:val="auto"/>
          <w:sz w:val="36"/>
          <w:u w:val="single"/>
        </w:rPr>
      </w:pPr>
      <w:r w:rsidRPr="00CD66ED">
        <w:rPr>
          <w:rFonts w:asciiTheme="minorHAnsi" w:hAnsiTheme="minorHAnsi" w:cstheme="minorHAnsi"/>
          <w:b/>
          <w:color w:val="auto"/>
          <w:sz w:val="36"/>
          <w:u w:val="single"/>
        </w:rPr>
        <w:t>Methods</w:t>
      </w:r>
    </w:p>
    <w:p w14:paraId="3BE7B985" w14:textId="3925FC2B" w:rsidR="00B665C3" w:rsidRPr="00CD5E80" w:rsidRDefault="00717EC2">
      <w:pPr>
        <w:rPr>
          <w:b/>
          <w:sz w:val="28"/>
          <w:szCs w:val="28"/>
        </w:rPr>
      </w:pPr>
      <w:r>
        <w:rPr>
          <w:b/>
          <w:sz w:val="28"/>
          <w:szCs w:val="24"/>
        </w:rPr>
        <w:t>Data source</w:t>
      </w:r>
    </w:p>
    <w:p w14:paraId="582A25D0" w14:textId="6E76E53D" w:rsidR="00954DFC" w:rsidRDefault="00954DFC" w:rsidP="00C22D30">
      <w:pPr>
        <w:rPr>
          <w:sz w:val="24"/>
          <w:szCs w:val="24"/>
        </w:rPr>
      </w:pPr>
      <w:r w:rsidRPr="4E6ED0B5">
        <w:rPr>
          <w:sz w:val="24"/>
          <w:szCs w:val="24"/>
        </w:rPr>
        <w:t xml:space="preserve">P&amp;S syphilis case </w:t>
      </w:r>
      <w:r w:rsidR="00E153C0">
        <w:rPr>
          <w:sz w:val="24"/>
          <w:szCs w:val="24"/>
        </w:rPr>
        <w:t>notification</w:t>
      </w:r>
      <w:r w:rsidRPr="4E6ED0B5">
        <w:rPr>
          <w:sz w:val="24"/>
          <w:szCs w:val="24"/>
        </w:rPr>
        <w:t xml:space="preserve"> data were extracted from the National Notifiable Diseases Surveillance System (NNDSS), the system through which </w:t>
      </w:r>
      <w:r w:rsidR="000A141E" w:rsidRPr="4E6ED0B5">
        <w:rPr>
          <w:sz w:val="24"/>
          <w:szCs w:val="24"/>
        </w:rPr>
        <w:t xml:space="preserve">the Centers for Disease Control and Prevention (CDC) </w:t>
      </w:r>
      <w:r w:rsidRPr="4E6ED0B5">
        <w:rPr>
          <w:sz w:val="24"/>
          <w:szCs w:val="24"/>
        </w:rPr>
        <w:t xml:space="preserve">receives syphilis and other </w:t>
      </w:r>
      <w:r w:rsidR="00B17997">
        <w:rPr>
          <w:sz w:val="24"/>
          <w:szCs w:val="24"/>
        </w:rPr>
        <w:t>STD</w:t>
      </w:r>
      <w:r w:rsidRPr="4E6ED0B5">
        <w:rPr>
          <w:sz w:val="24"/>
          <w:szCs w:val="24"/>
        </w:rPr>
        <w:t xml:space="preserve"> </w:t>
      </w:r>
      <w:r w:rsidR="008F2361" w:rsidRPr="4E6ED0B5">
        <w:rPr>
          <w:sz w:val="24"/>
          <w:szCs w:val="24"/>
        </w:rPr>
        <w:t xml:space="preserve">case </w:t>
      </w:r>
      <w:r w:rsidR="00E153C0">
        <w:rPr>
          <w:sz w:val="24"/>
          <w:szCs w:val="24"/>
        </w:rPr>
        <w:t>notifications</w:t>
      </w:r>
      <w:r w:rsidR="00164491" w:rsidRPr="4E6ED0B5">
        <w:rPr>
          <w:sz w:val="24"/>
          <w:szCs w:val="24"/>
        </w:rPr>
        <w:t xml:space="preserve"> from state,</w:t>
      </w:r>
      <w:r w:rsidR="00607F41" w:rsidRPr="4E6ED0B5">
        <w:rPr>
          <w:sz w:val="24"/>
          <w:szCs w:val="24"/>
        </w:rPr>
        <w:t xml:space="preserve"> local, and territorial health departments</w:t>
      </w:r>
      <w:r w:rsidRPr="4E6ED0B5">
        <w:rPr>
          <w:sz w:val="24"/>
          <w:szCs w:val="24"/>
        </w:rPr>
        <w:t>.</w:t>
      </w:r>
      <w:r w:rsidR="00C51C8E" w:rsidRPr="4E6ED0B5">
        <w:rPr>
          <w:sz w:val="24"/>
          <w:szCs w:val="24"/>
        </w:rPr>
        <w:t xml:space="preserve"> </w:t>
      </w:r>
      <w:r w:rsidRPr="4E6ED0B5">
        <w:rPr>
          <w:sz w:val="24"/>
          <w:szCs w:val="24"/>
        </w:rPr>
        <w:t xml:space="preserve">Case </w:t>
      </w:r>
      <w:r w:rsidR="00E153C0">
        <w:rPr>
          <w:sz w:val="24"/>
          <w:szCs w:val="24"/>
        </w:rPr>
        <w:t>notification</w:t>
      </w:r>
      <w:r w:rsidRPr="4E6ED0B5">
        <w:rPr>
          <w:sz w:val="24"/>
          <w:szCs w:val="24"/>
        </w:rPr>
        <w:t xml:space="preserve"> data include demographic information and, for cases interviewed or investigated by </w:t>
      </w:r>
      <w:r w:rsidR="002747DB">
        <w:rPr>
          <w:sz w:val="24"/>
          <w:szCs w:val="24"/>
        </w:rPr>
        <w:t>public health staff</w:t>
      </w:r>
      <w:r w:rsidRPr="4E6ED0B5">
        <w:rPr>
          <w:sz w:val="24"/>
          <w:szCs w:val="24"/>
        </w:rPr>
        <w:t xml:space="preserve">, also include additional information about behaviors and characteristics, such as information about </w:t>
      </w:r>
      <w:r w:rsidR="00EB22B5">
        <w:rPr>
          <w:sz w:val="24"/>
          <w:szCs w:val="24"/>
        </w:rPr>
        <w:t>sexual behaviors</w:t>
      </w:r>
      <w:r w:rsidRPr="4E6ED0B5">
        <w:rPr>
          <w:sz w:val="24"/>
          <w:szCs w:val="24"/>
        </w:rPr>
        <w:t xml:space="preserve"> and </w:t>
      </w:r>
      <w:r w:rsidR="002747DB">
        <w:rPr>
          <w:sz w:val="24"/>
          <w:szCs w:val="24"/>
        </w:rPr>
        <w:t>substance</w:t>
      </w:r>
      <w:r w:rsidRPr="4E6ED0B5">
        <w:rPr>
          <w:sz w:val="24"/>
          <w:szCs w:val="24"/>
        </w:rPr>
        <w:t xml:space="preserve"> use within the past 12 months. </w:t>
      </w:r>
    </w:p>
    <w:p w14:paraId="6E68DD90" w14:textId="77777777" w:rsidR="00982934" w:rsidRPr="00982934" w:rsidRDefault="00982934">
      <w:pPr>
        <w:rPr>
          <w:b/>
          <w:sz w:val="10"/>
          <w:szCs w:val="10"/>
        </w:rPr>
      </w:pPr>
    </w:p>
    <w:p w14:paraId="1EC9B658" w14:textId="14421379" w:rsidR="0086796A" w:rsidRPr="00CD5E80" w:rsidRDefault="007D7831">
      <w:pPr>
        <w:rPr>
          <w:b/>
          <w:sz w:val="28"/>
          <w:szCs w:val="24"/>
        </w:rPr>
      </w:pPr>
      <w:r>
        <w:rPr>
          <w:b/>
          <w:sz w:val="28"/>
          <w:szCs w:val="24"/>
        </w:rPr>
        <w:t xml:space="preserve">Calculation of proportions </w:t>
      </w:r>
    </w:p>
    <w:p w14:paraId="69A59804" w14:textId="4724EC68" w:rsidR="002A1A08" w:rsidRDefault="00E153C0" w:rsidP="002A1A08">
      <w:pPr>
        <w:rPr>
          <w:sz w:val="24"/>
          <w:szCs w:val="24"/>
        </w:rPr>
      </w:pPr>
      <w:r>
        <w:rPr>
          <w:sz w:val="24"/>
          <w:szCs w:val="24"/>
        </w:rPr>
        <w:t xml:space="preserve">Although </w:t>
      </w:r>
      <w:r w:rsidR="006E4BE6" w:rsidRPr="00CD5E80">
        <w:rPr>
          <w:sz w:val="24"/>
          <w:szCs w:val="24"/>
        </w:rPr>
        <w:t xml:space="preserve">P&amp;S syphilis cases are typically prioritized by STD control programs for case investigation and are more likely to be reported with </w:t>
      </w:r>
      <w:r w:rsidR="007D7831">
        <w:rPr>
          <w:sz w:val="24"/>
          <w:szCs w:val="24"/>
        </w:rPr>
        <w:t xml:space="preserve">behavioral </w:t>
      </w:r>
      <w:r w:rsidR="006E4BE6" w:rsidRPr="00CD5E80">
        <w:rPr>
          <w:sz w:val="24"/>
          <w:szCs w:val="24"/>
        </w:rPr>
        <w:t>data compared to cases with other stages of syphilis</w:t>
      </w:r>
      <w:r w:rsidR="00680D73" w:rsidRPr="00CD5E80">
        <w:rPr>
          <w:sz w:val="24"/>
          <w:szCs w:val="24"/>
        </w:rPr>
        <w:t xml:space="preserve">, some </w:t>
      </w:r>
      <w:r w:rsidR="00C078C2">
        <w:rPr>
          <w:sz w:val="24"/>
          <w:szCs w:val="24"/>
        </w:rPr>
        <w:t xml:space="preserve">P&amp;S syphilis </w:t>
      </w:r>
      <w:r>
        <w:rPr>
          <w:sz w:val="24"/>
          <w:szCs w:val="24"/>
        </w:rPr>
        <w:t>case notifications</w:t>
      </w:r>
      <w:r w:rsidR="00680D73" w:rsidRPr="00CD5E80">
        <w:rPr>
          <w:sz w:val="24"/>
          <w:szCs w:val="24"/>
        </w:rPr>
        <w:t xml:space="preserve"> are submitted with missing or unknown </w:t>
      </w:r>
      <w:r w:rsidR="00491A14">
        <w:rPr>
          <w:sz w:val="24"/>
          <w:szCs w:val="24"/>
        </w:rPr>
        <w:t xml:space="preserve">behavioral </w:t>
      </w:r>
      <w:r w:rsidR="00680D73" w:rsidRPr="00CD5E80">
        <w:rPr>
          <w:sz w:val="24"/>
          <w:szCs w:val="24"/>
        </w:rPr>
        <w:t xml:space="preserve">data. For </w:t>
      </w:r>
      <w:r w:rsidR="00D73FB3">
        <w:rPr>
          <w:sz w:val="24"/>
          <w:szCs w:val="24"/>
        </w:rPr>
        <w:t>the figures in these slides</w:t>
      </w:r>
      <w:r w:rsidR="00680D73" w:rsidRPr="00CD5E80">
        <w:rPr>
          <w:sz w:val="24"/>
          <w:szCs w:val="24"/>
        </w:rPr>
        <w:t>, the proportion of cases reporting each behavior or characteristic was calculated among cases with known data for that variabl</w:t>
      </w:r>
      <w:r w:rsidR="0000448E">
        <w:rPr>
          <w:sz w:val="24"/>
          <w:szCs w:val="24"/>
        </w:rPr>
        <w:t xml:space="preserve">e (i.e., </w:t>
      </w:r>
      <w:r w:rsidR="00680D73" w:rsidRPr="00CD5E80">
        <w:rPr>
          <w:sz w:val="24"/>
          <w:szCs w:val="24"/>
        </w:rPr>
        <w:t>cases with unknown data for each variable were excluded from the analysis</w:t>
      </w:r>
      <w:r w:rsidR="0000448E">
        <w:rPr>
          <w:sz w:val="24"/>
          <w:szCs w:val="24"/>
        </w:rPr>
        <w:t>)</w:t>
      </w:r>
      <w:r w:rsidR="007A7BEF">
        <w:rPr>
          <w:sz w:val="24"/>
          <w:szCs w:val="24"/>
        </w:rPr>
        <w:t xml:space="preserve">. </w:t>
      </w:r>
      <w:r w:rsidR="00701683">
        <w:rPr>
          <w:sz w:val="24"/>
          <w:szCs w:val="24"/>
        </w:rPr>
        <w:t>The numerators and denominators used to calculate the proportions presented in the slides a</w:t>
      </w:r>
      <w:r w:rsidR="00202907">
        <w:rPr>
          <w:sz w:val="24"/>
          <w:szCs w:val="24"/>
        </w:rPr>
        <w:t>re included in the data points file.</w:t>
      </w:r>
    </w:p>
    <w:p w14:paraId="554D345F" w14:textId="77777777" w:rsidR="00337764" w:rsidRDefault="00337764" w:rsidP="00C8247C">
      <w:pPr>
        <w:rPr>
          <w:b/>
          <w:sz w:val="28"/>
          <w:szCs w:val="24"/>
        </w:rPr>
      </w:pPr>
    </w:p>
    <w:p w14:paraId="4E317D2C" w14:textId="67A2380D" w:rsidR="00C8247C" w:rsidRPr="00CD5E80" w:rsidRDefault="00C8247C" w:rsidP="00C8247C">
      <w:pPr>
        <w:rPr>
          <w:b/>
          <w:sz w:val="28"/>
          <w:szCs w:val="28"/>
        </w:rPr>
      </w:pPr>
      <w:r>
        <w:rPr>
          <w:b/>
          <w:sz w:val="28"/>
          <w:szCs w:val="24"/>
        </w:rPr>
        <w:lastRenderedPageBreak/>
        <w:t xml:space="preserve">Geography </w:t>
      </w:r>
    </w:p>
    <w:p w14:paraId="5B9BE1A4" w14:textId="36BB3AA5" w:rsidR="00C8247C" w:rsidRPr="009F2E73" w:rsidRDefault="00C8247C" w:rsidP="00C8247C">
      <w:pPr>
        <w:pStyle w:val="paragraph"/>
        <w:spacing w:line="276" w:lineRule="auto"/>
        <w:textAlignment w:val="baseline"/>
        <w:rPr>
          <w:rFonts w:asciiTheme="minorHAnsi" w:eastAsiaTheme="minorHAnsi" w:hAnsiTheme="minorHAnsi" w:cstheme="minorBidi"/>
        </w:rPr>
      </w:pPr>
      <w:r w:rsidRPr="00D10CAE">
        <w:rPr>
          <w:rFonts w:asciiTheme="minorHAnsi" w:eastAsiaTheme="minorHAnsi" w:hAnsiTheme="minorHAnsi" w:cstheme="minorBidi"/>
        </w:rPr>
        <w:t xml:space="preserve">Data presented in this report are limited to cases reported by the 50 states and District of Columbia, and do not include cases reported by territories and outlying areas of the United States. For the figures in these supplemental slides, trends are presented stratified by geographic region. Regions were defined according to census regions of the United States: the West (Alaska, Arizona, California, Colorado, Hawaii, Idaho, Montana, Nevada, New Mexico, Oregon, Utah, Washington, and Wyoming); Midwest (Illinois, Indiana, Iowa, Kansas, Michigan, Minnesota, Missouri, Nebraska, North Dakota, Ohio, South Dakota, and Wisconsin); South (Alabama, Arkansas, Delaware, District of Columbia, Florida, Georgia, Kentucky, Louisiana, Maryland, Mississippi, North Carolina, Oklahoma, South Carolina, Tennessee, Texas, Virginia, and West Virginia); and Northeast (Connecticut, Maine, Massachusetts, New Hampshire, New Jersey, New </w:t>
      </w:r>
      <w:r w:rsidRPr="009F2E73">
        <w:rPr>
          <w:rFonts w:asciiTheme="minorHAnsi" w:eastAsiaTheme="minorHAnsi" w:hAnsiTheme="minorHAnsi" w:cstheme="minorBidi"/>
        </w:rPr>
        <w:t>York, Pennsylvania, Rhode Island, and Vermont).</w:t>
      </w:r>
    </w:p>
    <w:p w14:paraId="6935C797" w14:textId="77777777" w:rsidR="00C8247C" w:rsidRPr="009F2E73" w:rsidRDefault="00C8247C" w:rsidP="00680D73">
      <w:pPr>
        <w:rPr>
          <w:b/>
          <w:sz w:val="10"/>
          <w:szCs w:val="10"/>
        </w:rPr>
      </w:pPr>
    </w:p>
    <w:p w14:paraId="591C2A3B" w14:textId="77777777" w:rsidR="00C8247C" w:rsidRPr="009F2E73" w:rsidRDefault="00C8247C" w:rsidP="00680D73">
      <w:pPr>
        <w:rPr>
          <w:b/>
          <w:sz w:val="28"/>
          <w:szCs w:val="24"/>
        </w:rPr>
      </w:pPr>
      <w:r w:rsidRPr="009F2E73">
        <w:rPr>
          <w:b/>
          <w:sz w:val="28"/>
          <w:szCs w:val="24"/>
        </w:rPr>
        <w:t>Race/Hispanic Ethnicity</w:t>
      </w:r>
    </w:p>
    <w:p w14:paraId="3F788B74" w14:textId="52920157" w:rsidR="007F052B" w:rsidRPr="007F052B" w:rsidRDefault="000053FD" w:rsidP="008254F3">
      <w:pPr>
        <w:pStyle w:val="NormalWeb"/>
        <w:shd w:val="clear" w:color="auto" w:fill="FFFFFF"/>
        <w:spacing w:before="0" w:beforeAutospacing="0" w:line="276" w:lineRule="auto"/>
        <w:rPr>
          <w:rFonts w:asciiTheme="minorHAnsi" w:eastAsiaTheme="minorHAnsi" w:hAnsiTheme="minorHAnsi" w:cstheme="minorBidi"/>
        </w:rPr>
      </w:pPr>
      <w:r w:rsidRPr="009F2E73">
        <w:rPr>
          <w:rFonts w:asciiTheme="minorHAnsi" w:eastAsiaTheme="minorHAnsi" w:hAnsiTheme="minorHAnsi" w:cstheme="minorBidi"/>
        </w:rPr>
        <w:t>STD case notifications</w:t>
      </w:r>
      <w:r w:rsidR="00DF5F7A" w:rsidRPr="009F2E73">
        <w:rPr>
          <w:rFonts w:asciiTheme="minorHAnsi" w:eastAsiaTheme="minorHAnsi" w:hAnsiTheme="minorHAnsi" w:cstheme="minorBidi"/>
        </w:rPr>
        <w:t xml:space="preserve"> are reported with information on both race and Hispanic ethnicity. </w:t>
      </w:r>
      <w:r w:rsidR="008254F3" w:rsidRPr="009F2E73">
        <w:rPr>
          <w:rFonts w:asciiTheme="minorHAnsi" w:eastAsiaTheme="minorHAnsi" w:hAnsiTheme="minorHAnsi" w:cstheme="minorBidi"/>
        </w:rPr>
        <w:t>For the figures in these supplemental slides</w:t>
      </w:r>
      <w:r w:rsidR="007F052B" w:rsidRPr="009F2E73">
        <w:rPr>
          <w:rFonts w:asciiTheme="minorHAnsi" w:eastAsiaTheme="minorHAnsi" w:hAnsiTheme="minorHAnsi" w:cstheme="minorBidi"/>
        </w:rPr>
        <w:t xml:space="preserve">, race/Hispanic ethnicity is categorized first by reported Hispanic ethnicity, then by reported race. Therefore, cases categorized as Hispanic/Latino can be of any race; cases categorized into a race group include both non-Hispanic persons and persons of unknown Hispanic ethnicity. </w:t>
      </w:r>
      <w:r w:rsidR="008254F3" w:rsidRPr="009F2E73">
        <w:rPr>
          <w:rFonts w:asciiTheme="minorHAnsi" w:eastAsiaTheme="minorHAnsi" w:hAnsiTheme="minorHAnsi" w:cstheme="minorBidi"/>
        </w:rPr>
        <w:t>Figures</w:t>
      </w:r>
      <w:r w:rsidR="007F052B" w:rsidRPr="009F2E73">
        <w:rPr>
          <w:rFonts w:asciiTheme="minorHAnsi" w:eastAsiaTheme="minorHAnsi" w:hAnsiTheme="minorHAnsi" w:cstheme="minorBidi"/>
        </w:rPr>
        <w:t xml:space="preserve"> displays trends among Hispanic persons, non-Hispanic White persons, and non-Hispanic African American/Black persons. Non-Hispanic persons of other races or reported with unknown race are displayed in a single group.</w:t>
      </w:r>
      <w:r w:rsidR="008254F3" w:rsidRPr="009F2E73">
        <w:rPr>
          <w:rFonts w:asciiTheme="minorHAnsi" w:eastAsiaTheme="minorHAnsi" w:hAnsiTheme="minorHAnsi" w:cstheme="minorBidi"/>
        </w:rPr>
        <w:t xml:space="preserve"> For more information on reporting of race/Hispanic ethnicity for STD case notifications, including changes over time, see: </w:t>
      </w:r>
      <w:hyperlink r:id="rId19" w:history="1">
        <w:r w:rsidR="006E3A09" w:rsidRPr="009F2E73">
          <w:rPr>
            <w:rStyle w:val="Hyperlink"/>
            <w:rFonts w:asciiTheme="minorHAnsi" w:eastAsiaTheme="minorHAnsi" w:hAnsiTheme="minorHAnsi" w:cstheme="minorBidi"/>
          </w:rPr>
          <w:t>https://www.cdc.gov/std/statistics/2020/technical-notes.htm</w:t>
        </w:r>
      </w:hyperlink>
      <w:r w:rsidR="006E3A09">
        <w:rPr>
          <w:rFonts w:asciiTheme="minorHAnsi" w:eastAsiaTheme="minorHAnsi" w:hAnsiTheme="minorHAnsi" w:cstheme="minorBidi"/>
        </w:rPr>
        <w:t xml:space="preserve"> </w:t>
      </w:r>
    </w:p>
    <w:p w14:paraId="6F4475AB" w14:textId="21A1FEE6" w:rsidR="00D815AD" w:rsidRDefault="00D815AD" w:rsidP="00D815AD">
      <w:pPr>
        <w:rPr>
          <w:b/>
          <w:sz w:val="28"/>
          <w:szCs w:val="24"/>
        </w:rPr>
      </w:pPr>
      <w:r>
        <w:rPr>
          <w:b/>
          <w:sz w:val="28"/>
          <w:szCs w:val="24"/>
        </w:rPr>
        <w:t>Sex and Sex of Sex Partners</w:t>
      </w:r>
    </w:p>
    <w:p w14:paraId="559B0235" w14:textId="41A1EFBA" w:rsidR="00D815AD" w:rsidRDefault="00D815AD" w:rsidP="00D815AD">
      <w:pPr>
        <w:rPr>
          <w:sz w:val="24"/>
          <w:szCs w:val="28"/>
        </w:rPr>
      </w:pPr>
      <w:r w:rsidRPr="00CD5E80">
        <w:rPr>
          <w:sz w:val="24"/>
          <w:szCs w:val="28"/>
        </w:rPr>
        <w:t>For</w:t>
      </w:r>
      <w:r>
        <w:rPr>
          <w:sz w:val="24"/>
          <w:szCs w:val="28"/>
        </w:rPr>
        <w:t xml:space="preserve"> the figures in</w:t>
      </w:r>
      <w:r w:rsidRPr="00CD5E80">
        <w:rPr>
          <w:sz w:val="24"/>
          <w:szCs w:val="28"/>
        </w:rPr>
        <w:t xml:space="preserve"> th</w:t>
      </w:r>
      <w:r>
        <w:rPr>
          <w:sz w:val="24"/>
          <w:szCs w:val="28"/>
        </w:rPr>
        <w:t>ese supplemental slides</w:t>
      </w:r>
      <w:r w:rsidRPr="00CD5E80">
        <w:rPr>
          <w:sz w:val="24"/>
          <w:szCs w:val="28"/>
        </w:rPr>
        <w:t xml:space="preserve">, </w:t>
      </w:r>
      <w:r>
        <w:rPr>
          <w:sz w:val="24"/>
          <w:szCs w:val="28"/>
        </w:rPr>
        <w:t>trends are presented stratified by sex and sex of sex partners. M</w:t>
      </w:r>
      <w:r w:rsidRPr="00CD5E80">
        <w:rPr>
          <w:sz w:val="24"/>
          <w:szCs w:val="28"/>
        </w:rPr>
        <w:t>ale cases were categorized as gay, bisexual, or other men who have sex with men (MSM) if they reported having sex with any male partner in the last 12 months</w:t>
      </w:r>
      <w:r>
        <w:rPr>
          <w:sz w:val="24"/>
          <w:szCs w:val="28"/>
        </w:rPr>
        <w:t>, including men w</w:t>
      </w:r>
      <w:r w:rsidR="00380BA7">
        <w:rPr>
          <w:sz w:val="24"/>
          <w:szCs w:val="28"/>
        </w:rPr>
        <w:t>ho also reported sex with female partners in the last 12 months</w:t>
      </w:r>
      <w:r w:rsidRPr="00CD5E80">
        <w:rPr>
          <w:sz w:val="24"/>
          <w:szCs w:val="28"/>
        </w:rPr>
        <w:t xml:space="preserve">. Male cases were categorized as men who have sex with women only (MSW) if they reported having sex with only female partners in the last 12 months. </w:t>
      </w:r>
      <w:r>
        <w:rPr>
          <w:sz w:val="24"/>
          <w:szCs w:val="28"/>
        </w:rPr>
        <w:t xml:space="preserve"> </w:t>
      </w:r>
      <w:r w:rsidR="002E46B6">
        <w:rPr>
          <w:sz w:val="24"/>
          <w:szCs w:val="28"/>
        </w:rPr>
        <w:t>Data for m</w:t>
      </w:r>
      <w:r>
        <w:rPr>
          <w:sz w:val="24"/>
          <w:szCs w:val="28"/>
        </w:rPr>
        <w:t xml:space="preserve">ale cases reported with unknown sex of sex partners </w:t>
      </w:r>
      <w:r w:rsidR="002E46B6">
        <w:rPr>
          <w:sz w:val="24"/>
          <w:szCs w:val="28"/>
        </w:rPr>
        <w:t>are not included in this report.</w:t>
      </w:r>
      <w:r>
        <w:rPr>
          <w:sz w:val="24"/>
          <w:szCs w:val="28"/>
        </w:rPr>
        <w:t xml:space="preserve"> </w:t>
      </w:r>
    </w:p>
    <w:p w14:paraId="7B28DAFA" w14:textId="4954B408" w:rsidR="00E63CDE" w:rsidRPr="00E63CDE" w:rsidRDefault="00DF69E9" w:rsidP="00680D73">
      <w:pPr>
        <w:rPr>
          <w:b/>
          <w:sz w:val="28"/>
          <w:szCs w:val="24"/>
        </w:rPr>
      </w:pPr>
      <w:r>
        <w:rPr>
          <w:b/>
          <w:sz w:val="28"/>
          <w:szCs w:val="24"/>
        </w:rPr>
        <w:t>R</w:t>
      </w:r>
      <w:r w:rsidR="00E63CDE" w:rsidRPr="00E63CDE">
        <w:rPr>
          <w:b/>
          <w:sz w:val="28"/>
          <w:szCs w:val="24"/>
        </w:rPr>
        <w:t xml:space="preserve">eported </w:t>
      </w:r>
      <w:r w:rsidR="00380BA7">
        <w:rPr>
          <w:b/>
          <w:sz w:val="28"/>
          <w:szCs w:val="24"/>
        </w:rPr>
        <w:t xml:space="preserve">substance use behaviors, sexual </w:t>
      </w:r>
      <w:r w:rsidR="00E63CDE" w:rsidRPr="00E63CDE">
        <w:rPr>
          <w:b/>
          <w:sz w:val="28"/>
          <w:szCs w:val="24"/>
        </w:rPr>
        <w:t>behaviors</w:t>
      </w:r>
      <w:r w:rsidR="00380BA7">
        <w:rPr>
          <w:b/>
          <w:sz w:val="28"/>
          <w:szCs w:val="24"/>
        </w:rPr>
        <w:t>, and incarceration history</w:t>
      </w:r>
    </w:p>
    <w:p w14:paraId="07CE5DF2" w14:textId="4ECF69BF" w:rsidR="004E33E1" w:rsidRPr="009F2E73" w:rsidRDefault="00380BA7" w:rsidP="00680D73">
      <w:pPr>
        <w:rPr>
          <w:sz w:val="24"/>
          <w:szCs w:val="24"/>
        </w:rPr>
      </w:pPr>
      <w:r>
        <w:rPr>
          <w:b/>
          <w:i/>
          <w:sz w:val="24"/>
          <w:szCs w:val="24"/>
        </w:rPr>
        <w:t>Substance</w:t>
      </w:r>
      <w:r w:rsidR="00680D73" w:rsidRPr="004B24A0">
        <w:rPr>
          <w:b/>
          <w:i/>
          <w:sz w:val="24"/>
          <w:szCs w:val="24"/>
        </w:rPr>
        <w:t xml:space="preserve"> use</w:t>
      </w:r>
      <w:r w:rsidR="00680D73" w:rsidRPr="00CD5E80">
        <w:rPr>
          <w:b/>
          <w:sz w:val="24"/>
          <w:szCs w:val="24"/>
        </w:rPr>
        <w:t xml:space="preserve">: </w:t>
      </w:r>
      <w:r w:rsidR="006E4BE6" w:rsidRPr="00CD5E80">
        <w:rPr>
          <w:sz w:val="24"/>
          <w:szCs w:val="24"/>
        </w:rPr>
        <w:t xml:space="preserve">For </w:t>
      </w:r>
      <w:r w:rsidR="000A6754">
        <w:rPr>
          <w:sz w:val="24"/>
          <w:szCs w:val="24"/>
        </w:rPr>
        <w:t>the</w:t>
      </w:r>
      <w:r w:rsidR="006E692F">
        <w:rPr>
          <w:sz w:val="24"/>
          <w:szCs w:val="24"/>
        </w:rPr>
        <w:t xml:space="preserve"> figures in </w:t>
      </w:r>
      <w:r w:rsidR="008254F3" w:rsidRPr="00CD5E80">
        <w:rPr>
          <w:sz w:val="24"/>
          <w:szCs w:val="28"/>
        </w:rPr>
        <w:t>th</w:t>
      </w:r>
      <w:r w:rsidR="008254F3">
        <w:rPr>
          <w:sz w:val="24"/>
          <w:szCs w:val="28"/>
        </w:rPr>
        <w:t>ese supplemental slides</w:t>
      </w:r>
      <w:r w:rsidR="000A6754">
        <w:rPr>
          <w:sz w:val="24"/>
          <w:szCs w:val="24"/>
        </w:rPr>
        <w:t>, t</w:t>
      </w:r>
      <w:r w:rsidR="00833DA3">
        <w:rPr>
          <w:sz w:val="24"/>
          <w:szCs w:val="24"/>
        </w:rPr>
        <w:t>rends in the proportion of cases that reported using</w:t>
      </w:r>
      <w:r w:rsidR="00CF0D0B">
        <w:rPr>
          <w:sz w:val="24"/>
          <w:szCs w:val="24"/>
        </w:rPr>
        <w:t xml:space="preserve"> cocaine, crack,</w:t>
      </w:r>
      <w:r w:rsidR="00833DA3">
        <w:rPr>
          <w:sz w:val="24"/>
          <w:szCs w:val="24"/>
        </w:rPr>
        <w:t xml:space="preserve"> </w:t>
      </w:r>
      <w:r w:rsidR="00047698">
        <w:rPr>
          <w:sz w:val="24"/>
          <w:szCs w:val="24"/>
        </w:rPr>
        <w:t xml:space="preserve">heroin, </w:t>
      </w:r>
      <w:r w:rsidR="006E4BE6" w:rsidRPr="00CD5E80">
        <w:rPr>
          <w:sz w:val="24"/>
          <w:szCs w:val="24"/>
        </w:rPr>
        <w:t>injection dru</w:t>
      </w:r>
      <w:r w:rsidR="00833DA3">
        <w:rPr>
          <w:sz w:val="24"/>
          <w:szCs w:val="24"/>
        </w:rPr>
        <w:t>gs</w:t>
      </w:r>
      <w:r w:rsidR="006E4BE6" w:rsidRPr="00CD5E80">
        <w:rPr>
          <w:sz w:val="24"/>
          <w:szCs w:val="24"/>
        </w:rPr>
        <w:t xml:space="preserve">, </w:t>
      </w:r>
      <w:r w:rsidR="00673B26">
        <w:rPr>
          <w:sz w:val="24"/>
          <w:szCs w:val="24"/>
        </w:rPr>
        <w:t xml:space="preserve">or </w:t>
      </w:r>
      <w:r w:rsidR="006E4BE6" w:rsidRPr="00CD5E80">
        <w:rPr>
          <w:sz w:val="24"/>
          <w:szCs w:val="24"/>
        </w:rPr>
        <w:t>methamphetamin</w:t>
      </w:r>
      <w:r w:rsidR="00833DA3">
        <w:rPr>
          <w:sz w:val="24"/>
          <w:szCs w:val="24"/>
        </w:rPr>
        <w:t>es</w:t>
      </w:r>
      <w:r w:rsidR="00673B26">
        <w:rPr>
          <w:sz w:val="24"/>
          <w:szCs w:val="24"/>
        </w:rPr>
        <w:t xml:space="preserve"> </w:t>
      </w:r>
      <w:r w:rsidR="00423A07">
        <w:rPr>
          <w:sz w:val="24"/>
          <w:szCs w:val="24"/>
        </w:rPr>
        <w:t xml:space="preserve">in the past 12 months </w:t>
      </w:r>
      <w:r w:rsidR="00833DA3">
        <w:rPr>
          <w:sz w:val="24"/>
          <w:szCs w:val="24"/>
        </w:rPr>
        <w:t xml:space="preserve">are presented. </w:t>
      </w:r>
      <w:r w:rsidR="00680D73" w:rsidRPr="00CD5E80">
        <w:rPr>
          <w:sz w:val="24"/>
          <w:szCs w:val="24"/>
        </w:rPr>
        <w:t xml:space="preserve">Injection drug use is collected and reported as a </w:t>
      </w:r>
      <w:r w:rsidR="00435727" w:rsidRPr="00CD5E80">
        <w:rPr>
          <w:sz w:val="24"/>
          <w:szCs w:val="24"/>
        </w:rPr>
        <w:t>“</w:t>
      </w:r>
      <w:r w:rsidR="00680D73" w:rsidRPr="00CD5E80">
        <w:rPr>
          <w:sz w:val="24"/>
          <w:szCs w:val="24"/>
        </w:rPr>
        <w:t>yes/no</w:t>
      </w:r>
      <w:r w:rsidR="00435727" w:rsidRPr="00CD5E80">
        <w:rPr>
          <w:sz w:val="24"/>
          <w:szCs w:val="24"/>
        </w:rPr>
        <w:t>”</w:t>
      </w:r>
      <w:r w:rsidR="00680D73" w:rsidRPr="00CD5E80">
        <w:rPr>
          <w:sz w:val="24"/>
          <w:szCs w:val="24"/>
        </w:rPr>
        <w:t xml:space="preserve"> question; therefore, the proportion of cases with reported injection drug use was calculated among those cases reported with a “yes” response or a “no” response. </w:t>
      </w:r>
      <w:r w:rsidR="00DB1951">
        <w:rPr>
          <w:sz w:val="24"/>
          <w:szCs w:val="24"/>
        </w:rPr>
        <w:t xml:space="preserve">For the </w:t>
      </w:r>
      <w:r w:rsidR="00680D73" w:rsidRPr="00CD5E80">
        <w:rPr>
          <w:sz w:val="24"/>
          <w:szCs w:val="24"/>
        </w:rPr>
        <w:t xml:space="preserve">remaining </w:t>
      </w:r>
      <w:r w:rsidR="00673B26">
        <w:rPr>
          <w:sz w:val="24"/>
          <w:szCs w:val="24"/>
        </w:rPr>
        <w:t>substance</w:t>
      </w:r>
      <w:r w:rsidR="00680D73" w:rsidRPr="00CD5E80">
        <w:rPr>
          <w:sz w:val="24"/>
          <w:szCs w:val="24"/>
        </w:rPr>
        <w:t xml:space="preserve"> use variables (e.g., </w:t>
      </w:r>
      <w:r w:rsidR="00673B26">
        <w:rPr>
          <w:sz w:val="24"/>
          <w:szCs w:val="24"/>
        </w:rPr>
        <w:t>crack</w:t>
      </w:r>
      <w:r w:rsidR="00680D73" w:rsidRPr="00CD5E80">
        <w:rPr>
          <w:sz w:val="24"/>
          <w:szCs w:val="24"/>
        </w:rPr>
        <w:t>, heroin, etc</w:t>
      </w:r>
      <w:r w:rsidR="00195A80" w:rsidRPr="00CD5E80">
        <w:rPr>
          <w:sz w:val="24"/>
          <w:szCs w:val="24"/>
        </w:rPr>
        <w:t>.</w:t>
      </w:r>
      <w:r w:rsidR="00680D73" w:rsidRPr="00CD5E80">
        <w:rPr>
          <w:sz w:val="24"/>
          <w:szCs w:val="24"/>
        </w:rPr>
        <w:t>)</w:t>
      </w:r>
      <w:r w:rsidR="00DB1951">
        <w:rPr>
          <w:sz w:val="24"/>
          <w:szCs w:val="24"/>
        </w:rPr>
        <w:t xml:space="preserve">, </w:t>
      </w:r>
      <w:r w:rsidR="00DB1951" w:rsidRPr="00CD5E80">
        <w:rPr>
          <w:sz w:val="24"/>
          <w:szCs w:val="24"/>
        </w:rPr>
        <w:t xml:space="preserve">some </w:t>
      </w:r>
      <w:r w:rsidR="00673B26">
        <w:rPr>
          <w:sz w:val="24"/>
          <w:szCs w:val="24"/>
        </w:rPr>
        <w:t>reporting jurisdictions</w:t>
      </w:r>
      <w:r w:rsidR="00DB1951" w:rsidRPr="00CD5E80">
        <w:rPr>
          <w:sz w:val="24"/>
          <w:szCs w:val="24"/>
        </w:rPr>
        <w:t xml:space="preserve"> collected data </w:t>
      </w:r>
      <w:r w:rsidR="00DB1951">
        <w:rPr>
          <w:sz w:val="24"/>
          <w:szCs w:val="24"/>
        </w:rPr>
        <w:t>in a</w:t>
      </w:r>
      <w:r w:rsidR="00435727" w:rsidRPr="00CD5E80">
        <w:rPr>
          <w:sz w:val="24"/>
          <w:szCs w:val="24"/>
        </w:rPr>
        <w:t xml:space="preserve"> “check all that apply” format </w:t>
      </w:r>
      <w:r w:rsidR="00680D73" w:rsidRPr="00CD5E80">
        <w:rPr>
          <w:sz w:val="24"/>
          <w:szCs w:val="24"/>
        </w:rPr>
        <w:t>and did not routinely report “n</w:t>
      </w:r>
      <w:r w:rsidR="00435727" w:rsidRPr="00CD5E80">
        <w:rPr>
          <w:sz w:val="24"/>
          <w:szCs w:val="24"/>
        </w:rPr>
        <w:t xml:space="preserve">o” responses to these variables. </w:t>
      </w:r>
      <w:r w:rsidR="00DB1951">
        <w:rPr>
          <w:sz w:val="24"/>
          <w:szCs w:val="24"/>
        </w:rPr>
        <w:t>Therefore, f</w:t>
      </w:r>
      <w:r w:rsidR="00435727" w:rsidRPr="00CD5E80">
        <w:rPr>
          <w:sz w:val="24"/>
          <w:szCs w:val="24"/>
        </w:rPr>
        <w:t>or these variables,</w:t>
      </w:r>
      <w:r w:rsidR="00680D73" w:rsidRPr="00CD5E80">
        <w:rPr>
          <w:sz w:val="24"/>
          <w:szCs w:val="24"/>
        </w:rPr>
        <w:t xml:space="preserve"> </w:t>
      </w:r>
      <w:r w:rsidR="00435727" w:rsidRPr="00CD5E80">
        <w:rPr>
          <w:sz w:val="24"/>
          <w:szCs w:val="24"/>
        </w:rPr>
        <w:t xml:space="preserve">missing data could indicate either (1) the case </w:t>
      </w:r>
      <w:r w:rsidR="00435727" w:rsidRPr="009F2E73">
        <w:rPr>
          <w:sz w:val="24"/>
          <w:szCs w:val="24"/>
        </w:rPr>
        <w:lastRenderedPageBreak/>
        <w:t xml:space="preserve">reported that </w:t>
      </w:r>
      <w:r w:rsidR="0011101F" w:rsidRPr="009F2E73">
        <w:rPr>
          <w:sz w:val="24"/>
          <w:szCs w:val="24"/>
        </w:rPr>
        <w:t>they</w:t>
      </w:r>
      <w:r w:rsidR="00435727" w:rsidRPr="009F2E73">
        <w:rPr>
          <w:sz w:val="24"/>
          <w:szCs w:val="24"/>
        </w:rPr>
        <w:t xml:space="preserve"> did not use that </w:t>
      </w:r>
      <w:r w:rsidR="00673B26" w:rsidRPr="009F2E73">
        <w:rPr>
          <w:sz w:val="24"/>
          <w:szCs w:val="24"/>
        </w:rPr>
        <w:t>substance</w:t>
      </w:r>
      <w:r w:rsidR="00435727" w:rsidRPr="009F2E73">
        <w:rPr>
          <w:sz w:val="24"/>
          <w:szCs w:val="24"/>
        </w:rPr>
        <w:t xml:space="preserve">, or (2) </w:t>
      </w:r>
      <w:r w:rsidR="00DB1951" w:rsidRPr="009F2E73">
        <w:rPr>
          <w:sz w:val="24"/>
          <w:szCs w:val="24"/>
        </w:rPr>
        <w:t xml:space="preserve">it is unknown if the case used that </w:t>
      </w:r>
      <w:r w:rsidR="00673B26" w:rsidRPr="009F2E73">
        <w:rPr>
          <w:sz w:val="24"/>
          <w:szCs w:val="24"/>
        </w:rPr>
        <w:t>substance</w:t>
      </w:r>
      <w:r w:rsidR="00435727" w:rsidRPr="009F2E73">
        <w:rPr>
          <w:sz w:val="24"/>
          <w:szCs w:val="24"/>
        </w:rPr>
        <w:t xml:space="preserve">. For this reason, for each of the </w:t>
      </w:r>
      <w:r w:rsidR="00673B26" w:rsidRPr="009F2E73">
        <w:rPr>
          <w:sz w:val="24"/>
          <w:szCs w:val="24"/>
        </w:rPr>
        <w:t xml:space="preserve">substance </w:t>
      </w:r>
      <w:r w:rsidR="00435727" w:rsidRPr="009F2E73">
        <w:rPr>
          <w:sz w:val="24"/>
          <w:szCs w:val="24"/>
        </w:rPr>
        <w:t>variables other than injection drug use,</w:t>
      </w:r>
      <w:r w:rsidR="00680D73" w:rsidRPr="009F2E73">
        <w:rPr>
          <w:sz w:val="24"/>
          <w:szCs w:val="24"/>
        </w:rPr>
        <w:t xml:space="preserve"> missing and unknown responses for </w:t>
      </w:r>
      <w:r w:rsidR="00435727" w:rsidRPr="009F2E73">
        <w:rPr>
          <w:sz w:val="24"/>
          <w:szCs w:val="24"/>
        </w:rPr>
        <w:t>the variable</w:t>
      </w:r>
      <w:r w:rsidR="00680D73" w:rsidRPr="009F2E73">
        <w:rPr>
          <w:sz w:val="24"/>
          <w:szCs w:val="24"/>
        </w:rPr>
        <w:t xml:space="preserve"> were </w:t>
      </w:r>
      <w:r w:rsidR="00435727" w:rsidRPr="009F2E73">
        <w:rPr>
          <w:sz w:val="24"/>
          <w:szCs w:val="24"/>
        </w:rPr>
        <w:t xml:space="preserve">considered to be “no” responses and were </w:t>
      </w:r>
      <w:r w:rsidR="00680D73" w:rsidRPr="009F2E73">
        <w:rPr>
          <w:sz w:val="24"/>
          <w:szCs w:val="24"/>
        </w:rPr>
        <w:t xml:space="preserve">included in the denominator </w:t>
      </w:r>
      <w:r w:rsidR="004E33E1" w:rsidRPr="009F2E73">
        <w:rPr>
          <w:sz w:val="24"/>
          <w:szCs w:val="24"/>
        </w:rPr>
        <w:t xml:space="preserve">if there was indication that the jurisdiction reported the variable </w:t>
      </w:r>
      <w:r w:rsidR="007A3133" w:rsidRPr="009F2E73">
        <w:rPr>
          <w:sz w:val="24"/>
          <w:szCs w:val="24"/>
        </w:rPr>
        <w:t>in a</w:t>
      </w:r>
      <w:r w:rsidR="004E33E1" w:rsidRPr="009F2E73">
        <w:rPr>
          <w:sz w:val="24"/>
          <w:szCs w:val="24"/>
        </w:rPr>
        <w:t xml:space="preserve"> </w:t>
      </w:r>
      <w:r w:rsidR="007A3133" w:rsidRPr="009F2E73">
        <w:rPr>
          <w:sz w:val="24"/>
          <w:szCs w:val="24"/>
        </w:rPr>
        <w:t>“</w:t>
      </w:r>
      <w:r w:rsidR="004E33E1" w:rsidRPr="009F2E73">
        <w:rPr>
          <w:sz w:val="24"/>
          <w:szCs w:val="24"/>
        </w:rPr>
        <w:t>check all that apply</w:t>
      </w:r>
      <w:r w:rsidR="007A3133" w:rsidRPr="009F2E73">
        <w:rPr>
          <w:sz w:val="24"/>
          <w:szCs w:val="24"/>
        </w:rPr>
        <w:t>” manner</w:t>
      </w:r>
      <w:r w:rsidR="004E33E1" w:rsidRPr="009F2E73">
        <w:rPr>
          <w:sz w:val="24"/>
          <w:szCs w:val="24"/>
        </w:rPr>
        <w:t xml:space="preserve"> (e.g., </w:t>
      </w:r>
      <w:r w:rsidR="002224FE" w:rsidRPr="009F2E73">
        <w:rPr>
          <w:sz w:val="24"/>
          <w:szCs w:val="24"/>
        </w:rPr>
        <w:t>the case</w:t>
      </w:r>
      <w:r w:rsidR="004E33E1" w:rsidRPr="009F2E73">
        <w:rPr>
          <w:sz w:val="24"/>
          <w:szCs w:val="24"/>
        </w:rPr>
        <w:t xml:space="preserve"> had a “yes” response </w:t>
      </w:r>
      <w:r w:rsidR="002224FE" w:rsidRPr="009F2E73">
        <w:rPr>
          <w:sz w:val="24"/>
          <w:szCs w:val="24"/>
        </w:rPr>
        <w:t>for another</w:t>
      </w:r>
      <w:r w:rsidR="004E33E1" w:rsidRPr="009F2E73">
        <w:rPr>
          <w:sz w:val="24"/>
          <w:szCs w:val="24"/>
        </w:rPr>
        <w:t xml:space="preserve"> substance </w:t>
      </w:r>
      <w:r w:rsidR="002224FE" w:rsidRPr="009F2E73">
        <w:rPr>
          <w:sz w:val="24"/>
          <w:szCs w:val="24"/>
        </w:rPr>
        <w:t xml:space="preserve">use </w:t>
      </w:r>
      <w:r w:rsidR="004E33E1" w:rsidRPr="009F2E73">
        <w:rPr>
          <w:sz w:val="24"/>
          <w:szCs w:val="24"/>
        </w:rPr>
        <w:t xml:space="preserve">variable and did not have a “no” response to any of </w:t>
      </w:r>
      <w:r w:rsidR="002224FE" w:rsidRPr="009F2E73">
        <w:rPr>
          <w:sz w:val="24"/>
          <w:szCs w:val="24"/>
        </w:rPr>
        <w:t>substance use</w:t>
      </w:r>
      <w:r w:rsidR="004E33E1" w:rsidRPr="009F2E73">
        <w:rPr>
          <w:sz w:val="24"/>
          <w:szCs w:val="24"/>
        </w:rPr>
        <w:t xml:space="preserve"> variables</w:t>
      </w:r>
      <w:r w:rsidR="002224FE" w:rsidRPr="009F2E73">
        <w:rPr>
          <w:sz w:val="24"/>
          <w:szCs w:val="24"/>
        </w:rPr>
        <w:t>)</w:t>
      </w:r>
      <w:r w:rsidR="004E33E1" w:rsidRPr="009F2E73">
        <w:rPr>
          <w:sz w:val="24"/>
          <w:szCs w:val="24"/>
        </w:rPr>
        <w:t>.</w:t>
      </w:r>
    </w:p>
    <w:p w14:paraId="42DC8B8A" w14:textId="5C9810CB" w:rsidR="00EA5A37" w:rsidRPr="009F2E73" w:rsidRDefault="00DE5513" w:rsidP="006E4BE6">
      <w:pPr>
        <w:rPr>
          <w:b/>
          <w:i/>
          <w:sz w:val="24"/>
          <w:szCs w:val="24"/>
        </w:rPr>
      </w:pPr>
      <w:r w:rsidRPr="009F2E73">
        <w:rPr>
          <w:b/>
          <w:i/>
          <w:sz w:val="24"/>
          <w:szCs w:val="24"/>
        </w:rPr>
        <w:t xml:space="preserve">Sexual behaviors: </w:t>
      </w:r>
      <w:r w:rsidRPr="009F2E73">
        <w:rPr>
          <w:sz w:val="24"/>
          <w:szCs w:val="24"/>
        </w:rPr>
        <w:t xml:space="preserve">For the figures in </w:t>
      </w:r>
      <w:r w:rsidRPr="009F2E73">
        <w:rPr>
          <w:sz w:val="24"/>
          <w:szCs w:val="28"/>
        </w:rPr>
        <w:t>these supplemental slides</w:t>
      </w:r>
      <w:r w:rsidRPr="009F2E73">
        <w:rPr>
          <w:sz w:val="24"/>
          <w:szCs w:val="24"/>
        </w:rPr>
        <w:t xml:space="preserve">, trends in the proportion of cases that reported sex with an anonymous partner, sex </w:t>
      </w:r>
      <w:r w:rsidR="00854040" w:rsidRPr="009F2E73">
        <w:rPr>
          <w:sz w:val="24"/>
          <w:szCs w:val="24"/>
        </w:rPr>
        <w:t>while</w:t>
      </w:r>
      <w:r w:rsidRPr="009F2E73">
        <w:rPr>
          <w:sz w:val="24"/>
          <w:szCs w:val="24"/>
        </w:rPr>
        <w:t xml:space="preserve"> intoxicated and/or high on drugs, sex with a person who injects drugs (PWID), or </w:t>
      </w:r>
      <w:r w:rsidR="00854040" w:rsidRPr="009F2E73">
        <w:rPr>
          <w:sz w:val="24"/>
          <w:szCs w:val="28"/>
        </w:rPr>
        <w:t>exchange of</w:t>
      </w:r>
      <w:r w:rsidRPr="009F2E73">
        <w:rPr>
          <w:sz w:val="24"/>
          <w:szCs w:val="28"/>
        </w:rPr>
        <w:t xml:space="preserve"> drugs/money for sex</w:t>
      </w:r>
      <w:r w:rsidR="00C41D4C" w:rsidRPr="009F2E73">
        <w:rPr>
          <w:sz w:val="24"/>
          <w:szCs w:val="28"/>
        </w:rPr>
        <w:t xml:space="preserve"> </w:t>
      </w:r>
      <w:r w:rsidR="00C41D4C" w:rsidRPr="009F2E73">
        <w:rPr>
          <w:sz w:val="24"/>
          <w:szCs w:val="24"/>
        </w:rPr>
        <w:t xml:space="preserve">are presented. Additionally, for </w:t>
      </w:r>
      <w:r w:rsidR="00C41D4C" w:rsidRPr="009F2E73">
        <w:rPr>
          <w:sz w:val="24"/>
          <w:szCs w:val="28"/>
        </w:rPr>
        <w:t xml:space="preserve">female cases, trends in the proportion that reported having had sex with a person who is known to her to be an MSM are presented. The </w:t>
      </w:r>
      <w:proofErr w:type="gramStart"/>
      <w:r w:rsidR="00C41D4C" w:rsidRPr="009F2E73">
        <w:rPr>
          <w:sz w:val="24"/>
          <w:szCs w:val="28"/>
        </w:rPr>
        <w:t>time period</w:t>
      </w:r>
      <w:proofErr w:type="gramEnd"/>
      <w:r w:rsidR="00C41D4C" w:rsidRPr="009F2E73">
        <w:rPr>
          <w:sz w:val="24"/>
          <w:szCs w:val="28"/>
        </w:rPr>
        <w:t xml:space="preserve"> for all sexual behaviors is </w:t>
      </w:r>
      <w:r w:rsidR="00854040" w:rsidRPr="009F2E73">
        <w:rPr>
          <w:sz w:val="24"/>
          <w:szCs w:val="28"/>
        </w:rPr>
        <w:t>“</w:t>
      </w:r>
      <w:r w:rsidR="00C41D4C" w:rsidRPr="009F2E73">
        <w:rPr>
          <w:sz w:val="24"/>
          <w:szCs w:val="28"/>
        </w:rPr>
        <w:t>in the past 12 months</w:t>
      </w:r>
      <w:r w:rsidR="00700271" w:rsidRPr="009F2E73">
        <w:rPr>
          <w:sz w:val="24"/>
          <w:szCs w:val="28"/>
        </w:rPr>
        <w:t>.</w:t>
      </w:r>
      <w:r w:rsidR="00854040" w:rsidRPr="009F2E73">
        <w:rPr>
          <w:sz w:val="24"/>
          <w:szCs w:val="28"/>
        </w:rPr>
        <w:t>”</w:t>
      </w:r>
      <w:r w:rsidR="00C41D4C" w:rsidRPr="009F2E73">
        <w:rPr>
          <w:sz w:val="24"/>
          <w:szCs w:val="28"/>
        </w:rPr>
        <w:t xml:space="preserve"> For each behavior, the</w:t>
      </w:r>
      <w:r w:rsidR="00066FC1" w:rsidRPr="009F2E73">
        <w:rPr>
          <w:sz w:val="24"/>
          <w:szCs w:val="28"/>
        </w:rPr>
        <w:t xml:space="preserve"> proportion of cases reporting </w:t>
      </w:r>
      <w:r w:rsidR="00C41D4C" w:rsidRPr="009F2E73">
        <w:rPr>
          <w:sz w:val="24"/>
          <w:szCs w:val="28"/>
        </w:rPr>
        <w:t>the</w:t>
      </w:r>
      <w:r w:rsidR="00066FC1" w:rsidRPr="009F2E73">
        <w:rPr>
          <w:sz w:val="24"/>
          <w:szCs w:val="28"/>
        </w:rPr>
        <w:t xml:space="preserve"> behavior was calculated among cases with known data for </w:t>
      </w:r>
      <w:r w:rsidR="00DF2155" w:rsidRPr="009F2E73">
        <w:rPr>
          <w:sz w:val="24"/>
          <w:szCs w:val="28"/>
        </w:rPr>
        <w:t>the</w:t>
      </w:r>
      <w:r w:rsidR="00066FC1" w:rsidRPr="009F2E73">
        <w:rPr>
          <w:sz w:val="24"/>
          <w:szCs w:val="28"/>
        </w:rPr>
        <w:t xml:space="preserve"> variable; cases with unknown data for the variable were excluded from the analysis.</w:t>
      </w:r>
    </w:p>
    <w:p w14:paraId="43487B45" w14:textId="7E848131" w:rsidR="0092769A" w:rsidRPr="00AB0934" w:rsidRDefault="0092769A" w:rsidP="006E4BE6">
      <w:pPr>
        <w:rPr>
          <w:b/>
          <w:i/>
          <w:sz w:val="24"/>
          <w:szCs w:val="24"/>
        </w:rPr>
      </w:pPr>
      <w:r w:rsidRPr="009F2E73">
        <w:rPr>
          <w:b/>
          <w:i/>
          <w:sz w:val="24"/>
          <w:szCs w:val="24"/>
        </w:rPr>
        <w:t xml:space="preserve">Incarceration history: </w:t>
      </w:r>
      <w:r w:rsidR="00E808EF" w:rsidRPr="009F2E73">
        <w:rPr>
          <w:sz w:val="24"/>
          <w:szCs w:val="24"/>
        </w:rPr>
        <w:t xml:space="preserve">For </w:t>
      </w:r>
      <w:r w:rsidR="00E808EF" w:rsidRPr="009F2E73">
        <w:rPr>
          <w:sz w:val="24"/>
          <w:szCs w:val="28"/>
        </w:rPr>
        <w:t xml:space="preserve">the figures in these supplemental slides, trends in the proportion of cases that reported having </w:t>
      </w:r>
      <w:r w:rsidR="00AB0934" w:rsidRPr="009F2E73">
        <w:rPr>
          <w:sz w:val="24"/>
          <w:szCs w:val="28"/>
        </w:rPr>
        <w:t>been incarcerated</w:t>
      </w:r>
      <w:r w:rsidR="00E808EF" w:rsidRPr="009F2E73">
        <w:rPr>
          <w:sz w:val="24"/>
          <w:szCs w:val="28"/>
        </w:rPr>
        <w:t xml:space="preserve"> within past 12 month are presented. The proportion of cases reporting </w:t>
      </w:r>
      <w:r w:rsidR="00AB0934" w:rsidRPr="009F2E73">
        <w:rPr>
          <w:sz w:val="24"/>
          <w:szCs w:val="28"/>
        </w:rPr>
        <w:t>incarceration history</w:t>
      </w:r>
      <w:r w:rsidR="00E808EF" w:rsidRPr="009F2E73">
        <w:rPr>
          <w:sz w:val="24"/>
          <w:szCs w:val="28"/>
        </w:rPr>
        <w:t xml:space="preserve"> was calculated among cases with known data for this variable; cases with unknown data for the variable were excluded from the analysis.</w:t>
      </w:r>
    </w:p>
    <w:p w14:paraId="5FB22967" w14:textId="77777777" w:rsidR="002C2A0B" w:rsidRDefault="002C2A0B" w:rsidP="000A141E">
      <w:pPr>
        <w:rPr>
          <w:b/>
          <w:sz w:val="28"/>
          <w:szCs w:val="24"/>
        </w:rPr>
      </w:pPr>
      <w:r w:rsidRPr="004B24A0">
        <w:rPr>
          <w:b/>
          <w:sz w:val="28"/>
          <w:szCs w:val="24"/>
        </w:rPr>
        <w:t xml:space="preserve">Interpreting Trends </w:t>
      </w:r>
    </w:p>
    <w:p w14:paraId="0E29ADA0" w14:textId="5B8612F1" w:rsidR="000C7266" w:rsidRPr="00CF2D86" w:rsidRDefault="000C7266" w:rsidP="000C7266">
      <w:pPr>
        <w:rPr>
          <w:i/>
          <w:iCs/>
          <w:sz w:val="24"/>
          <w:szCs w:val="28"/>
        </w:rPr>
      </w:pPr>
      <w:r>
        <w:rPr>
          <w:i/>
          <w:iCs/>
          <w:sz w:val="24"/>
          <w:szCs w:val="28"/>
        </w:rPr>
        <w:t xml:space="preserve">Interpreting trends in proportions </w:t>
      </w:r>
    </w:p>
    <w:p w14:paraId="75619EE8" w14:textId="4F2E18CA" w:rsidR="00D733CE" w:rsidRDefault="00854040" w:rsidP="00D733CE">
      <w:pPr>
        <w:rPr>
          <w:sz w:val="24"/>
          <w:szCs w:val="28"/>
        </w:rPr>
      </w:pPr>
      <w:r>
        <w:rPr>
          <w:sz w:val="24"/>
          <w:szCs w:val="28"/>
        </w:rPr>
        <w:t>T</w:t>
      </w:r>
      <w:r w:rsidR="00D733CE" w:rsidRPr="00CD5E80">
        <w:rPr>
          <w:sz w:val="24"/>
          <w:szCs w:val="28"/>
        </w:rPr>
        <w:t xml:space="preserve">rends </w:t>
      </w:r>
      <w:r w:rsidR="00D733CE">
        <w:rPr>
          <w:sz w:val="24"/>
          <w:szCs w:val="28"/>
        </w:rPr>
        <w:t xml:space="preserve">in the </w:t>
      </w:r>
      <w:r w:rsidR="00D733CE" w:rsidRPr="00CD5E80">
        <w:rPr>
          <w:sz w:val="24"/>
          <w:szCs w:val="28"/>
        </w:rPr>
        <w:t xml:space="preserve">proportion of reported P&amp;S syphilis cases </w:t>
      </w:r>
      <w:r w:rsidR="00392B33">
        <w:rPr>
          <w:sz w:val="24"/>
          <w:szCs w:val="28"/>
        </w:rPr>
        <w:t>with reported behaviors</w:t>
      </w:r>
      <w:r w:rsidR="00D733CE" w:rsidRPr="00CD5E80">
        <w:rPr>
          <w:sz w:val="24"/>
          <w:szCs w:val="28"/>
        </w:rPr>
        <w:t xml:space="preserve"> </w:t>
      </w:r>
      <w:r w:rsidR="00D733CE">
        <w:rPr>
          <w:sz w:val="24"/>
          <w:szCs w:val="28"/>
        </w:rPr>
        <w:t xml:space="preserve">should </w:t>
      </w:r>
      <w:r w:rsidR="00D733CE" w:rsidRPr="00CD5E80">
        <w:rPr>
          <w:sz w:val="24"/>
          <w:szCs w:val="28"/>
        </w:rPr>
        <w:t xml:space="preserve">be interpreted in the context of overall case burden and trends during this </w:t>
      </w:r>
      <w:proofErr w:type="gramStart"/>
      <w:r w:rsidR="00D733CE" w:rsidRPr="00CD5E80">
        <w:rPr>
          <w:sz w:val="24"/>
          <w:szCs w:val="28"/>
        </w:rPr>
        <w:t>time period</w:t>
      </w:r>
      <w:proofErr w:type="gramEnd"/>
      <w:r w:rsidR="00D733CE" w:rsidRPr="00CD5E80">
        <w:rPr>
          <w:sz w:val="24"/>
          <w:szCs w:val="28"/>
        </w:rPr>
        <w:t>. Specifically, it is important to note</w:t>
      </w:r>
      <w:r w:rsidR="00D733CE">
        <w:rPr>
          <w:sz w:val="24"/>
          <w:szCs w:val="28"/>
        </w:rPr>
        <w:t xml:space="preserve"> that during </w:t>
      </w:r>
      <w:r w:rsidR="00D733CE" w:rsidRPr="00CD5E80">
        <w:rPr>
          <w:sz w:val="24"/>
          <w:szCs w:val="28"/>
        </w:rPr>
        <w:t>201</w:t>
      </w:r>
      <w:r w:rsidR="00D733CE">
        <w:rPr>
          <w:sz w:val="24"/>
          <w:szCs w:val="28"/>
        </w:rPr>
        <w:t>6</w:t>
      </w:r>
      <w:r w:rsidR="00D733CE" w:rsidRPr="00CD5E80">
        <w:rPr>
          <w:sz w:val="24"/>
          <w:szCs w:val="28"/>
        </w:rPr>
        <w:t>–20</w:t>
      </w:r>
      <w:r w:rsidR="00D733CE">
        <w:rPr>
          <w:sz w:val="24"/>
          <w:szCs w:val="28"/>
        </w:rPr>
        <w:t xml:space="preserve">20, </w:t>
      </w:r>
      <w:r w:rsidR="00D733CE" w:rsidRPr="00CD5E80">
        <w:rPr>
          <w:sz w:val="24"/>
          <w:szCs w:val="28"/>
        </w:rPr>
        <w:t xml:space="preserve">the number of </w:t>
      </w:r>
      <w:r w:rsidR="00D733CE">
        <w:rPr>
          <w:sz w:val="24"/>
          <w:szCs w:val="28"/>
        </w:rPr>
        <w:t xml:space="preserve">cases among </w:t>
      </w:r>
      <w:r w:rsidR="00D733CE" w:rsidRPr="00CD5E80">
        <w:rPr>
          <w:sz w:val="24"/>
          <w:szCs w:val="28"/>
        </w:rPr>
        <w:t xml:space="preserve">MSM, </w:t>
      </w:r>
      <w:r w:rsidR="00D733CE">
        <w:rPr>
          <w:sz w:val="24"/>
          <w:szCs w:val="28"/>
        </w:rPr>
        <w:t>MSW</w:t>
      </w:r>
      <w:r w:rsidR="00D733CE" w:rsidRPr="00CD5E80">
        <w:rPr>
          <w:sz w:val="24"/>
          <w:szCs w:val="28"/>
        </w:rPr>
        <w:t xml:space="preserve">, </w:t>
      </w:r>
      <w:r>
        <w:rPr>
          <w:sz w:val="24"/>
          <w:szCs w:val="28"/>
        </w:rPr>
        <w:t xml:space="preserve">MSU, </w:t>
      </w:r>
      <w:r w:rsidR="00D733CE" w:rsidRPr="00CD5E80">
        <w:rPr>
          <w:sz w:val="24"/>
          <w:szCs w:val="28"/>
        </w:rPr>
        <w:t xml:space="preserve">and </w:t>
      </w:r>
      <w:r w:rsidR="00D733CE">
        <w:rPr>
          <w:sz w:val="24"/>
          <w:szCs w:val="28"/>
        </w:rPr>
        <w:t>women</w:t>
      </w:r>
      <w:r w:rsidR="00D733CE" w:rsidRPr="00CD5E80">
        <w:rPr>
          <w:sz w:val="24"/>
          <w:szCs w:val="28"/>
        </w:rPr>
        <w:t xml:space="preserve"> increased,</w:t>
      </w:r>
      <w:r w:rsidR="00D733CE">
        <w:rPr>
          <w:sz w:val="24"/>
          <w:szCs w:val="28"/>
        </w:rPr>
        <w:t xml:space="preserve"> and </w:t>
      </w:r>
      <w:r w:rsidR="00D733CE" w:rsidRPr="00CD5E80">
        <w:rPr>
          <w:sz w:val="24"/>
          <w:szCs w:val="28"/>
        </w:rPr>
        <w:t xml:space="preserve">most P&amp;S syphilis cases </w:t>
      </w:r>
      <w:r w:rsidR="00D733CE">
        <w:rPr>
          <w:sz w:val="24"/>
          <w:szCs w:val="28"/>
        </w:rPr>
        <w:t>occurred</w:t>
      </w:r>
      <w:r w:rsidR="00D733CE" w:rsidRPr="00CD5E80">
        <w:rPr>
          <w:sz w:val="24"/>
          <w:szCs w:val="28"/>
        </w:rPr>
        <w:t xml:space="preserve"> </w:t>
      </w:r>
      <w:r w:rsidR="00D733CE">
        <w:rPr>
          <w:sz w:val="24"/>
          <w:szCs w:val="28"/>
        </w:rPr>
        <w:t>among MSM</w:t>
      </w:r>
      <w:r w:rsidR="00D733CE" w:rsidRPr="00CD5E80">
        <w:rPr>
          <w:sz w:val="24"/>
          <w:szCs w:val="28"/>
        </w:rPr>
        <w:t xml:space="preserve">. Therefore, it is </w:t>
      </w:r>
      <w:r w:rsidR="00D733CE" w:rsidRPr="00925F0D">
        <w:rPr>
          <w:sz w:val="24"/>
          <w:szCs w:val="28"/>
        </w:rPr>
        <w:t xml:space="preserve">possible that trends in the </w:t>
      </w:r>
      <w:r w:rsidR="00D733CE" w:rsidRPr="00925F0D">
        <w:rPr>
          <w:b/>
          <w:i/>
          <w:sz w:val="24"/>
          <w:szCs w:val="28"/>
        </w:rPr>
        <w:t xml:space="preserve">proportion </w:t>
      </w:r>
      <w:r w:rsidR="00D733CE" w:rsidRPr="00925F0D">
        <w:rPr>
          <w:sz w:val="24"/>
          <w:szCs w:val="28"/>
        </w:rPr>
        <w:t xml:space="preserve">of cases reporting a specific behavior differ from trends in the </w:t>
      </w:r>
      <w:r w:rsidR="00D733CE" w:rsidRPr="00925F0D">
        <w:rPr>
          <w:b/>
          <w:i/>
          <w:sz w:val="24"/>
          <w:szCs w:val="28"/>
        </w:rPr>
        <w:t xml:space="preserve">number </w:t>
      </w:r>
      <w:r w:rsidR="00D733CE" w:rsidRPr="00925F0D">
        <w:rPr>
          <w:sz w:val="24"/>
          <w:szCs w:val="28"/>
        </w:rPr>
        <w:t>of cases reporting this behavior; the proportion of cases that reported a behavior could have remained stable while the number of cases reporting that behavior increased. For this reason, both numbers and proportions are included in the data points file for reference.</w:t>
      </w:r>
    </w:p>
    <w:p w14:paraId="25AFD544" w14:textId="063D20A8" w:rsidR="00F70C6A" w:rsidRPr="00337764" w:rsidRDefault="00603401" w:rsidP="001A333D">
      <w:pPr>
        <w:rPr>
          <w:i/>
          <w:iCs/>
          <w:sz w:val="24"/>
          <w:szCs w:val="24"/>
        </w:rPr>
      </w:pPr>
      <w:r>
        <w:rPr>
          <w:i/>
          <w:iCs/>
          <w:sz w:val="24"/>
          <w:szCs w:val="24"/>
        </w:rPr>
        <w:t>Impact of m</w:t>
      </w:r>
      <w:r w:rsidR="00F70C6A" w:rsidRPr="00337764">
        <w:rPr>
          <w:i/>
          <w:iCs/>
          <w:sz w:val="24"/>
          <w:szCs w:val="24"/>
        </w:rPr>
        <w:t>issing data</w:t>
      </w:r>
    </w:p>
    <w:p w14:paraId="3CBA850E" w14:textId="69E08ADB" w:rsidR="005407B2" w:rsidRPr="00337764" w:rsidRDefault="00F70C6A" w:rsidP="001A333D">
      <w:pPr>
        <w:rPr>
          <w:sz w:val="24"/>
          <w:szCs w:val="24"/>
        </w:rPr>
      </w:pPr>
      <w:r w:rsidRPr="00337764">
        <w:rPr>
          <w:sz w:val="24"/>
          <w:szCs w:val="24"/>
        </w:rPr>
        <w:t>The</w:t>
      </w:r>
      <w:r w:rsidR="001A333D" w:rsidRPr="00337764">
        <w:rPr>
          <w:sz w:val="24"/>
          <w:szCs w:val="24"/>
        </w:rPr>
        <w:t xml:space="preserve"> proportions in this report are calculated among persons with complete information on specific behaviors, and missingness could be related to the behavior (e.g., persons who use heroin may face challenges maintaining a stable residence and are more difficult to contact). Therefore, estimates may be biased towards populations easier to contact (e.g., non-substance using populations) resulting in an underestimate of some behaviors. </w:t>
      </w:r>
      <w:r w:rsidR="00347EC2" w:rsidRPr="00337764">
        <w:rPr>
          <w:sz w:val="24"/>
          <w:szCs w:val="24"/>
        </w:rPr>
        <w:t xml:space="preserve">To provide context for trends </w:t>
      </w:r>
      <w:r w:rsidR="000D24DC" w:rsidRPr="00337764">
        <w:rPr>
          <w:sz w:val="24"/>
          <w:szCs w:val="24"/>
        </w:rPr>
        <w:t xml:space="preserve">in </w:t>
      </w:r>
      <w:r w:rsidR="00670D11">
        <w:rPr>
          <w:sz w:val="24"/>
          <w:szCs w:val="24"/>
        </w:rPr>
        <w:t xml:space="preserve">proportions reporting specific </w:t>
      </w:r>
      <w:r w:rsidR="000D24DC" w:rsidRPr="00337764">
        <w:rPr>
          <w:sz w:val="24"/>
          <w:szCs w:val="24"/>
        </w:rPr>
        <w:t>behaviors</w:t>
      </w:r>
      <w:r w:rsidR="00347EC2" w:rsidRPr="00337764">
        <w:rPr>
          <w:sz w:val="24"/>
          <w:szCs w:val="24"/>
        </w:rPr>
        <w:t xml:space="preserve">, </w:t>
      </w:r>
      <w:r w:rsidR="00FB14BC" w:rsidRPr="00337764">
        <w:rPr>
          <w:sz w:val="24"/>
          <w:szCs w:val="24"/>
        </w:rPr>
        <w:t>the</w:t>
      </w:r>
      <w:r w:rsidR="000D24DC" w:rsidRPr="00337764">
        <w:rPr>
          <w:sz w:val="24"/>
          <w:szCs w:val="24"/>
        </w:rPr>
        <w:t>se</w:t>
      </w:r>
      <w:r w:rsidR="00FB14BC" w:rsidRPr="00337764">
        <w:rPr>
          <w:sz w:val="24"/>
          <w:szCs w:val="24"/>
        </w:rPr>
        <w:t xml:space="preserve"> Technical Notes include a </w:t>
      </w:r>
      <w:r w:rsidR="00347EC2" w:rsidRPr="00337764">
        <w:rPr>
          <w:sz w:val="24"/>
          <w:szCs w:val="24"/>
        </w:rPr>
        <w:t xml:space="preserve">table </w:t>
      </w:r>
      <w:r w:rsidR="000D24DC" w:rsidRPr="00337764">
        <w:rPr>
          <w:sz w:val="24"/>
          <w:szCs w:val="24"/>
        </w:rPr>
        <w:t>providing trends in</w:t>
      </w:r>
      <w:r w:rsidR="00347EC2" w:rsidRPr="00337764">
        <w:rPr>
          <w:sz w:val="24"/>
          <w:szCs w:val="24"/>
        </w:rPr>
        <w:t xml:space="preserve"> the proportion of cases with complete information </w:t>
      </w:r>
      <w:r w:rsidR="00670D11">
        <w:rPr>
          <w:sz w:val="24"/>
          <w:szCs w:val="24"/>
        </w:rPr>
        <w:t xml:space="preserve">for each behavior </w:t>
      </w:r>
      <w:r w:rsidR="005407B2" w:rsidRPr="00337764">
        <w:rPr>
          <w:sz w:val="24"/>
          <w:szCs w:val="24"/>
        </w:rPr>
        <w:t xml:space="preserve">stratified by sex and sex of sex partners. </w:t>
      </w:r>
    </w:p>
    <w:p w14:paraId="03E38EC7" w14:textId="77777777" w:rsidR="009035CF" w:rsidRDefault="009035CF" w:rsidP="000A141E">
      <w:pPr>
        <w:rPr>
          <w:i/>
          <w:iCs/>
          <w:sz w:val="24"/>
          <w:szCs w:val="28"/>
        </w:rPr>
      </w:pPr>
    </w:p>
    <w:p w14:paraId="48B8A7CA" w14:textId="77777777" w:rsidR="009035CF" w:rsidRDefault="009035CF" w:rsidP="000A141E">
      <w:pPr>
        <w:rPr>
          <w:i/>
          <w:iCs/>
          <w:sz w:val="24"/>
          <w:szCs w:val="28"/>
        </w:rPr>
      </w:pPr>
    </w:p>
    <w:p w14:paraId="47D2FBFD" w14:textId="4BE91ADF" w:rsidR="00971A8E" w:rsidRPr="00337764" w:rsidRDefault="00971A8E" w:rsidP="000A141E">
      <w:pPr>
        <w:rPr>
          <w:i/>
          <w:iCs/>
          <w:sz w:val="24"/>
          <w:szCs w:val="28"/>
        </w:rPr>
      </w:pPr>
      <w:r w:rsidRPr="00337764">
        <w:rPr>
          <w:i/>
          <w:iCs/>
          <w:sz w:val="24"/>
          <w:szCs w:val="28"/>
        </w:rPr>
        <w:lastRenderedPageBreak/>
        <w:t>Impact of the COVID-19 pandemic</w:t>
      </w:r>
    </w:p>
    <w:p w14:paraId="769F2D68" w14:textId="3B7CD7B1" w:rsidR="00FC3DD7" w:rsidRPr="00337764" w:rsidRDefault="00E4581B" w:rsidP="00971A8E">
      <w:pPr>
        <w:rPr>
          <w:sz w:val="24"/>
          <w:szCs w:val="24"/>
        </w:rPr>
      </w:pPr>
      <w:r w:rsidRPr="00337764">
        <w:rPr>
          <w:sz w:val="24"/>
          <w:szCs w:val="24"/>
        </w:rPr>
        <w:t>COVID-19 significantly affected trends in STDs during 2020</w:t>
      </w:r>
      <w:r w:rsidR="00854040" w:rsidRPr="00337764">
        <w:rPr>
          <w:sz w:val="24"/>
          <w:szCs w:val="24"/>
        </w:rPr>
        <w:t xml:space="preserve">, </w:t>
      </w:r>
      <w:r w:rsidR="00CF2D86" w:rsidRPr="00337764">
        <w:rPr>
          <w:sz w:val="24"/>
          <w:szCs w:val="24"/>
        </w:rPr>
        <w:t xml:space="preserve">resulting in likely underreporting of infections and possibly increased STD transmission. </w:t>
      </w:r>
      <w:r w:rsidR="00976DEB" w:rsidRPr="00337764">
        <w:rPr>
          <w:sz w:val="24"/>
          <w:szCs w:val="24"/>
        </w:rPr>
        <w:t xml:space="preserve">Before preventive measures to reduce the spread of COVID-19 were put in place in the United States, the weekly number of diagnosed and reported P&amp;S syphilis case counts were all higher in 2020 compared to 2019. Unsurprisingly, the number of reported P&amp;S syphilis cases rapidly fell during initial shelter-in-place orders in March and April 2020, likely due to reduced screening, </w:t>
      </w:r>
      <w:r w:rsidR="008E04C4" w:rsidRPr="00337764">
        <w:rPr>
          <w:sz w:val="24"/>
          <w:szCs w:val="24"/>
        </w:rPr>
        <w:t xml:space="preserve">difficulties </w:t>
      </w:r>
      <w:r w:rsidR="002C5A10" w:rsidRPr="00337764">
        <w:rPr>
          <w:sz w:val="24"/>
          <w:szCs w:val="24"/>
        </w:rPr>
        <w:t>maintain</w:t>
      </w:r>
      <w:r w:rsidR="008E04C4" w:rsidRPr="00337764">
        <w:rPr>
          <w:sz w:val="24"/>
          <w:szCs w:val="24"/>
        </w:rPr>
        <w:t>ing</w:t>
      </w:r>
      <w:r w:rsidR="002C5A10" w:rsidRPr="00337764">
        <w:rPr>
          <w:sz w:val="24"/>
          <w:szCs w:val="24"/>
        </w:rPr>
        <w:t xml:space="preserve"> public health STD prevention activities</w:t>
      </w:r>
      <w:r w:rsidR="00976DEB" w:rsidRPr="00337764">
        <w:rPr>
          <w:sz w:val="24"/>
          <w:szCs w:val="24"/>
        </w:rPr>
        <w:t xml:space="preserve">, and social distancing measures. </w:t>
      </w:r>
      <w:r w:rsidR="00891200" w:rsidRPr="00337764">
        <w:rPr>
          <w:sz w:val="24"/>
          <w:szCs w:val="24"/>
        </w:rPr>
        <w:t>Beginning in May 2020, c</w:t>
      </w:r>
      <w:r w:rsidR="00A03A9B" w:rsidRPr="00337764">
        <w:rPr>
          <w:sz w:val="24"/>
          <w:szCs w:val="24"/>
        </w:rPr>
        <w:t xml:space="preserve">ases </w:t>
      </w:r>
      <w:r w:rsidR="00891200" w:rsidRPr="00337764">
        <w:rPr>
          <w:sz w:val="24"/>
          <w:szCs w:val="24"/>
        </w:rPr>
        <w:t>P&amp;S syphilis</w:t>
      </w:r>
      <w:r w:rsidR="00A03A9B" w:rsidRPr="00337764">
        <w:rPr>
          <w:sz w:val="24"/>
          <w:szCs w:val="24"/>
        </w:rPr>
        <w:t xml:space="preserve"> </w:t>
      </w:r>
      <w:r w:rsidR="00891200" w:rsidRPr="00337764">
        <w:rPr>
          <w:sz w:val="24"/>
          <w:szCs w:val="24"/>
        </w:rPr>
        <w:t>began increasing and b</w:t>
      </w:r>
      <w:r w:rsidR="00A03A9B" w:rsidRPr="00337764">
        <w:rPr>
          <w:sz w:val="24"/>
          <w:szCs w:val="24"/>
        </w:rPr>
        <w:t xml:space="preserve">y the end of 2020, </w:t>
      </w:r>
      <w:r w:rsidR="00A17B62" w:rsidRPr="00337764">
        <w:rPr>
          <w:sz w:val="24"/>
          <w:szCs w:val="24"/>
        </w:rPr>
        <w:t xml:space="preserve">the total number of </w:t>
      </w:r>
      <w:r w:rsidR="00A03A9B" w:rsidRPr="00337764">
        <w:rPr>
          <w:sz w:val="24"/>
          <w:szCs w:val="24"/>
        </w:rPr>
        <w:t>reported cases of P&amp;S syphilis</w:t>
      </w:r>
      <w:r w:rsidR="008E04C4" w:rsidRPr="00337764">
        <w:rPr>
          <w:sz w:val="24"/>
          <w:szCs w:val="24"/>
        </w:rPr>
        <w:t xml:space="preserve"> had</w:t>
      </w:r>
      <w:r w:rsidR="00A03A9B" w:rsidRPr="00337764">
        <w:rPr>
          <w:sz w:val="24"/>
          <w:szCs w:val="24"/>
        </w:rPr>
        <w:t xml:space="preserve"> increased 7% </w:t>
      </w:r>
      <w:r w:rsidR="002C5A10" w:rsidRPr="00337764">
        <w:rPr>
          <w:sz w:val="24"/>
          <w:szCs w:val="24"/>
        </w:rPr>
        <w:t>compared to 2019</w:t>
      </w:r>
      <w:r w:rsidR="00A03A9B" w:rsidRPr="00337764">
        <w:rPr>
          <w:sz w:val="24"/>
          <w:szCs w:val="24"/>
        </w:rPr>
        <w:t>.</w:t>
      </w:r>
      <w:r w:rsidR="008F2B2C" w:rsidRPr="00337764">
        <w:rPr>
          <w:sz w:val="24"/>
          <w:szCs w:val="24"/>
        </w:rPr>
        <w:t xml:space="preserve"> More information on the impact of COVID-19 on trends in STD surveillance is available: </w:t>
      </w:r>
      <w:hyperlink r:id="rId20" w:history="1">
        <w:r w:rsidR="00A82BB0" w:rsidRPr="00337764">
          <w:rPr>
            <w:rStyle w:val="Hyperlink"/>
            <w:sz w:val="24"/>
            <w:szCs w:val="24"/>
          </w:rPr>
          <w:t>https://www.cdc.gov/std/statistics/2020/impact.htm</w:t>
        </w:r>
      </w:hyperlink>
      <w:r w:rsidR="005701E2" w:rsidRPr="00337764">
        <w:rPr>
          <w:sz w:val="24"/>
          <w:szCs w:val="24"/>
        </w:rPr>
        <w:t xml:space="preserve"> </w:t>
      </w:r>
    </w:p>
    <w:p w14:paraId="30FE0F9A" w14:textId="45F70D5E" w:rsidR="00D272A0" w:rsidRDefault="00A82BB0" w:rsidP="00D272A0">
      <w:pPr>
        <w:rPr>
          <w:sz w:val="24"/>
          <w:szCs w:val="24"/>
        </w:rPr>
      </w:pPr>
      <w:r w:rsidRPr="00337764">
        <w:rPr>
          <w:sz w:val="24"/>
          <w:szCs w:val="24"/>
        </w:rPr>
        <w:t xml:space="preserve">Additionally, </w:t>
      </w:r>
      <w:r w:rsidR="00891200" w:rsidRPr="00337764">
        <w:rPr>
          <w:sz w:val="24"/>
          <w:szCs w:val="24"/>
        </w:rPr>
        <w:t xml:space="preserve">COVID-19 </w:t>
      </w:r>
      <w:r w:rsidR="007E4CD4" w:rsidRPr="00337764">
        <w:rPr>
          <w:sz w:val="24"/>
          <w:szCs w:val="24"/>
        </w:rPr>
        <w:t>may have</w:t>
      </w:r>
      <w:r w:rsidR="00891200" w:rsidRPr="00337764">
        <w:rPr>
          <w:sz w:val="24"/>
          <w:szCs w:val="24"/>
        </w:rPr>
        <w:t xml:space="preserve"> </w:t>
      </w:r>
      <w:r w:rsidR="00593D0A" w:rsidRPr="00337764">
        <w:rPr>
          <w:sz w:val="24"/>
          <w:szCs w:val="24"/>
        </w:rPr>
        <w:t>impacted</w:t>
      </w:r>
      <w:r w:rsidR="00891200" w:rsidRPr="00337764">
        <w:rPr>
          <w:sz w:val="24"/>
          <w:szCs w:val="24"/>
        </w:rPr>
        <w:t xml:space="preserve"> </w:t>
      </w:r>
      <w:r w:rsidR="000A4D38" w:rsidRPr="00337764">
        <w:rPr>
          <w:sz w:val="24"/>
          <w:szCs w:val="24"/>
        </w:rPr>
        <w:t xml:space="preserve">observed </w:t>
      </w:r>
      <w:r w:rsidR="00D733CE" w:rsidRPr="00337764">
        <w:rPr>
          <w:sz w:val="24"/>
          <w:szCs w:val="24"/>
        </w:rPr>
        <w:t xml:space="preserve">trends in reported behaviors among P&amp;S syphilis cases. </w:t>
      </w:r>
      <w:r w:rsidR="00604518" w:rsidRPr="00337764">
        <w:rPr>
          <w:sz w:val="24"/>
          <w:szCs w:val="24"/>
        </w:rPr>
        <w:t>For example, it is possible that there were changes in behaviors among persons with P&amp;S syphilis related to COVID-19</w:t>
      </w:r>
      <w:r w:rsidR="00815016" w:rsidRPr="00337764">
        <w:rPr>
          <w:sz w:val="24"/>
          <w:szCs w:val="24"/>
        </w:rPr>
        <w:t xml:space="preserve">, </w:t>
      </w:r>
      <w:r w:rsidR="00277239" w:rsidRPr="00337764">
        <w:rPr>
          <w:sz w:val="24"/>
          <w:szCs w:val="24"/>
        </w:rPr>
        <w:t xml:space="preserve">such as reduced frequency of anonymous sex </w:t>
      </w:r>
      <w:r w:rsidR="00331E69" w:rsidRPr="00337764">
        <w:rPr>
          <w:sz w:val="24"/>
          <w:szCs w:val="24"/>
        </w:rPr>
        <w:t xml:space="preserve">due to social distancing </w:t>
      </w:r>
      <w:r w:rsidR="00277239" w:rsidRPr="00337764">
        <w:rPr>
          <w:sz w:val="24"/>
          <w:szCs w:val="24"/>
        </w:rPr>
        <w:t xml:space="preserve">or reduced </w:t>
      </w:r>
      <w:r w:rsidR="00331E69" w:rsidRPr="00337764">
        <w:rPr>
          <w:sz w:val="24"/>
          <w:szCs w:val="24"/>
        </w:rPr>
        <w:t>substance use due to shelter-in-place orders</w:t>
      </w:r>
      <w:r w:rsidR="006B3CF4" w:rsidRPr="00337764">
        <w:rPr>
          <w:sz w:val="24"/>
          <w:szCs w:val="24"/>
        </w:rPr>
        <w:t xml:space="preserve">. </w:t>
      </w:r>
      <w:r w:rsidR="00E56BE7" w:rsidRPr="00337764">
        <w:rPr>
          <w:sz w:val="24"/>
          <w:szCs w:val="24"/>
        </w:rPr>
        <w:t>Additionally,</w:t>
      </w:r>
      <w:r w:rsidR="00A8794A" w:rsidRPr="00337764">
        <w:rPr>
          <w:sz w:val="24"/>
          <w:szCs w:val="24"/>
        </w:rPr>
        <w:t xml:space="preserve"> syphilis case investigations were likely affected by public health staff redirection to address COVID-19 (e.g., </w:t>
      </w:r>
      <w:r w:rsidR="00B77387" w:rsidRPr="00337764">
        <w:rPr>
          <w:sz w:val="24"/>
          <w:szCs w:val="24"/>
        </w:rPr>
        <w:t>reduced</w:t>
      </w:r>
      <w:r w:rsidR="00A8794A" w:rsidRPr="00337764">
        <w:rPr>
          <w:sz w:val="24"/>
          <w:szCs w:val="24"/>
        </w:rPr>
        <w:t xml:space="preserve"> attempts to contact P&amp;S syphilis case</w:t>
      </w:r>
      <w:r w:rsidR="00733665">
        <w:rPr>
          <w:sz w:val="24"/>
          <w:szCs w:val="24"/>
        </w:rPr>
        <w:t>s</w:t>
      </w:r>
      <w:r w:rsidR="00A8794A" w:rsidRPr="00337764">
        <w:rPr>
          <w:sz w:val="24"/>
          <w:szCs w:val="24"/>
        </w:rPr>
        <w:t xml:space="preserve"> for interview)</w:t>
      </w:r>
      <w:r w:rsidR="008E7901" w:rsidRPr="00337764">
        <w:rPr>
          <w:sz w:val="24"/>
          <w:szCs w:val="24"/>
        </w:rPr>
        <w:t xml:space="preserve">, resulting in </w:t>
      </w:r>
      <w:r w:rsidR="00F56AB3" w:rsidRPr="00337764">
        <w:rPr>
          <w:sz w:val="24"/>
          <w:szCs w:val="24"/>
        </w:rPr>
        <w:t>fewer cases</w:t>
      </w:r>
      <w:r w:rsidR="00D81854" w:rsidRPr="00337764">
        <w:rPr>
          <w:sz w:val="24"/>
          <w:szCs w:val="24"/>
        </w:rPr>
        <w:t xml:space="preserve"> with complete </w:t>
      </w:r>
      <w:r w:rsidR="004F565C" w:rsidRPr="00337764">
        <w:rPr>
          <w:sz w:val="24"/>
          <w:szCs w:val="24"/>
        </w:rPr>
        <w:t xml:space="preserve">behavioral </w:t>
      </w:r>
      <w:r w:rsidR="00D81854" w:rsidRPr="00337764">
        <w:rPr>
          <w:sz w:val="24"/>
          <w:szCs w:val="24"/>
        </w:rPr>
        <w:t>information.</w:t>
      </w:r>
      <w:r w:rsidR="005407B2" w:rsidRPr="00337764">
        <w:rPr>
          <w:sz w:val="24"/>
          <w:szCs w:val="24"/>
        </w:rPr>
        <w:t xml:space="preserve"> Among women and MSW, the proportion of cases with complete information decreased during 2019-2020</w:t>
      </w:r>
      <w:r w:rsidR="005C329D" w:rsidRPr="005C329D">
        <w:rPr>
          <w:sz w:val="24"/>
          <w:szCs w:val="24"/>
        </w:rPr>
        <w:t xml:space="preserve"> </w:t>
      </w:r>
      <w:r w:rsidR="005C329D" w:rsidRPr="00337764">
        <w:rPr>
          <w:sz w:val="24"/>
          <w:szCs w:val="24"/>
        </w:rPr>
        <w:t>for most behaviors</w:t>
      </w:r>
      <w:r w:rsidR="005407B2" w:rsidRPr="00337764">
        <w:rPr>
          <w:sz w:val="24"/>
          <w:szCs w:val="24"/>
        </w:rPr>
        <w:t xml:space="preserve">; however, these decreases </w:t>
      </w:r>
      <w:r w:rsidR="005C329D">
        <w:rPr>
          <w:sz w:val="24"/>
          <w:szCs w:val="24"/>
        </w:rPr>
        <w:t>were</w:t>
      </w:r>
      <w:r w:rsidR="005407B2" w:rsidRPr="00337764">
        <w:rPr>
          <w:sz w:val="24"/>
          <w:szCs w:val="24"/>
        </w:rPr>
        <w:t xml:space="preserve"> </w:t>
      </w:r>
      <w:proofErr w:type="gramStart"/>
      <w:r w:rsidR="005407B2" w:rsidRPr="00337764">
        <w:rPr>
          <w:sz w:val="24"/>
          <w:szCs w:val="24"/>
        </w:rPr>
        <w:t>similar to</w:t>
      </w:r>
      <w:proofErr w:type="gramEnd"/>
      <w:r w:rsidR="005407B2" w:rsidRPr="00337764">
        <w:rPr>
          <w:sz w:val="24"/>
          <w:szCs w:val="24"/>
        </w:rPr>
        <w:t xml:space="preserve"> those seen in previous years. (Table) </w:t>
      </w:r>
      <w:r w:rsidR="00531A6B" w:rsidRPr="00337764">
        <w:rPr>
          <w:sz w:val="24"/>
          <w:szCs w:val="24"/>
        </w:rPr>
        <w:t xml:space="preserve">Among MSM, the proportion of cases with complete information for specific behaviors </w:t>
      </w:r>
      <w:r w:rsidR="00A415D7" w:rsidRPr="00337764">
        <w:rPr>
          <w:sz w:val="24"/>
          <w:szCs w:val="24"/>
        </w:rPr>
        <w:t>remained mostly unchanged</w:t>
      </w:r>
      <w:r w:rsidR="00531A6B" w:rsidRPr="00337764">
        <w:rPr>
          <w:sz w:val="24"/>
          <w:szCs w:val="24"/>
        </w:rPr>
        <w:t xml:space="preserve"> during 2019-2020</w:t>
      </w:r>
      <w:r w:rsidR="00337764">
        <w:rPr>
          <w:sz w:val="24"/>
          <w:szCs w:val="24"/>
        </w:rPr>
        <w:t xml:space="preserve">. </w:t>
      </w:r>
    </w:p>
    <w:p w14:paraId="6CDEFB9F" w14:textId="77777777" w:rsidR="00337764" w:rsidRPr="00337764" w:rsidRDefault="00337764" w:rsidP="00D272A0">
      <w:pPr>
        <w:rPr>
          <w:sz w:val="10"/>
          <w:szCs w:val="10"/>
        </w:rPr>
      </w:pPr>
    </w:p>
    <w:p w14:paraId="1DA965F5" w14:textId="77777777" w:rsidR="00D272A0" w:rsidRPr="00CD5E80" w:rsidRDefault="00D272A0" w:rsidP="00D272A0">
      <w:pPr>
        <w:rPr>
          <w:b/>
          <w:sz w:val="36"/>
          <w:szCs w:val="36"/>
          <w:u w:val="single"/>
        </w:rPr>
      </w:pPr>
      <w:r w:rsidRPr="00CD5E80">
        <w:rPr>
          <w:b/>
          <w:sz w:val="36"/>
          <w:szCs w:val="36"/>
          <w:u w:val="single"/>
        </w:rPr>
        <w:t>Additional Resources</w:t>
      </w:r>
    </w:p>
    <w:p w14:paraId="1C873E42" w14:textId="77777777" w:rsidR="00D272A0" w:rsidRPr="00CD5E80" w:rsidRDefault="00D272A0" w:rsidP="00D272A0">
      <w:pPr>
        <w:rPr>
          <w:sz w:val="24"/>
          <w:szCs w:val="24"/>
        </w:rPr>
      </w:pPr>
      <w:r w:rsidRPr="00CD5E80">
        <w:rPr>
          <w:sz w:val="24"/>
          <w:szCs w:val="24"/>
        </w:rPr>
        <w:t>For additional STD surveillance data and information, please see the following:</w:t>
      </w:r>
    </w:p>
    <w:p w14:paraId="0B6C33A2" w14:textId="623AC8D6" w:rsidR="00D272A0" w:rsidRPr="00CD5E80" w:rsidRDefault="00957F59" w:rsidP="00D272A0">
      <w:pPr>
        <w:pStyle w:val="ListParagraph"/>
        <w:numPr>
          <w:ilvl w:val="0"/>
          <w:numId w:val="2"/>
        </w:numPr>
        <w:rPr>
          <w:sz w:val="24"/>
          <w:szCs w:val="24"/>
        </w:rPr>
      </w:pPr>
      <w:r>
        <w:rPr>
          <w:sz w:val="24"/>
          <w:szCs w:val="24"/>
        </w:rPr>
        <w:t>2020</w:t>
      </w:r>
      <w:r w:rsidR="00D272A0" w:rsidRPr="00CD5E80">
        <w:rPr>
          <w:sz w:val="24"/>
          <w:szCs w:val="24"/>
        </w:rPr>
        <w:t xml:space="preserve"> STD Surveillance Report, available at </w:t>
      </w:r>
      <w:hyperlink r:id="rId21" w:history="1">
        <w:r w:rsidRPr="002A670E">
          <w:rPr>
            <w:rStyle w:val="Hyperlink"/>
            <w:sz w:val="24"/>
            <w:szCs w:val="24"/>
          </w:rPr>
          <w:t>https://www.cdc.gov/std/statistics/2020/default.htm</w:t>
        </w:r>
      </w:hyperlink>
      <w:r w:rsidR="00C017FE">
        <w:t xml:space="preserve"> </w:t>
      </w:r>
    </w:p>
    <w:p w14:paraId="5E6CC096" w14:textId="18D8AF0F" w:rsidR="00D272A0" w:rsidRPr="006B264F" w:rsidRDefault="00D272A0" w:rsidP="00D272A0">
      <w:pPr>
        <w:pStyle w:val="ListParagraph"/>
        <w:numPr>
          <w:ilvl w:val="0"/>
          <w:numId w:val="2"/>
        </w:numPr>
        <w:rPr>
          <w:rStyle w:val="Hyperlink"/>
          <w:color w:val="auto"/>
          <w:sz w:val="24"/>
          <w:szCs w:val="24"/>
          <w:u w:val="none"/>
        </w:rPr>
      </w:pPr>
      <w:r w:rsidRPr="00CD5E80">
        <w:rPr>
          <w:sz w:val="24"/>
          <w:szCs w:val="24"/>
        </w:rPr>
        <w:t xml:space="preserve">NCHHSTP </w:t>
      </w:r>
      <w:proofErr w:type="spellStart"/>
      <w:r w:rsidRPr="00CD5E80">
        <w:rPr>
          <w:sz w:val="24"/>
          <w:szCs w:val="24"/>
        </w:rPr>
        <w:t>AtlasPlus</w:t>
      </w:r>
      <w:proofErr w:type="spellEnd"/>
      <w:r w:rsidRPr="00CD5E80">
        <w:rPr>
          <w:sz w:val="24"/>
          <w:szCs w:val="24"/>
        </w:rPr>
        <w:t xml:space="preserve">, an interactive tool for accessing STD surveillance data, as well as HIV/AIDS, TB, and </w:t>
      </w:r>
      <w:r>
        <w:rPr>
          <w:sz w:val="24"/>
          <w:szCs w:val="24"/>
        </w:rPr>
        <w:t xml:space="preserve">viral </w:t>
      </w:r>
      <w:r w:rsidRPr="00CD5E80">
        <w:rPr>
          <w:sz w:val="24"/>
          <w:szCs w:val="24"/>
        </w:rPr>
        <w:t xml:space="preserve">hepatitis data; available at: </w:t>
      </w:r>
      <w:hyperlink r:id="rId22" w:history="1">
        <w:r w:rsidRPr="00CD5E80">
          <w:rPr>
            <w:rStyle w:val="Hyperlink"/>
            <w:color w:val="auto"/>
            <w:sz w:val="24"/>
            <w:szCs w:val="24"/>
          </w:rPr>
          <w:t>https://www.cdc.gov/nchhstp/atlas/</w:t>
        </w:r>
      </w:hyperlink>
    </w:p>
    <w:p w14:paraId="4BC098E2" w14:textId="38B22674" w:rsidR="006B264F" w:rsidRDefault="006B264F" w:rsidP="00D272A0">
      <w:pPr>
        <w:pStyle w:val="ListParagraph"/>
        <w:numPr>
          <w:ilvl w:val="0"/>
          <w:numId w:val="2"/>
        </w:numPr>
        <w:rPr>
          <w:rStyle w:val="Hyperlink"/>
          <w:color w:val="auto"/>
          <w:sz w:val="24"/>
          <w:szCs w:val="24"/>
          <w:u w:val="none"/>
        </w:rPr>
      </w:pPr>
      <w:r>
        <w:rPr>
          <w:sz w:val="24"/>
          <w:szCs w:val="24"/>
        </w:rPr>
        <w:t>National Notifiable Diseases Surveillance System overview, available at:</w:t>
      </w:r>
      <w:r>
        <w:rPr>
          <w:rStyle w:val="Hyperlink"/>
          <w:color w:val="auto"/>
          <w:sz w:val="24"/>
          <w:szCs w:val="24"/>
          <w:u w:val="none"/>
        </w:rPr>
        <w:t xml:space="preserve"> </w:t>
      </w:r>
      <w:hyperlink r:id="rId23" w:history="1">
        <w:r w:rsidRPr="007F4DB4">
          <w:rPr>
            <w:rStyle w:val="Hyperlink"/>
            <w:sz w:val="24"/>
            <w:szCs w:val="24"/>
          </w:rPr>
          <w:t>https://wwwn.cdc.gov/nndss/</w:t>
        </w:r>
      </w:hyperlink>
    </w:p>
    <w:p w14:paraId="418BF098" w14:textId="032C9A80" w:rsidR="006B264F" w:rsidRPr="00331635" w:rsidRDefault="00F00934" w:rsidP="00D272A0">
      <w:pPr>
        <w:pStyle w:val="ListParagraph"/>
        <w:numPr>
          <w:ilvl w:val="0"/>
          <w:numId w:val="2"/>
        </w:numPr>
        <w:rPr>
          <w:rStyle w:val="Hyperlink"/>
          <w:color w:val="auto"/>
          <w:sz w:val="24"/>
          <w:szCs w:val="24"/>
          <w:u w:val="none"/>
        </w:rPr>
      </w:pPr>
      <w:r>
        <w:rPr>
          <w:rStyle w:val="Hyperlink"/>
          <w:color w:val="auto"/>
          <w:sz w:val="24"/>
          <w:szCs w:val="24"/>
          <w:u w:val="none"/>
        </w:rPr>
        <w:t>Current</w:t>
      </w:r>
      <w:r w:rsidR="00C602BB">
        <w:rPr>
          <w:rStyle w:val="Hyperlink"/>
          <w:color w:val="auto"/>
          <w:sz w:val="24"/>
          <w:szCs w:val="24"/>
          <w:u w:val="none"/>
        </w:rPr>
        <w:t xml:space="preserve"> </w:t>
      </w:r>
      <w:r>
        <w:rPr>
          <w:rStyle w:val="Hyperlink"/>
          <w:color w:val="auto"/>
          <w:sz w:val="24"/>
          <w:szCs w:val="24"/>
          <w:u w:val="none"/>
        </w:rPr>
        <w:t>s</w:t>
      </w:r>
      <w:r w:rsidR="006B264F">
        <w:rPr>
          <w:rStyle w:val="Hyperlink"/>
          <w:color w:val="auto"/>
          <w:sz w:val="24"/>
          <w:szCs w:val="24"/>
          <w:u w:val="none"/>
        </w:rPr>
        <w:t>yphilis case definition</w:t>
      </w:r>
      <w:r>
        <w:rPr>
          <w:rStyle w:val="Hyperlink"/>
          <w:color w:val="auto"/>
          <w:sz w:val="24"/>
          <w:szCs w:val="24"/>
          <w:u w:val="none"/>
        </w:rPr>
        <w:t xml:space="preserve"> (in effect beginning in 2018)</w:t>
      </w:r>
      <w:r w:rsidR="006B264F">
        <w:rPr>
          <w:rStyle w:val="Hyperlink"/>
          <w:color w:val="auto"/>
          <w:sz w:val="24"/>
          <w:szCs w:val="24"/>
          <w:u w:val="none"/>
        </w:rPr>
        <w:t xml:space="preserve">, available at: </w:t>
      </w:r>
      <w:hyperlink r:id="rId24" w:history="1">
        <w:r w:rsidR="00C602BB" w:rsidRPr="007F4DB4">
          <w:rPr>
            <w:rStyle w:val="Hyperlink"/>
            <w:sz w:val="24"/>
            <w:szCs w:val="24"/>
          </w:rPr>
          <w:t>https://wwwn.cdc.gov/nndss/conditions/syphilis/case-definition/2018/</w:t>
        </w:r>
      </w:hyperlink>
      <w:r w:rsidR="00C602BB">
        <w:rPr>
          <w:rStyle w:val="Hyperlink"/>
          <w:color w:val="auto"/>
          <w:sz w:val="24"/>
          <w:szCs w:val="24"/>
          <w:u w:val="none"/>
        </w:rPr>
        <w:t xml:space="preserve"> </w:t>
      </w:r>
    </w:p>
    <w:p w14:paraId="221D56D1" w14:textId="6FC7CBFB" w:rsidR="00331635" w:rsidRDefault="00331635" w:rsidP="00331635">
      <w:pPr>
        <w:rPr>
          <w:sz w:val="24"/>
          <w:szCs w:val="24"/>
        </w:rPr>
      </w:pPr>
    </w:p>
    <w:p w14:paraId="50F48C5B" w14:textId="6DB83EC8" w:rsidR="004B464F" w:rsidRPr="00CD5E80" w:rsidRDefault="004B464F" w:rsidP="00B203C8">
      <w:pPr>
        <w:rPr>
          <w:b/>
          <w:sz w:val="36"/>
          <w:szCs w:val="36"/>
          <w:u w:val="single"/>
        </w:rPr>
      </w:pPr>
      <w:bookmarkStart w:id="0" w:name="_Toc534704805"/>
      <w:r w:rsidRPr="00CD5E80">
        <w:rPr>
          <w:b/>
          <w:sz w:val="36"/>
          <w:szCs w:val="36"/>
          <w:u w:val="single"/>
        </w:rPr>
        <w:t>References</w:t>
      </w:r>
      <w:bookmarkEnd w:id="0"/>
    </w:p>
    <w:p w14:paraId="3212B600" w14:textId="661120FA" w:rsidR="00803C7B" w:rsidRDefault="004B464F" w:rsidP="00F40DAE">
      <w:pPr>
        <w:rPr>
          <w:rStyle w:val="Hyperlink"/>
          <w:color w:val="auto"/>
          <w:sz w:val="24"/>
          <w:szCs w:val="24"/>
        </w:rPr>
        <w:sectPr w:rsidR="00803C7B" w:rsidSect="00343134">
          <w:type w:val="continuous"/>
          <w:pgSz w:w="12240" w:h="15840"/>
          <w:pgMar w:top="720" w:right="864" w:bottom="1440" w:left="1008" w:header="720" w:footer="720" w:gutter="0"/>
          <w:cols w:space="720"/>
          <w:docGrid w:linePitch="360"/>
        </w:sectPr>
      </w:pPr>
      <w:r w:rsidRPr="00CD5E80">
        <w:rPr>
          <w:sz w:val="24"/>
          <w:szCs w:val="24"/>
        </w:rPr>
        <w:t xml:space="preserve">1. Centers for Disease Control and Prevention. </w:t>
      </w:r>
      <w:r w:rsidRPr="00CD5E80">
        <w:rPr>
          <w:i/>
          <w:sz w:val="24"/>
          <w:szCs w:val="24"/>
        </w:rPr>
        <w:t xml:space="preserve">Sexually Transmitted Disease Surveillance </w:t>
      </w:r>
      <w:r w:rsidR="00957F59">
        <w:rPr>
          <w:i/>
          <w:sz w:val="24"/>
          <w:szCs w:val="24"/>
        </w:rPr>
        <w:t>2020</w:t>
      </w:r>
      <w:r w:rsidRPr="00CD5E80">
        <w:rPr>
          <w:i/>
          <w:sz w:val="24"/>
          <w:szCs w:val="24"/>
        </w:rPr>
        <w:t xml:space="preserve">. </w:t>
      </w:r>
      <w:r w:rsidRPr="00CD5E80">
        <w:rPr>
          <w:sz w:val="24"/>
          <w:szCs w:val="24"/>
        </w:rPr>
        <w:t xml:space="preserve">Atlanta: U.S. Department of Health and Human Services; </w:t>
      </w:r>
      <w:r w:rsidR="00C017FE">
        <w:rPr>
          <w:sz w:val="24"/>
          <w:szCs w:val="24"/>
        </w:rPr>
        <w:t>2021</w:t>
      </w:r>
      <w:r w:rsidRPr="00CD5E80">
        <w:rPr>
          <w:sz w:val="24"/>
          <w:szCs w:val="24"/>
        </w:rPr>
        <w:t xml:space="preserve">. Available at: </w:t>
      </w:r>
      <w:hyperlink r:id="rId25" w:history="1">
        <w:r w:rsidR="00253EDB" w:rsidRPr="004D6A33">
          <w:rPr>
            <w:rStyle w:val="Hyperlink"/>
            <w:sz w:val="24"/>
            <w:szCs w:val="24"/>
          </w:rPr>
          <w:t>https://www.cdc.gov/std/statistics/2020/default.htm</w:t>
        </w:r>
      </w:hyperlink>
      <w:r w:rsidR="00253EDB">
        <w:rPr>
          <w:sz w:val="24"/>
          <w:szCs w:val="24"/>
        </w:rPr>
        <w:t xml:space="preserve"> </w:t>
      </w:r>
    </w:p>
    <w:tbl>
      <w:tblPr>
        <w:tblW w:w="17821" w:type="dxa"/>
        <w:tblInd w:w="360" w:type="dxa"/>
        <w:tblLook w:val="04A0" w:firstRow="1" w:lastRow="0" w:firstColumn="1" w:lastColumn="0" w:noHBand="0" w:noVBand="1"/>
      </w:tblPr>
      <w:tblGrid>
        <w:gridCol w:w="1273"/>
        <w:gridCol w:w="1864"/>
        <w:gridCol w:w="1121"/>
        <w:gridCol w:w="297"/>
        <w:gridCol w:w="1864"/>
        <w:gridCol w:w="1121"/>
        <w:gridCol w:w="292"/>
        <w:gridCol w:w="1864"/>
        <w:gridCol w:w="1121"/>
        <w:gridCol w:w="288"/>
        <w:gridCol w:w="1855"/>
        <w:gridCol w:w="1350"/>
        <w:gridCol w:w="271"/>
        <w:gridCol w:w="1889"/>
        <w:gridCol w:w="1351"/>
      </w:tblGrid>
      <w:tr w:rsidR="002B546D" w:rsidRPr="002B546D" w14:paraId="1E6E6018" w14:textId="77777777" w:rsidTr="140F6E0A">
        <w:trPr>
          <w:trHeight w:val="694"/>
        </w:trPr>
        <w:tc>
          <w:tcPr>
            <w:tcW w:w="17821" w:type="dxa"/>
            <w:gridSpan w:val="15"/>
            <w:tcBorders>
              <w:top w:val="single" w:sz="12" w:space="0" w:color="auto"/>
              <w:left w:val="nil"/>
              <w:bottom w:val="single" w:sz="12" w:space="0" w:color="auto"/>
              <w:right w:val="nil"/>
            </w:tcBorders>
            <w:shd w:val="clear" w:color="auto" w:fill="auto"/>
            <w:vAlign w:val="center"/>
            <w:hideMark/>
          </w:tcPr>
          <w:p w14:paraId="32130332" w14:textId="5FF8C71A" w:rsidR="002B546D" w:rsidRPr="002B546D" w:rsidRDefault="002B546D" w:rsidP="002B546D">
            <w:pPr>
              <w:spacing w:after="0" w:line="240" w:lineRule="auto"/>
              <w:rPr>
                <w:rFonts w:ascii="Calibri" w:eastAsia="Times New Roman" w:hAnsi="Calibri" w:cs="Calibri"/>
                <w:b/>
                <w:bCs/>
                <w:color w:val="000000"/>
                <w:sz w:val="26"/>
                <w:szCs w:val="26"/>
              </w:rPr>
            </w:pPr>
            <w:r w:rsidRPr="002B546D">
              <w:rPr>
                <w:rFonts w:ascii="Calibri" w:eastAsia="Times New Roman" w:hAnsi="Calibri" w:cs="Calibri"/>
                <w:b/>
                <w:bCs/>
                <w:color w:val="000000"/>
                <w:sz w:val="26"/>
                <w:szCs w:val="26"/>
              </w:rPr>
              <w:lastRenderedPageBreak/>
              <w:t>Table. Proportion of primary and secondary syphilis cases with complete information for selected substance use and sexual behaviors, and incarceration history by sex and sex of sex partners, United States, 2016–2020</w:t>
            </w:r>
          </w:p>
        </w:tc>
      </w:tr>
      <w:tr w:rsidR="00030609" w:rsidRPr="002B546D" w14:paraId="4DAC94CF" w14:textId="77777777" w:rsidTr="140F6E0A">
        <w:trPr>
          <w:trHeight w:val="332"/>
        </w:trPr>
        <w:tc>
          <w:tcPr>
            <w:tcW w:w="1273" w:type="dxa"/>
            <w:tcBorders>
              <w:top w:val="nil"/>
              <w:left w:val="nil"/>
              <w:right w:val="nil"/>
            </w:tcBorders>
            <w:shd w:val="clear" w:color="auto" w:fill="auto"/>
            <w:noWrap/>
            <w:vAlign w:val="center"/>
          </w:tcPr>
          <w:p w14:paraId="0AC6C533" w14:textId="77777777" w:rsidR="00030609" w:rsidRPr="002B546D" w:rsidRDefault="00030609" w:rsidP="002B546D">
            <w:pPr>
              <w:spacing w:after="0" w:line="240" w:lineRule="auto"/>
              <w:rPr>
                <w:rFonts w:ascii="Calibri" w:eastAsia="Times New Roman" w:hAnsi="Calibri" w:cs="Calibri"/>
                <w:b/>
                <w:bCs/>
                <w:color w:val="000000"/>
                <w:sz w:val="24"/>
                <w:szCs w:val="24"/>
              </w:rPr>
            </w:pPr>
          </w:p>
        </w:tc>
        <w:tc>
          <w:tcPr>
            <w:tcW w:w="2985" w:type="dxa"/>
            <w:gridSpan w:val="2"/>
            <w:tcBorders>
              <w:top w:val="nil"/>
              <w:left w:val="nil"/>
              <w:right w:val="nil"/>
            </w:tcBorders>
            <w:shd w:val="clear" w:color="auto" w:fill="auto"/>
            <w:noWrap/>
            <w:vAlign w:val="center"/>
          </w:tcPr>
          <w:p w14:paraId="2508B3CC" w14:textId="31A1B5EC" w:rsidR="00030609" w:rsidRPr="00030609" w:rsidRDefault="00030609" w:rsidP="002B546D">
            <w:pPr>
              <w:spacing w:after="0" w:line="240" w:lineRule="auto"/>
              <w:jc w:val="center"/>
              <w:rPr>
                <w:rFonts w:ascii="Calibri" w:eastAsia="Times New Roman" w:hAnsi="Calibri" w:cs="Calibri"/>
                <w:color w:val="000000"/>
                <w:sz w:val="26"/>
                <w:szCs w:val="26"/>
              </w:rPr>
            </w:pPr>
            <w:r w:rsidRPr="00030609">
              <w:rPr>
                <w:rFonts w:ascii="Calibri" w:eastAsia="Times New Roman" w:hAnsi="Calibri" w:cs="Calibri"/>
                <w:color w:val="000000"/>
                <w:sz w:val="26"/>
                <w:szCs w:val="26"/>
              </w:rPr>
              <w:t>2016</w:t>
            </w:r>
          </w:p>
        </w:tc>
        <w:tc>
          <w:tcPr>
            <w:tcW w:w="297" w:type="dxa"/>
            <w:tcBorders>
              <w:top w:val="nil"/>
              <w:left w:val="nil"/>
              <w:right w:val="nil"/>
            </w:tcBorders>
            <w:shd w:val="clear" w:color="auto" w:fill="auto"/>
            <w:vAlign w:val="center"/>
          </w:tcPr>
          <w:p w14:paraId="59E66EE7" w14:textId="77777777" w:rsidR="00030609" w:rsidRPr="00030609" w:rsidRDefault="00030609" w:rsidP="002B546D">
            <w:pPr>
              <w:spacing w:after="0" w:line="240" w:lineRule="auto"/>
              <w:jc w:val="center"/>
              <w:rPr>
                <w:rFonts w:ascii="Calibri" w:eastAsia="Times New Roman" w:hAnsi="Calibri" w:cs="Calibri"/>
                <w:color w:val="000000"/>
                <w:sz w:val="26"/>
                <w:szCs w:val="26"/>
              </w:rPr>
            </w:pPr>
          </w:p>
        </w:tc>
        <w:tc>
          <w:tcPr>
            <w:tcW w:w="2985" w:type="dxa"/>
            <w:gridSpan w:val="2"/>
            <w:tcBorders>
              <w:top w:val="nil"/>
              <w:left w:val="nil"/>
              <w:right w:val="nil"/>
            </w:tcBorders>
            <w:shd w:val="clear" w:color="auto" w:fill="auto"/>
            <w:noWrap/>
            <w:vAlign w:val="center"/>
          </w:tcPr>
          <w:p w14:paraId="4E14DE92" w14:textId="34A73CE0" w:rsidR="00030609" w:rsidRPr="00030609" w:rsidRDefault="00030609" w:rsidP="002B546D">
            <w:pPr>
              <w:spacing w:after="0" w:line="240" w:lineRule="auto"/>
              <w:jc w:val="center"/>
              <w:rPr>
                <w:rFonts w:ascii="Calibri" w:eastAsia="Times New Roman" w:hAnsi="Calibri" w:cs="Calibri"/>
                <w:color w:val="000000"/>
                <w:sz w:val="26"/>
                <w:szCs w:val="26"/>
              </w:rPr>
            </w:pPr>
            <w:r w:rsidRPr="00030609">
              <w:rPr>
                <w:rFonts w:ascii="Calibri" w:eastAsia="Times New Roman" w:hAnsi="Calibri" w:cs="Calibri"/>
                <w:color w:val="000000"/>
                <w:sz w:val="26"/>
                <w:szCs w:val="26"/>
              </w:rPr>
              <w:t>2017</w:t>
            </w:r>
          </w:p>
        </w:tc>
        <w:tc>
          <w:tcPr>
            <w:tcW w:w="292" w:type="dxa"/>
            <w:tcBorders>
              <w:top w:val="nil"/>
              <w:left w:val="nil"/>
              <w:right w:val="nil"/>
            </w:tcBorders>
            <w:shd w:val="clear" w:color="auto" w:fill="auto"/>
            <w:vAlign w:val="center"/>
          </w:tcPr>
          <w:p w14:paraId="11AB677A" w14:textId="77777777" w:rsidR="00030609" w:rsidRPr="00030609" w:rsidRDefault="00030609" w:rsidP="002B546D">
            <w:pPr>
              <w:spacing w:after="0" w:line="240" w:lineRule="auto"/>
              <w:jc w:val="center"/>
              <w:rPr>
                <w:rFonts w:ascii="Calibri" w:eastAsia="Times New Roman" w:hAnsi="Calibri" w:cs="Calibri"/>
                <w:color w:val="000000"/>
                <w:sz w:val="26"/>
                <w:szCs w:val="26"/>
              </w:rPr>
            </w:pPr>
          </w:p>
        </w:tc>
        <w:tc>
          <w:tcPr>
            <w:tcW w:w="2985" w:type="dxa"/>
            <w:gridSpan w:val="2"/>
            <w:tcBorders>
              <w:top w:val="nil"/>
              <w:left w:val="nil"/>
              <w:right w:val="nil"/>
            </w:tcBorders>
            <w:shd w:val="clear" w:color="auto" w:fill="auto"/>
            <w:noWrap/>
            <w:vAlign w:val="center"/>
          </w:tcPr>
          <w:p w14:paraId="50FD20E9" w14:textId="2DDFC3B6" w:rsidR="00030609" w:rsidRPr="00030609" w:rsidRDefault="00030609" w:rsidP="002B546D">
            <w:pPr>
              <w:spacing w:after="0" w:line="240" w:lineRule="auto"/>
              <w:jc w:val="center"/>
              <w:rPr>
                <w:rFonts w:ascii="Calibri" w:eastAsia="Times New Roman" w:hAnsi="Calibri" w:cs="Calibri"/>
                <w:color w:val="000000"/>
                <w:sz w:val="26"/>
                <w:szCs w:val="26"/>
              </w:rPr>
            </w:pPr>
            <w:r w:rsidRPr="00030609">
              <w:rPr>
                <w:rFonts w:ascii="Calibri" w:eastAsia="Times New Roman" w:hAnsi="Calibri" w:cs="Calibri"/>
                <w:color w:val="000000"/>
                <w:sz w:val="26"/>
                <w:szCs w:val="26"/>
              </w:rPr>
              <w:t>2018</w:t>
            </w:r>
          </w:p>
        </w:tc>
        <w:tc>
          <w:tcPr>
            <w:tcW w:w="288" w:type="dxa"/>
            <w:tcBorders>
              <w:top w:val="nil"/>
              <w:left w:val="nil"/>
              <w:right w:val="nil"/>
            </w:tcBorders>
            <w:shd w:val="clear" w:color="auto" w:fill="auto"/>
            <w:vAlign w:val="center"/>
          </w:tcPr>
          <w:p w14:paraId="19E479EA" w14:textId="77777777" w:rsidR="00030609" w:rsidRPr="00030609" w:rsidRDefault="00030609" w:rsidP="002B546D">
            <w:pPr>
              <w:spacing w:after="0" w:line="240" w:lineRule="auto"/>
              <w:jc w:val="center"/>
              <w:rPr>
                <w:rFonts w:ascii="Calibri" w:eastAsia="Times New Roman" w:hAnsi="Calibri" w:cs="Calibri"/>
                <w:color w:val="000000"/>
                <w:sz w:val="26"/>
                <w:szCs w:val="26"/>
              </w:rPr>
            </w:pPr>
          </w:p>
        </w:tc>
        <w:tc>
          <w:tcPr>
            <w:tcW w:w="3205" w:type="dxa"/>
            <w:gridSpan w:val="2"/>
            <w:tcBorders>
              <w:top w:val="nil"/>
              <w:left w:val="nil"/>
              <w:right w:val="nil"/>
            </w:tcBorders>
            <w:shd w:val="clear" w:color="auto" w:fill="auto"/>
            <w:noWrap/>
            <w:vAlign w:val="center"/>
          </w:tcPr>
          <w:p w14:paraId="5F854AF6" w14:textId="618A65CE" w:rsidR="00030609" w:rsidRPr="00030609" w:rsidRDefault="00030609" w:rsidP="002B546D">
            <w:pPr>
              <w:spacing w:after="0" w:line="240" w:lineRule="auto"/>
              <w:jc w:val="center"/>
              <w:rPr>
                <w:rFonts w:ascii="Calibri" w:eastAsia="Times New Roman" w:hAnsi="Calibri" w:cs="Calibri"/>
                <w:color w:val="000000"/>
                <w:sz w:val="26"/>
                <w:szCs w:val="26"/>
              </w:rPr>
            </w:pPr>
            <w:r w:rsidRPr="00030609">
              <w:rPr>
                <w:rFonts w:ascii="Calibri" w:eastAsia="Times New Roman" w:hAnsi="Calibri" w:cs="Calibri"/>
                <w:color w:val="000000"/>
                <w:sz w:val="26"/>
                <w:szCs w:val="26"/>
              </w:rPr>
              <w:t>2019</w:t>
            </w:r>
          </w:p>
        </w:tc>
        <w:tc>
          <w:tcPr>
            <w:tcW w:w="271" w:type="dxa"/>
            <w:tcBorders>
              <w:top w:val="nil"/>
              <w:left w:val="nil"/>
              <w:right w:val="nil"/>
            </w:tcBorders>
            <w:shd w:val="clear" w:color="auto" w:fill="auto"/>
            <w:vAlign w:val="center"/>
          </w:tcPr>
          <w:p w14:paraId="1799AC17" w14:textId="77777777" w:rsidR="00030609" w:rsidRPr="00030609" w:rsidRDefault="00030609" w:rsidP="002B546D">
            <w:pPr>
              <w:spacing w:after="0" w:line="240" w:lineRule="auto"/>
              <w:jc w:val="center"/>
              <w:rPr>
                <w:rFonts w:ascii="Calibri" w:eastAsia="Times New Roman" w:hAnsi="Calibri" w:cs="Calibri"/>
                <w:color w:val="000000"/>
                <w:sz w:val="26"/>
                <w:szCs w:val="26"/>
              </w:rPr>
            </w:pPr>
          </w:p>
        </w:tc>
        <w:tc>
          <w:tcPr>
            <w:tcW w:w="3240" w:type="dxa"/>
            <w:gridSpan w:val="2"/>
            <w:tcBorders>
              <w:top w:val="nil"/>
              <w:left w:val="nil"/>
              <w:right w:val="nil"/>
            </w:tcBorders>
            <w:shd w:val="clear" w:color="auto" w:fill="auto"/>
            <w:noWrap/>
            <w:vAlign w:val="center"/>
          </w:tcPr>
          <w:p w14:paraId="286534F0" w14:textId="39576CEB" w:rsidR="00030609" w:rsidRPr="00030609" w:rsidRDefault="00030609" w:rsidP="00030609">
            <w:pPr>
              <w:spacing w:after="0" w:line="240" w:lineRule="auto"/>
              <w:jc w:val="center"/>
              <w:rPr>
                <w:rFonts w:ascii="Calibri" w:eastAsia="Times New Roman" w:hAnsi="Calibri" w:cs="Calibri"/>
                <w:color w:val="000000"/>
                <w:sz w:val="26"/>
                <w:szCs w:val="26"/>
              </w:rPr>
            </w:pPr>
            <w:r w:rsidRPr="00030609">
              <w:rPr>
                <w:rFonts w:ascii="Calibri" w:eastAsia="Times New Roman" w:hAnsi="Calibri" w:cs="Calibri"/>
                <w:color w:val="000000"/>
                <w:sz w:val="26"/>
                <w:szCs w:val="26"/>
              </w:rPr>
              <w:t>2020</w:t>
            </w:r>
          </w:p>
        </w:tc>
      </w:tr>
      <w:tr w:rsidR="00054D38" w:rsidRPr="002B546D" w14:paraId="65F58989" w14:textId="77777777" w:rsidTr="140F6E0A">
        <w:trPr>
          <w:trHeight w:val="332"/>
        </w:trPr>
        <w:tc>
          <w:tcPr>
            <w:tcW w:w="1273" w:type="dxa"/>
            <w:tcBorders>
              <w:top w:val="nil"/>
              <w:left w:val="nil"/>
              <w:bottom w:val="single" w:sz="12" w:space="0" w:color="auto"/>
              <w:right w:val="nil"/>
            </w:tcBorders>
            <w:shd w:val="clear" w:color="auto" w:fill="auto"/>
            <w:noWrap/>
            <w:vAlign w:val="center"/>
            <w:hideMark/>
          </w:tcPr>
          <w:p w14:paraId="0B6944C6" w14:textId="77777777" w:rsidR="00054D38" w:rsidRPr="002B546D" w:rsidRDefault="00054D38" w:rsidP="00054D38">
            <w:pPr>
              <w:spacing w:after="0" w:line="240" w:lineRule="auto"/>
              <w:rPr>
                <w:rFonts w:ascii="Calibri" w:eastAsia="Times New Roman" w:hAnsi="Calibri" w:cs="Calibri"/>
                <w:b/>
                <w:bCs/>
                <w:color w:val="000000"/>
                <w:sz w:val="20"/>
                <w:szCs w:val="20"/>
              </w:rPr>
            </w:pPr>
            <w:r w:rsidRPr="002B546D">
              <w:rPr>
                <w:rFonts w:ascii="Calibri" w:eastAsia="Times New Roman" w:hAnsi="Calibri" w:cs="Calibri"/>
                <w:b/>
                <w:bCs/>
                <w:color w:val="000000"/>
                <w:sz w:val="20"/>
                <w:szCs w:val="20"/>
              </w:rPr>
              <w:t>Reported behavior*</w:t>
            </w:r>
          </w:p>
        </w:tc>
        <w:tc>
          <w:tcPr>
            <w:tcW w:w="1864" w:type="dxa"/>
            <w:tcBorders>
              <w:top w:val="nil"/>
              <w:left w:val="nil"/>
              <w:bottom w:val="single" w:sz="12" w:space="0" w:color="auto"/>
              <w:right w:val="nil"/>
            </w:tcBorders>
            <w:shd w:val="clear" w:color="auto" w:fill="auto"/>
            <w:noWrap/>
            <w:vAlign w:val="center"/>
            <w:hideMark/>
          </w:tcPr>
          <w:p w14:paraId="6080216A" w14:textId="77777777" w:rsidR="00054D38" w:rsidRPr="00054D38" w:rsidRDefault="00054D38" w:rsidP="00054D38">
            <w:pPr>
              <w:spacing w:after="0" w:line="240" w:lineRule="auto"/>
              <w:jc w:val="center"/>
              <w:rPr>
                <w:rFonts w:ascii="Calibri" w:eastAsia="Times New Roman" w:hAnsi="Calibri" w:cs="Calibri"/>
                <w:color w:val="000000"/>
                <w:sz w:val="18"/>
                <w:szCs w:val="18"/>
              </w:rPr>
            </w:pPr>
            <w:r w:rsidRPr="00054D38">
              <w:rPr>
                <w:rFonts w:ascii="Calibri" w:eastAsia="Times New Roman" w:hAnsi="Calibri" w:cs="Calibri"/>
                <w:color w:val="000000"/>
                <w:sz w:val="18"/>
                <w:szCs w:val="18"/>
              </w:rPr>
              <w:t xml:space="preserve"># </w:t>
            </w:r>
            <w:proofErr w:type="gramStart"/>
            <w:r w:rsidRPr="00054D38">
              <w:rPr>
                <w:rFonts w:ascii="Calibri" w:eastAsia="Times New Roman" w:hAnsi="Calibri" w:cs="Calibri"/>
                <w:color w:val="000000"/>
                <w:sz w:val="18"/>
                <w:szCs w:val="18"/>
              </w:rPr>
              <w:t>of</w:t>
            </w:r>
            <w:proofErr w:type="gramEnd"/>
            <w:r w:rsidRPr="00054D38">
              <w:rPr>
                <w:rFonts w:ascii="Calibri" w:eastAsia="Times New Roman" w:hAnsi="Calibri" w:cs="Calibri"/>
                <w:color w:val="000000"/>
                <w:sz w:val="18"/>
                <w:szCs w:val="18"/>
              </w:rPr>
              <w:t xml:space="preserve"> cases with complete information / # of cases</w:t>
            </w:r>
          </w:p>
        </w:tc>
        <w:tc>
          <w:tcPr>
            <w:tcW w:w="1121" w:type="dxa"/>
            <w:tcBorders>
              <w:top w:val="nil"/>
              <w:left w:val="nil"/>
              <w:bottom w:val="single" w:sz="12" w:space="0" w:color="auto"/>
              <w:right w:val="nil"/>
            </w:tcBorders>
            <w:shd w:val="clear" w:color="auto" w:fill="auto"/>
            <w:noWrap/>
            <w:vAlign w:val="center"/>
            <w:hideMark/>
          </w:tcPr>
          <w:p w14:paraId="2E8ED645" w14:textId="77777777"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297" w:type="dxa"/>
            <w:tcBorders>
              <w:top w:val="nil"/>
              <w:left w:val="nil"/>
              <w:bottom w:val="single" w:sz="12" w:space="0" w:color="auto"/>
              <w:right w:val="nil"/>
            </w:tcBorders>
            <w:shd w:val="clear" w:color="auto" w:fill="auto"/>
            <w:vAlign w:val="center"/>
            <w:hideMark/>
          </w:tcPr>
          <w:p w14:paraId="38BEEB16" w14:textId="77777777" w:rsidR="00054D38" w:rsidRPr="002B546D" w:rsidRDefault="00054D38" w:rsidP="00054D38">
            <w:pPr>
              <w:spacing w:after="0" w:line="240" w:lineRule="auto"/>
              <w:jc w:val="center"/>
              <w:rPr>
                <w:rFonts w:ascii="Calibri" w:eastAsia="Times New Roman" w:hAnsi="Calibri" w:cs="Calibri"/>
                <w:color w:val="000000"/>
                <w:sz w:val="18"/>
                <w:szCs w:val="18"/>
              </w:rPr>
            </w:pPr>
          </w:p>
        </w:tc>
        <w:tc>
          <w:tcPr>
            <w:tcW w:w="1864" w:type="dxa"/>
            <w:tcBorders>
              <w:top w:val="nil"/>
              <w:left w:val="nil"/>
              <w:bottom w:val="single" w:sz="12" w:space="0" w:color="auto"/>
              <w:right w:val="nil"/>
            </w:tcBorders>
            <w:shd w:val="clear" w:color="auto" w:fill="auto"/>
            <w:noWrap/>
            <w:vAlign w:val="center"/>
            <w:hideMark/>
          </w:tcPr>
          <w:p w14:paraId="0F4D728D" w14:textId="77777777"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 / # of cases</w:t>
            </w:r>
          </w:p>
        </w:tc>
        <w:tc>
          <w:tcPr>
            <w:tcW w:w="1121" w:type="dxa"/>
            <w:tcBorders>
              <w:top w:val="nil"/>
              <w:left w:val="nil"/>
              <w:bottom w:val="single" w:sz="12" w:space="0" w:color="auto"/>
              <w:right w:val="nil"/>
            </w:tcBorders>
            <w:shd w:val="clear" w:color="auto" w:fill="auto"/>
            <w:noWrap/>
            <w:vAlign w:val="center"/>
            <w:hideMark/>
          </w:tcPr>
          <w:p w14:paraId="2930509C" w14:textId="77777777"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292" w:type="dxa"/>
            <w:tcBorders>
              <w:top w:val="nil"/>
              <w:left w:val="nil"/>
              <w:bottom w:val="single" w:sz="12" w:space="0" w:color="auto"/>
              <w:right w:val="nil"/>
            </w:tcBorders>
            <w:shd w:val="clear" w:color="auto" w:fill="auto"/>
            <w:vAlign w:val="center"/>
            <w:hideMark/>
          </w:tcPr>
          <w:p w14:paraId="3D912BCA" w14:textId="77777777" w:rsidR="00054D38" w:rsidRPr="002B546D" w:rsidRDefault="00054D38" w:rsidP="00054D38">
            <w:pPr>
              <w:spacing w:after="0" w:line="240" w:lineRule="auto"/>
              <w:jc w:val="center"/>
              <w:rPr>
                <w:rFonts w:ascii="Calibri" w:eastAsia="Times New Roman" w:hAnsi="Calibri" w:cs="Calibri"/>
                <w:color w:val="000000"/>
                <w:sz w:val="18"/>
                <w:szCs w:val="18"/>
              </w:rPr>
            </w:pPr>
          </w:p>
        </w:tc>
        <w:tc>
          <w:tcPr>
            <w:tcW w:w="1864" w:type="dxa"/>
            <w:tcBorders>
              <w:top w:val="nil"/>
              <w:left w:val="nil"/>
              <w:bottom w:val="single" w:sz="12" w:space="0" w:color="auto"/>
              <w:right w:val="nil"/>
            </w:tcBorders>
            <w:shd w:val="clear" w:color="auto" w:fill="auto"/>
            <w:noWrap/>
            <w:vAlign w:val="center"/>
            <w:hideMark/>
          </w:tcPr>
          <w:p w14:paraId="0549CA4A" w14:textId="4FF16BED"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 of cases</w:t>
            </w:r>
          </w:p>
        </w:tc>
        <w:tc>
          <w:tcPr>
            <w:tcW w:w="1121" w:type="dxa"/>
            <w:tcBorders>
              <w:top w:val="nil"/>
              <w:left w:val="nil"/>
              <w:bottom w:val="single" w:sz="12" w:space="0" w:color="auto"/>
              <w:right w:val="nil"/>
            </w:tcBorders>
            <w:shd w:val="clear" w:color="auto" w:fill="auto"/>
            <w:noWrap/>
            <w:vAlign w:val="center"/>
            <w:hideMark/>
          </w:tcPr>
          <w:p w14:paraId="7AE22D8E" w14:textId="77777777"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288" w:type="dxa"/>
            <w:tcBorders>
              <w:top w:val="nil"/>
              <w:left w:val="nil"/>
              <w:bottom w:val="single" w:sz="12" w:space="0" w:color="auto"/>
              <w:right w:val="nil"/>
            </w:tcBorders>
            <w:shd w:val="clear" w:color="auto" w:fill="auto"/>
            <w:vAlign w:val="center"/>
            <w:hideMark/>
          </w:tcPr>
          <w:p w14:paraId="51FA9506" w14:textId="77777777" w:rsidR="00054D38" w:rsidRPr="002B546D" w:rsidRDefault="00054D38" w:rsidP="00054D38">
            <w:pPr>
              <w:spacing w:after="0" w:line="240" w:lineRule="auto"/>
              <w:jc w:val="center"/>
              <w:rPr>
                <w:rFonts w:ascii="Calibri" w:eastAsia="Times New Roman" w:hAnsi="Calibri" w:cs="Calibri"/>
                <w:color w:val="000000"/>
                <w:sz w:val="18"/>
                <w:szCs w:val="18"/>
              </w:rPr>
            </w:pPr>
          </w:p>
        </w:tc>
        <w:tc>
          <w:tcPr>
            <w:tcW w:w="1855" w:type="dxa"/>
            <w:tcBorders>
              <w:top w:val="nil"/>
              <w:left w:val="nil"/>
              <w:bottom w:val="single" w:sz="12" w:space="0" w:color="auto"/>
              <w:right w:val="nil"/>
            </w:tcBorders>
            <w:shd w:val="clear" w:color="auto" w:fill="auto"/>
            <w:noWrap/>
            <w:vAlign w:val="center"/>
            <w:hideMark/>
          </w:tcPr>
          <w:p w14:paraId="1533EB83" w14:textId="0B0B9510"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 of cases</w:t>
            </w:r>
          </w:p>
        </w:tc>
        <w:tc>
          <w:tcPr>
            <w:tcW w:w="1350" w:type="dxa"/>
            <w:tcBorders>
              <w:top w:val="nil"/>
              <w:left w:val="nil"/>
              <w:bottom w:val="single" w:sz="12" w:space="0" w:color="auto"/>
              <w:right w:val="nil"/>
            </w:tcBorders>
            <w:shd w:val="clear" w:color="auto" w:fill="auto"/>
            <w:noWrap/>
            <w:vAlign w:val="center"/>
            <w:hideMark/>
          </w:tcPr>
          <w:p w14:paraId="03DEBC63" w14:textId="10F5BF79"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271" w:type="dxa"/>
            <w:tcBorders>
              <w:top w:val="nil"/>
              <w:left w:val="nil"/>
              <w:bottom w:val="single" w:sz="12" w:space="0" w:color="auto"/>
              <w:right w:val="nil"/>
            </w:tcBorders>
            <w:shd w:val="clear" w:color="auto" w:fill="auto"/>
            <w:vAlign w:val="center"/>
            <w:hideMark/>
          </w:tcPr>
          <w:p w14:paraId="12EDD37F" w14:textId="77777777" w:rsidR="00054D38" w:rsidRPr="002B546D" w:rsidRDefault="00054D38" w:rsidP="00054D38">
            <w:pPr>
              <w:spacing w:after="0" w:line="240" w:lineRule="auto"/>
              <w:jc w:val="center"/>
              <w:rPr>
                <w:rFonts w:ascii="Calibri" w:eastAsia="Times New Roman" w:hAnsi="Calibri" w:cs="Calibri"/>
                <w:color w:val="000000"/>
                <w:sz w:val="18"/>
                <w:szCs w:val="18"/>
              </w:rPr>
            </w:pPr>
          </w:p>
        </w:tc>
        <w:tc>
          <w:tcPr>
            <w:tcW w:w="1889" w:type="dxa"/>
            <w:tcBorders>
              <w:top w:val="nil"/>
              <w:left w:val="nil"/>
              <w:bottom w:val="single" w:sz="12" w:space="0" w:color="auto"/>
              <w:right w:val="nil"/>
            </w:tcBorders>
            <w:shd w:val="clear" w:color="auto" w:fill="auto"/>
            <w:noWrap/>
            <w:vAlign w:val="center"/>
            <w:hideMark/>
          </w:tcPr>
          <w:p w14:paraId="48D76516" w14:textId="5BA19305"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 of cases</w:t>
            </w:r>
          </w:p>
        </w:tc>
        <w:tc>
          <w:tcPr>
            <w:tcW w:w="1351" w:type="dxa"/>
            <w:tcBorders>
              <w:top w:val="nil"/>
              <w:left w:val="nil"/>
              <w:bottom w:val="single" w:sz="12" w:space="0" w:color="auto"/>
              <w:right w:val="nil"/>
            </w:tcBorders>
            <w:shd w:val="clear" w:color="auto" w:fill="auto"/>
            <w:noWrap/>
            <w:vAlign w:val="center"/>
            <w:hideMark/>
          </w:tcPr>
          <w:p w14:paraId="0A4DCE71" w14:textId="5D88EF2F" w:rsidR="00054D38" w:rsidRPr="002B546D" w:rsidRDefault="00054D38" w:rsidP="00054D38">
            <w:pPr>
              <w:spacing w:after="0" w:line="240" w:lineRule="auto"/>
              <w:jc w:val="center"/>
              <w:rPr>
                <w:rFonts w:ascii="Calibri" w:eastAsia="Times New Roman" w:hAnsi="Calibri" w:cs="Calibri"/>
                <w:color w:val="000000"/>
                <w:sz w:val="18"/>
                <w:szCs w:val="18"/>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r>
      <w:tr w:rsidR="00BA282C" w:rsidRPr="002B546D" w14:paraId="73AD5C80" w14:textId="77777777" w:rsidTr="140F6E0A">
        <w:trPr>
          <w:trHeight w:val="316"/>
        </w:trPr>
        <w:tc>
          <w:tcPr>
            <w:tcW w:w="17821" w:type="dxa"/>
            <w:gridSpan w:val="15"/>
            <w:tcBorders>
              <w:top w:val="single" w:sz="12" w:space="0" w:color="auto"/>
              <w:left w:val="nil"/>
              <w:bottom w:val="nil"/>
              <w:right w:val="nil"/>
            </w:tcBorders>
            <w:shd w:val="clear" w:color="auto" w:fill="auto"/>
            <w:noWrap/>
            <w:vAlign w:val="center"/>
            <w:hideMark/>
          </w:tcPr>
          <w:p w14:paraId="227EC08B" w14:textId="40D0F4BD" w:rsidR="00BA282C" w:rsidRPr="002B546D" w:rsidRDefault="00BA282C" w:rsidP="00BA282C">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Cocaine use</w:t>
            </w:r>
          </w:p>
        </w:tc>
      </w:tr>
      <w:tr w:rsidR="00054D38" w:rsidRPr="002B546D" w14:paraId="23548577"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5CC289B1"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auto" w:fill="D9D9D9" w:themeFill="background1" w:themeFillShade="D9"/>
            <w:noWrap/>
            <w:vAlign w:val="center"/>
            <w:hideMark/>
          </w:tcPr>
          <w:p w14:paraId="2E293A6C"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2,334/3,049</w:t>
            </w:r>
          </w:p>
        </w:tc>
        <w:tc>
          <w:tcPr>
            <w:tcW w:w="1121" w:type="dxa"/>
            <w:tcBorders>
              <w:top w:val="nil"/>
              <w:left w:val="nil"/>
              <w:bottom w:val="nil"/>
              <w:right w:val="nil"/>
            </w:tcBorders>
            <w:shd w:val="clear" w:color="auto" w:fill="D9D9D9" w:themeFill="background1" w:themeFillShade="D9"/>
            <w:noWrap/>
            <w:vAlign w:val="center"/>
            <w:hideMark/>
          </w:tcPr>
          <w:p w14:paraId="7EB30305" w14:textId="15E2E51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3487C31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57540EF6"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2,721/3,722</w:t>
            </w:r>
          </w:p>
        </w:tc>
        <w:tc>
          <w:tcPr>
            <w:tcW w:w="1121" w:type="dxa"/>
            <w:tcBorders>
              <w:top w:val="nil"/>
              <w:left w:val="nil"/>
              <w:bottom w:val="nil"/>
              <w:right w:val="nil"/>
            </w:tcBorders>
            <w:shd w:val="clear" w:color="auto" w:fill="D9D9D9" w:themeFill="background1" w:themeFillShade="D9"/>
            <w:noWrap/>
            <w:vAlign w:val="center"/>
            <w:hideMark/>
          </w:tcPr>
          <w:p w14:paraId="4ECEE9C1" w14:textId="6F1BCCA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73.1</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72EA6AA6"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260A64D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3,594/4,995</w:t>
            </w:r>
          </w:p>
        </w:tc>
        <w:tc>
          <w:tcPr>
            <w:tcW w:w="1121" w:type="dxa"/>
            <w:tcBorders>
              <w:top w:val="nil"/>
              <w:left w:val="nil"/>
              <w:bottom w:val="nil"/>
              <w:right w:val="nil"/>
            </w:tcBorders>
            <w:shd w:val="clear" w:color="auto" w:fill="D9D9D9" w:themeFill="background1" w:themeFillShade="D9"/>
            <w:noWrap/>
            <w:vAlign w:val="center"/>
            <w:hideMark/>
          </w:tcPr>
          <w:p w14:paraId="77CB0309" w14:textId="1D30452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72.0</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4240714C"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3D47425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4,335/6,493</w:t>
            </w:r>
          </w:p>
        </w:tc>
        <w:tc>
          <w:tcPr>
            <w:tcW w:w="1350" w:type="dxa"/>
            <w:tcBorders>
              <w:top w:val="nil"/>
              <w:left w:val="nil"/>
              <w:bottom w:val="nil"/>
              <w:right w:val="nil"/>
            </w:tcBorders>
            <w:shd w:val="clear" w:color="auto" w:fill="D9D9D9" w:themeFill="background1" w:themeFillShade="D9"/>
            <w:noWrap/>
            <w:vAlign w:val="center"/>
            <w:hideMark/>
          </w:tcPr>
          <w:p w14:paraId="71C97D6A" w14:textId="457057F8"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66.8</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59DD3BF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1752B206"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4,957/7,901</w:t>
            </w:r>
          </w:p>
        </w:tc>
        <w:tc>
          <w:tcPr>
            <w:tcW w:w="1351" w:type="dxa"/>
            <w:tcBorders>
              <w:top w:val="nil"/>
              <w:left w:val="nil"/>
              <w:bottom w:val="nil"/>
              <w:right w:val="nil"/>
            </w:tcBorders>
            <w:shd w:val="clear" w:color="auto" w:fill="D9D9D9" w:themeFill="background1" w:themeFillShade="D9"/>
            <w:noWrap/>
            <w:vAlign w:val="center"/>
            <w:hideMark/>
          </w:tcPr>
          <w:p w14:paraId="5A845F9A" w14:textId="47066AF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62.7</w:t>
            </w:r>
            <w:r w:rsidR="00C01F65">
              <w:rPr>
                <w:rFonts w:ascii="Calibri" w:eastAsia="Times New Roman" w:hAnsi="Calibri" w:cs="Calibri"/>
                <w:color w:val="000000"/>
                <w:sz w:val="24"/>
                <w:szCs w:val="24"/>
              </w:rPr>
              <w:t>%</w:t>
            </w:r>
          </w:p>
        </w:tc>
      </w:tr>
      <w:tr w:rsidR="00DA609D" w:rsidRPr="002B546D" w14:paraId="239E50EC" w14:textId="77777777" w:rsidTr="140F6E0A">
        <w:trPr>
          <w:trHeight w:val="316"/>
        </w:trPr>
        <w:tc>
          <w:tcPr>
            <w:tcW w:w="1273" w:type="dxa"/>
            <w:tcBorders>
              <w:top w:val="nil"/>
              <w:left w:val="nil"/>
              <w:bottom w:val="nil"/>
              <w:right w:val="nil"/>
            </w:tcBorders>
            <w:shd w:val="clear" w:color="auto" w:fill="auto"/>
            <w:noWrap/>
            <w:vAlign w:val="center"/>
            <w:hideMark/>
          </w:tcPr>
          <w:p w14:paraId="7C90FCFE"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6146A98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3,117/3,880</w:t>
            </w:r>
          </w:p>
        </w:tc>
        <w:tc>
          <w:tcPr>
            <w:tcW w:w="1121" w:type="dxa"/>
            <w:tcBorders>
              <w:top w:val="nil"/>
              <w:left w:val="nil"/>
              <w:bottom w:val="nil"/>
              <w:right w:val="nil"/>
            </w:tcBorders>
            <w:shd w:val="clear" w:color="auto" w:fill="auto"/>
            <w:noWrap/>
            <w:vAlign w:val="center"/>
            <w:hideMark/>
          </w:tcPr>
          <w:p w14:paraId="6EE1EF90" w14:textId="6845316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80.3</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auto"/>
            <w:vAlign w:val="center"/>
            <w:hideMark/>
          </w:tcPr>
          <w:p w14:paraId="6CB05382"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4380872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3,602/4,548</w:t>
            </w:r>
          </w:p>
        </w:tc>
        <w:tc>
          <w:tcPr>
            <w:tcW w:w="1121" w:type="dxa"/>
            <w:tcBorders>
              <w:top w:val="nil"/>
              <w:left w:val="nil"/>
              <w:bottom w:val="nil"/>
              <w:right w:val="nil"/>
            </w:tcBorders>
            <w:shd w:val="clear" w:color="auto" w:fill="auto"/>
            <w:noWrap/>
            <w:vAlign w:val="center"/>
            <w:hideMark/>
          </w:tcPr>
          <w:p w14:paraId="34CDD6C9" w14:textId="4181A17A"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79.2</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auto"/>
            <w:vAlign w:val="center"/>
            <w:hideMark/>
          </w:tcPr>
          <w:p w14:paraId="57B59AE9"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6D04B7D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4,203/5,416</w:t>
            </w:r>
          </w:p>
        </w:tc>
        <w:tc>
          <w:tcPr>
            <w:tcW w:w="1121" w:type="dxa"/>
            <w:tcBorders>
              <w:top w:val="nil"/>
              <w:left w:val="nil"/>
              <w:bottom w:val="nil"/>
              <w:right w:val="nil"/>
            </w:tcBorders>
            <w:shd w:val="clear" w:color="auto" w:fill="auto"/>
            <w:noWrap/>
            <w:vAlign w:val="center"/>
            <w:hideMark/>
          </w:tcPr>
          <w:p w14:paraId="690D4263" w14:textId="578868C1"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77.6</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auto"/>
            <w:vAlign w:val="center"/>
            <w:hideMark/>
          </w:tcPr>
          <w:p w14:paraId="3CB8D244"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55" w:type="dxa"/>
            <w:tcBorders>
              <w:top w:val="nil"/>
              <w:left w:val="nil"/>
              <w:bottom w:val="nil"/>
              <w:right w:val="nil"/>
            </w:tcBorders>
            <w:shd w:val="clear" w:color="auto" w:fill="auto"/>
            <w:noWrap/>
            <w:vAlign w:val="center"/>
            <w:hideMark/>
          </w:tcPr>
          <w:p w14:paraId="19674FA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5,530/7,289</w:t>
            </w:r>
          </w:p>
        </w:tc>
        <w:tc>
          <w:tcPr>
            <w:tcW w:w="1350" w:type="dxa"/>
            <w:tcBorders>
              <w:top w:val="nil"/>
              <w:left w:val="nil"/>
              <w:bottom w:val="nil"/>
              <w:right w:val="nil"/>
            </w:tcBorders>
            <w:shd w:val="clear" w:color="auto" w:fill="auto"/>
            <w:noWrap/>
            <w:vAlign w:val="center"/>
            <w:hideMark/>
          </w:tcPr>
          <w:p w14:paraId="2B685293" w14:textId="33A019C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75.9</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auto"/>
            <w:vAlign w:val="center"/>
            <w:hideMark/>
          </w:tcPr>
          <w:p w14:paraId="5C34AA1E"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89" w:type="dxa"/>
            <w:tcBorders>
              <w:top w:val="nil"/>
              <w:left w:val="nil"/>
              <w:bottom w:val="nil"/>
              <w:right w:val="nil"/>
            </w:tcBorders>
            <w:shd w:val="clear" w:color="auto" w:fill="auto"/>
            <w:noWrap/>
            <w:vAlign w:val="center"/>
            <w:hideMark/>
          </w:tcPr>
          <w:p w14:paraId="6B6F1D2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5,743/7,801</w:t>
            </w:r>
          </w:p>
        </w:tc>
        <w:tc>
          <w:tcPr>
            <w:tcW w:w="1351" w:type="dxa"/>
            <w:tcBorders>
              <w:top w:val="nil"/>
              <w:left w:val="nil"/>
              <w:bottom w:val="nil"/>
              <w:right w:val="nil"/>
            </w:tcBorders>
            <w:shd w:val="clear" w:color="auto" w:fill="auto"/>
            <w:noWrap/>
            <w:vAlign w:val="center"/>
            <w:hideMark/>
          </w:tcPr>
          <w:p w14:paraId="20BD9232" w14:textId="188963CD"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73.6</w:t>
            </w:r>
            <w:r w:rsidR="00C01F65">
              <w:rPr>
                <w:rFonts w:ascii="Calibri" w:eastAsia="Times New Roman" w:hAnsi="Calibri" w:cs="Calibri"/>
                <w:color w:val="000000"/>
                <w:sz w:val="24"/>
                <w:szCs w:val="24"/>
              </w:rPr>
              <w:t>%</w:t>
            </w:r>
          </w:p>
        </w:tc>
      </w:tr>
      <w:tr w:rsidR="00054D38" w:rsidRPr="002B546D" w14:paraId="7D92CC16"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0B932F86"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auto" w:fill="D9D9D9" w:themeFill="background1" w:themeFillShade="D9"/>
            <w:noWrap/>
            <w:vAlign w:val="center"/>
            <w:hideMark/>
          </w:tcPr>
          <w:p w14:paraId="2892ED9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13,115/16,155</w:t>
            </w:r>
          </w:p>
        </w:tc>
        <w:tc>
          <w:tcPr>
            <w:tcW w:w="1121" w:type="dxa"/>
            <w:tcBorders>
              <w:top w:val="nil"/>
              <w:left w:val="nil"/>
              <w:bottom w:val="nil"/>
              <w:right w:val="nil"/>
            </w:tcBorders>
            <w:shd w:val="clear" w:color="auto" w:fill="D9D9D9" w:themeFill="background1" w:themeFillShade="D9"/>
            <w:noWrap/>
            <w:vAlign w:val="center"/>
            <w:hideMark/>
          </w:tcPr>
          <w:p w14:paraId="27B17F64" w14:textId="7DDCB2C5"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81.2</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5F70E86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098FD54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14,184/17,736</w:t>
            </w:r>
          </w:p>
        </w:tc>
        <w:tc>
          <w:tcPr>
            <w:tcW w:w="1121" w:type="dxa"/>
            <w:tcBorders>
              <w:top w:val="nil"/>
              <w:left w:val="nil"/>
              <w:bottom w:val="nil"/>
              <w:right w:val="nil"/>
            </w:tcBorders>
            <w:shd w:val="clear" w:color="auto" w:fill="D9D9D9" w:themeFill="background1" w:themeFillShade="D9"/>
            <w:noWrap/>
            <w:vAlign w:val="center"/>
            <w:hideMark/>
          </w:tcPr>
          <w:p w14:paraId="6DF54720" w14:textId="57B9399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80.0</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75B6840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75F3952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14,995/18,760</w:t>
            </w:r>
          </w:p>
        </w:tc>
        <w:tc>
          <w:tcPr>
            <w:tcW w:w="1121" w:type="dxa"/>
            <w:tcBorders>
              <w:top w:val="nil"/>
              <w:left w:val="nil"/>
              <w:bottom w:val="nil"/>
              <w:right w:val="nil"/>
            </w:tcBorders>
            <w:shd w:val="clear" w:color="auto" w:fill="D9D9D9" w:themeFill="background1" w:themeFillShade="D9"/>
            <w:noWrap/>
            <w:vAlign w:val="center"/>
            <w:hideMark/>
          </w:tcPr>
          <w:p w14:paraId="1CADAAD9" w14:textId="49C7846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4D800AC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442ADDE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13,977/18,381</w:t>
            </w:r>
          </w:p>
        </w:tc>
        <w:tc>
          <w:tcPr>
            <w:tcW w:w="1350" w:type="dxa"/>
            <w:tcBorders>
              <w:top w:val="nil"/>
              <w:left w:val="nil"/>
              <w:bottom w:val="nil"/>
              <w:right w:val="nil"/>
            </w:tcBorders>
            <w:shd w:val="clear" w:color="auto" w:fill="D9D9D9" w:themeFill="background1" w:themeFillShade="D9"/>
            <w:noWrap/>
            <w:vAlign w:val="center"/>
            <w:hideMark/>
          </w:tcPr>
          <w:p w14:paraId="3B9067D9" w14:textId="6B8ABAA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76.0</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2DECC3C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6F1E875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13,675/17,968</w:t>
            </w:r>
          </w:p>
        </w:tc>
        <w:tc>
          <w:tcPr>
            <w:tcW w:w="1351" w:type="dxa"/>
            <w:tcBorders>
              <w:top w:val="nil"/>
              <w:left w:val="nil"/>
              <w:bottom w:val="nil"/>
              <w:right w:val="nil"/>
            </w:tcBorders>
            <w:shd w:val="clear" w:color="auto" w:fill="D9D9D9" w:themeFill="background1" w:themeFillShade="D9"/>
            <w:noWrap/>
            <w:vAlign w:val="center"/>
            <w:hideMark/>
          </w:tcPr>
          <w:p w14:paraId="013C3390" w14:textId="48583F12"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76.1</w:t>
            </w:r>
            <w:r w:rsidR="00C01F65">
              <w:rPr>
                <w:rFonts w:ascii="Calibri" w:eastAsia="Times New Roman" w:hAnsi="Calibri" w:cs="Calibri"/>
                <w:color w:val="000000"/>
                <w:sz w:val="24"/>
                <w:szCs w:val="24"/>
              </w:rPr>
              <w:t>%</w:t>
            </w:r>
          </w:p>
        </w:tc>
      </w:tr>
      <w:tr w:rsidR="00DA609D" w:rsidRPr="002B546D" w14:paraId="67C20AA6" w14:textId="77777777" w:rsidTr="140F6E0A">
        <w:trPr>
          <w:trHeight w:val="87"/>
        </w:trPr>
        <w:tc>
          <w:tcPr>
            <w:tcW w:w="1273" w:type="dxa"/>
            <w:tcBorders>
              <w:top w:val="nil"/>
              <w:left w:val="nil"/>
              <w:bottom w:val="nil"/>
              <w:right w:val="nil"/>
            </w:tcBorders>
            <w:shd w:val="clear" w:color="auto" w:fill="auto"/>
            <w:noWrap/>
            <w:vAlign w:val="center"/>
            <w:hideMark/>
          </w:tcPr>
          <w:p w14:paraId="03AC71B7"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099332F4"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6F167A54"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7" w:type="dxa"/>
            <w:tcBorders>
              <w:top w:val="nil"/>
              <w:left w:val="nil"/>
              <w:bottom w:val="nil"/>
              <w:right w:val="nil"/>
            </w:tcBorders>
            <w:shd w:val="clear" w:color="auto" w:fill="auto"/>
            <w:vAlign w:val="center"/>
            <w:hideMark/>
          </w:tcPr>
          <w:p w14:paraId="4C5FD17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12F494A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4BF8C31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2" w:type="dxa"/>
            <w:tcBorders>
              <w:top w:val="nil"/>
              <w:left w:val="nil"/>
              <w:bottom w:val="nil"/>
              <w:right w:val="nil"/>
            </w:tcBorders>
            <w:shd w:val="clear" w:color="auto" w:fill="auto"/>
            <w:vAlign w:val="center"/>
            <w:hideMark/>
          </w:tcPr>
          <w:p w14:paraId="2161D23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40CAD8B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40E959B9"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88" w:type="dxa"/>
            <w:tcBorders>
              <w:top w:val="nil"/>
              <w:left w:val="nil"/>
              <w:bottom w:val="nil"/>
              <w:right w:val="nil"/>
            </w:tcBorders>
            <w:shd w:val="clear" w:color="auto" w:fill="auto"/>
            <w:vAlign w:val="center"/>
            <w:hideMark/>
          </w:tcPr>
          <w:p w14:paraId="5323D53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55" w:type="dxa"/>
            <w:tcBorders>
              <w:top w:val="nil"/>
              <w:left w:val="nil"/>
              <w:bottom w:val="nil"/>
              <w:right w:val="nil"/>
            </w:tcBorders>
            <w:shd w:val="clear" w:color="auto" w:fill="auto"/>
            <w:noWrap/>
            <w:vAlign w:val="center"/>
            <w:hideMark/>
          </w:tcPr>
          <w:p w14:paraId="20B8667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0" w:type="dxa"/>
            <w:tcBorders>
              <w:top w:val="nil"/>
              <w:left w:val="nil"/>
              <w:bottom w:val="nil"/>
              <w:right w:val="nil"/>
            </w:tcBorders>
            <w:shd w:val="clear" w:color="auto" w:fill="auto"/>
            <w:noWrap/>
            <w:vAlign w:val="center"/>
            <w:hideMark/>
          </w:tcPr>
          <w:p w14:paraId="5D40C7B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71" w:type="dxa"/>
            <w:tcBorders>
              <w:top w:val="nil"/>
              <w:left w:val="nil"/>
              <w:bottom w:val="nil"/>
              <w:right w:val="nil"/>
            </w:tcBorders>
            <w:shd w:val="clear" w:color="auto" w:fill="auto"/>
            <w:vAlign w:val="center"/>
            <w:hideMark/>
          </w:tcPr>
          <w:p w14:paraId="193B80F1"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89" w:type="dxa"/>
            <w:tcBorders>
              <w:top w:val="nil"/>
              <w:left w:val="nil"/>
              <w:bottom w:val="nil"/>
              <w:right w:val="nil"/>
            </w:tcBorders>
            <w:shd w:val="clear" w:color="auto" w:fill="auto"/>
            <w:noWrap/>
            <w:vAlign w:val="center"/>
            <w:hideMark/>
          </w:tcPr>
          <w:p w14:paraId="1ACE6AE1"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1" w:type="dxa"/>
            <w:tcBorders>
              <w:top w:val="nil"/>
              <w:left w:val="nil"/>
              <w:bottom w:val="nil"/>
              <w:right w:val="nil"/>
            </w:tcBorders>
            <w:shd w:val="clear" w:color="auto" w:fill="auto"/>
            <w:noWrap/>
            <w:vAlign w:val="center"/>
            <w:hideMark/>
          </w:tcPr>
          <w:p w14:paraId="7BE6FE98"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r>
      <w:tr w:rsidR="00BA282C" w:rsidRPr="002B546D" w14:paraId="54E635A7" w14:textId="77777777" w:rsidTr="140F6E0A">
        <w:trPr>
          <w:trHeight w:val="316"/>
        </w:trPr>
        <w:tc>
          <w:tcPr>
            <w:tcW w:w="17821" w:type="dxa"/>
            <w:gridSpan w:val="15"/>
            <w:tcBorders>
              <w:top w:val="nil"/>
              <w:left w:val="nil"/>
              <w:bottom w:val="nil"/>
              <w:right w:val="nil"/>
            </w:tcBorders>
            <w:shd w:val="clear" w:color="auto" w:fill="auto"/>
            <w:noWrap/>
            <w:vAlign w:val="center"/>
            <w:hideMark/>
          </w:tcPr>
          <w:p w14:paraId="24150179" w14:textId="59E70567" w:rsidR="00BA282C" w:rsidRPr="002B546D" w:rsidRDefault="00BA282C" w:rsidP="00BA282C">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Crack use</w:t>
            </w:r>
          </w:p>
        </w:tc>
      </w:tr>
      <w:tr w:rsidR="00054D38" w:rsidRPr="002B546D" w14:paraId="04F9D9FC"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1EA53870"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auto" w:fill="D9D9D9" w:themeFill="background1" w:themeFillShade="D9"/>
            <w:noWrap/>
            <w:vAlign w:val="center"/>
            <w:hideMark/>
          </w:tcPr>
          <w:p w14:paraId="4372E25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2,332/3,049</w:t>
            </w:r>
          </w:p>
        </w:tc>
        <w:tc>
          <w:tcPr>
            <w:tcW w:w="1121" w:type="dxa"/>
            <w:tcBorders>
              <w:top w:val="nil"/>
              <w:left w:val="nil"/>
              <w:bottom w:val="nil"/>
              <w:right w:val="nil"/>
            </w:tcBorders>
            <w:shd w:val="clear" w:color="auto" w:fill="D9D9D9" w:themeFill="background1" w:themeFillShade="D9"/>
            <w:noWrap/>
            <w:vAlign w:val="center"/>
            <w:hideMark/>
          </w:tcPr>
          <w:p w14:paraId="2961687D" w14:textId="35B9F25D"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18F2513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232166B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2,717/3,722</w:t>
            </w:r>
          </w:p>
        </w:tc>
        <w:tc>
          <w:tcPr>
            <w:tcW w:w="1121" w:type="dxa"/>
            <w:tcBorders>
              <w:top w:val="nil"/>
              <w:left w:val="nil"/>
              <w:bottom w:val="nil"/>
              <w:right w:val="nil"/>
            </w:tcBorders>
            <w:shd w:val="clear" w:color="auto" w:fill="D9D9D9" w:themeFill="background1" w:themeFillShade="D9"/>
            <w:noWrap/>
            <w:vAlign w:val="center"/>
            <w:hideMark/>
          </w:tcPr>
          <w:p w14:paraId="536F6BBA" w14:textId="72FFCB8D"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73.0</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74849D3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1E8FBD8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3,595/4,995</w:t>
            </w:r>
          </w:p>
        </w:tc>
        <w:tc>
          <w:tcPr>
            <w:tcW w:w="1121" w:type="dxa"/>
            <w:tcBorders>
              <w:top w:val="nil"/>
              <w:left w:val="nil"/>
              <w:bottom w:val="nil"/>
              <w:right w:val="nil"/>
            </w:tcBorders>
            <w:shd w:val="clear" w:color="auto" w:fill="D9D9D9" w:themeFill="background1" w:themeFillShade="D9"/>
            <w:noWrap/>
            <w:vAlign w:val="center"/>
            <w:hideMark/>
          </w:tcPr>
          <w:p w14:paraId="0B673579" w14:textId="1FF64928"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72.0</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117B0A5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3849A6D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4,330/6,493</w:t>
            </w:r>
          </w:p>
        </w:tc>
        <w:tc>
          <w:tcPr>
            <w:tcW w:w="1350" w:type="dxa"/>
            <w:tcBorders>
              <w:top w:val="nil"/>
              <w:left w:val="nil"/>
              <w:bottom w:val="nil"/>
              <w:right w:val="nil"/>
            </w:tcBorders>
            <w:shd w:val="clear" w:color="auto" w:fill="D9D9D9" w:themeFill="background1" w:themeFillShade="D9"/>
            <w:noWrap/>
            <w:vAlign w:val="center"/>
            <w:hideMark/>
          </w:tcPr>
          <w:p w14:paraId="7C9184A0" w14:textId="1E67CCC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66.7</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7599F31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2E10D5F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4,947/7,901</w:t>
            </w:r>
          </w:p>
        </w:tc>
        <w:tc>
          <w:tcPr>
            <w:tcW w:w="1351" w:type="dxa"/>
            <w:tcBorders>
              <w:top w:val="nil"/>
              <w:left w:val="nil"/>
              <w:bottom w:val="nil"/>
              <w:right w:val="nil"/>
            </w:tcBorders>
            <w:shd w:val="clear" w:color="auto" w:fill="D9D9D9" w:themeFill="background1" w:themeFillShade="D9"/>
            <w:noWrap/>
            <w:vAlign w:val="center"/>
            <w:hideMark/>
          </w:tcPr>
          <w:p w14:paraId="56EE09C6" w14:textId="098AF49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62.6</w:t>
            </w:r>
            <w:r w:rsidR="00C01F65">
              <w:rPr>
                <w:rFonts w:ascii="Calibri" w:eastAsia="Times New Roman" w:hAnsi="Calibri" w:cs="Calibri"/>
                <w:color w:val="000000"/>
                <w:sz w:val="24"/>
                <w:szCs w:val="24"/>
              </w:rPr>
              <w:t>%</w:t>
            </w:r>
          </w:p>
        </w:tc>
      </w:tr>
      <w:tr w:rsidR="00DA609D" w:rsidRPr="002B546D" w14:paraId="7ABA4B52" w14:textId="77777777" w:rsidTr="140F6E0A">
        <w:trPr>
          <w:trHeight w:val="316"/>
        </w:trPr>
        <w:tc>
          <w:tcPr>
            <w:tcW w:w="1273" w:type="dxa"/>
            <w:tcBorders>
              <w:top w:val="nil"/>
              <w:left w:val="nil"/>
              <w:bottom w:val="nil"/>
              <w:right w:val="nil"/>
            </w:tcBorders>
            <w:shd w:val="clear" w:color="auto" w:fill="auto"/>
            <w:noWrap/>
            <w:vAlign w:val="center"/>
            <w:hideMark/>
          </w:tcPr>
          <w:p w14:paraId="002C3EFD"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3C792A5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3,116/3,880</w:t>
            </w:r>
          </w:p>
        </w:tc>
        <w:tc>
          <w:tcPr>
            <w:tcW w:w="1121" w:type="dxa"/>
            <w:tcBorders>
              <w:top w:val="nil"/>
              <w:left w:val="nil"/>
              <w:bottom w:val="nil"/>
              <w:right w:val="nil"/>
            </w:tcBorders>
            <w:shd w:val="clear" w:color="auto" w:fill="auto"/>
            <w:noWrap/>
            <w:vAlign w:val="center"/>
            <w:hideMark/>
          </w:tcPr>
          <w:p w14:paraId="0F5AB29D" w14:textId="60ED849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80.3</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auto"/>
            <w:vAlign w:val="center"/>
            <w:hideMark/>
          </w:tcPr>
          <w:p w14:paraId="2582F2D3"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2BAA4E9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3,602/4,548</w:t>
            </w:r>
          </w:p>
        </w:tc>
        <w:tc>
          <w:tcPr>
            <w:tcW w:w="1121" w:type="dxa"/>
            <w:tcBorders>
              <w:top w:val="nil"/>
              <w:left w:val="nil"/>
              <w:bottom w:val="nil"/>
              <w:right w:val="nil"/>
            </w:tcBorders>
            <w:shd w:val="clear" w:color="auto" w:fill="auto"/>
            <w:noWrap/>
            <w:vAlign w:val="center"/>
            <w:hideMark/>
          </w:tcPr>
          <w:p w14:paraId="3F94AFD9" w14:textId="1B03590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79.2</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auto"/>
            <w:vAlign w:val="center"/>
            <w:hideMark/>
          </w:tcPr>
          <w:p w14:paraId="462AE0E3"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7602421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4,194/5,416</w:t>
            </w:r>
          </w:p>
        </w:tc>
        <w:tc>
          <w:tcPr>
            <w:tcW w:w="1121" w:type="dxa"/>
            <w:tcBorders>
              <w:top w:val="nil"/>
              <w:left w:val="nil"/>
              <w:bottom w:val="nil"/>
              <w:right w:val="nil"/>
            </w:tcBorders>
            <w:shd w:val="clear" w:color="auto" w:fill="auto"/>
            <w:noWrap/>
            <w:vAlign w:val="center"/>
            <w:hideMark/>
          </w:tcPr>
          <w:p w14:paraId="4FAFA169" w14:textId="280BF0AC"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77.4</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auto"/>
            <w:vAlign w:val="center"/>
            <w:hideMark/>
          </w:tcPr>
          <w:p w14:paraId="1FD0269E"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55" w:type="dxa"/>
            <w:tcBorders>
              <w:top w:val="nil"/>
              <w:left w:val="nil"/>
              <w:bottom w:val="nil"/>
              <w:right w:val="nil"/>
            </w:tcBorders>
            <w:shd w:val="clear" w:color="auto" w:fill="auto"/>
            <w:noWrap/>
            <w:vAlign w:val="center"/>
            <w:hideMark/>
          </w:tcPr>
          <w:p w14:paraId="0F663D5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5,517/7,289</w:t>
            </w:r>
          </w:p>
        </w:tc>
        <w:tc>
          <w:tcPr>
            <w:tcW w:w="1350" w:type="dxa"/>
            <w:tcBorders>
              <w:top w:val="nil"/>
              <w:left w:val="nil"/>
              <w:bottom w:val="nil"/>
              <w:right w:val="nil"/>
            </w:tcBorders>
            <w:shd w:val="clear" w:color="auto" w:fill="auto"/>
            <w:noWrap/>
            <w:vAlign w:val="center"/>
            <w:hideMark/>
          </w:tcPr>
          <w:p w14:paraId="604BE016" w14:textId="0129A31A"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75.7</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auto"/>
            <w:vAlign w:val="center"/>
            <w:hideMark/>
          </w:tcPr>
          <w:p w14:paraId="59E08FA5"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89" w:type="dxa"/>
            <w:tcBorders>
              <w:top w:val="nil"/>
              <w:left w:val="nil"/>
              <w:bottom w:val="nil"/>
              <w:right w:val="nil"/>
            </w:tcBorders>
            <w:shd w:val="clear" w:color="auto" w:fill="auto"/>
            <w:noWrap/>
            <w:vAlign w:val="center"/>
            <w:hideMark/>
          </w:tcPr>
          <w:p w14:paraId="16F39D1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5,721/7,801</w:t>
            </w:r>
          </w:p>
        </w:tc>
        <w:tc>
          <w:tcPr>
            <w:tcW w:w="1351" w:type="dxa"/>
            <w:tcBorders>
              <w:top w:val="nil"/>
              <w:left w:val="nil"/>
              <w:bottom w:val="nil"/>
              <w:right w:val="nil"/>
            </w:tcBorders>
            <w:shd w:val="clear" w:color="auto" w:fill="auto"/>
            <w:noWrap/>
            <w:vAlign w:val="center"/>
            <w:hideMark/>
          </w:tcPr>
          <w:p w14:paraId="1ADF11CB" w14:textId="2A56A7D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73.3</w:t>
            </w:r>
            <w:r w:rsidR="00C01F65">
              <w:rPr>
                <w:rFonts w:ascii="Calibri" w:eastAsia="Times New Roman" w:hAnsi="Calibri" w:cs="Calibri"/>
                <w:color w:val="000000"/>
                <w:sz w:val="24"/>
                <w:szCs w:val="24"/>
              </w:rPr>
              <w:t>%</w:t>
            </w:r>
          </w:p>
        </w:tc>
      </w:tr>
      <w:tr w:rsidR="00054D38" w:rsidRPr="002B546D" w14:paraId="5C029B73"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57E879EE"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auto" w:fill="D9D9D9" w:themeFill="background1" w:themeFillShade="D9"/>
            <w:noWrap/>
            <w:vAlign w:val="center"/>
            <w:hideMark/>
          </w:tcPr>
          <w:p w14:paraId="0C9A841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13,101/16,155</w:t>
            </w:r>
          </w:p>
        </w:tc>
        <w:tc>
          <w:tcPr>
            <w:tcW w:w="1121" w:type="dxa"/>
            <w:tcBorders>
              <w:top w:val="nil"/>
              <w:left w:val="nil"/>
              <w:bottom w:val="nil"/>
              <w:right w:val="nil"/>
            </w:tcBorders>
            <w:shd w:val="clear" w:color="auto" w:fill="D9D9D9" w:themeFill="background1" w:themeFillShade="D9"/>
            <w:noWrap/>
            <w:vAlign w:val="center"/>
            <w:hideMark/>
          </w:tcPr>
          <w:p w14:paraId="1ECA3E06" w14:textId="7A424EE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81.1</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4FBA3396"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3559DF4E"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14,175/17,736</w:t>
            </w:r>
          </w:p>
        </w:tc>
        <w:tc>
          <w:tcPr>
            <w:tcW w:w="1121" w:type="dxa"/>
            <w:tcBorders>
              <w:top w:val="nil"/>
              <w:left w:val="nil"/>
              <w:bottom w:val="nil"/>
              <w:right w:val="nil"/>
            </w:tcBorders>
            <w:shd w:val="clear" w:color="auto" w:fill="D9D9D9" w:themeFill="background1" w:themeFillShade="D9"/>
            <w:noWrap/>
            <w:vAlign w:val="center"/>
            <w:hideMark/>
          </w:tcPr>
          <w:p w14:paraId="53D876B2" w14:textId="30C4B798"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324E6FD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0624870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14,984/18,760</w:t>
            </w:r>
          </w:p>
        </w:tc>
        <w:tc>
          <w:tcPr>
            <w:tcW w:w="1121" w:type="dxa"/>
            <w:tcBorders>
              <w:top w:val="nil"/>
              <w:left w:val="nil"/>
              <w:bottom w:val="nil"/>
              <w:right w:val="nil"/>
            </w:tcBorders>
            <w:shd w:val="clear" w:color="auto" w:fill="D9D9D9" w:themeFill="background1" w:themeFillShade="D9"/>
            <w:noWrap/>
            <w:vAlign w:val="center"/>
            <w:hideMark/>
          </w:tcPr>
          <w:p w14:paraId="425C28A6" w14:textId="4C4D817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649048BC"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0E434BBC"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13,959/18,381</w:t>
            </w:r>
          </w:p>
        </w:tc>
        <w:tc>
          <w:tcPr>
            <w:tcW w:w="1350" w:type="dxa"/>
            <w:tcBorders>
              <w:top w:val="nil"/>
              <w:left w:val="nil"/>
              <w:bottom w:val="nil"/>
              <w:right w:val="nil"/>
            </w:tcBorders>
            <w:shd w:val="clear" w:color="auto" w:fill="D9D9D9" w:themeFill="background1" w:themeFillShade="D9"/>
            <w:noWrap/>
            <w:vAlign w:val="center"/>
            <w:hideMark/>
          </w:tcPr>
          <w:p w14:paraId="46BD334E" w14:textId="5E8676EA"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75.9</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6366002A"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5B213A6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13,663/17,968</w:t>
            </w:r>
          </w:p>
        </w:tc>
        <w:tc>
          <w:tcPr>
            <w:tcW w:w="1351" w:type="dxa"/>
            <w:tcBorders>
              <w:top w:val="nil"/>
              <w:left w:val="nil"/>
              <w:bottom w:val="nil"/>
              <w:right w:val="nil"/>
            </w:tcBorders>
            <w:shd w:val="clear" w:color="auto" w:fill="D9D9D9" w:themeFill="background1" w:themeFillShade="D9"/>
            <w:noWrap/>
            <w:vAlign w:val="center"/>
            <w:hideMark/>
          </w:tcPr>
          <w:p w14:paraId="24C95D07" w14:textId="2177822F"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76.0</w:t>
            </w:r>
            <w:r w:rsidR="00C01F65">
              <w:rPr>
                <w:rFonts w:ascii="Calibri" w:eastAsia="Times New Roman" w:hAnsi="Calibri" w:cs="Calibri"/>
                <w:color w:val="000000"/>
                <w:sz w:val="24"/>
                <w:szCs w:val="24"/>
              </w:rPr>
              <w:t>%</w:t>
            </w:r>
          </w:p>
        </w:tc>
      </w:tr>
      <w:tr w:rsidR="00DA609D" w:rsidRPr="002B546D" w14:paraId="0D84044B" w14:textId="77777777" w:rsidTr="140F6E0A">
        <w:trPr>
          <w:trHeight w:val="87"/>
        </w:trPr>
        <w:tc>
          <w:tcPr>
            <w:tcW w:w="1273" w:type="dxa"/>
            <w:tcBorders>
              <w:top w:val="nil"/>
              <w:left w:val="nil"/>
              <w:bottom w:val="nil"/>
              <w:right w:val="nil"/>
            </w:tcBorders>
            <w:shd w:val="clear" w:color="auto" w:fill="auto"/>
            <w:noWrap/>
            <w:vAlign w:val="center"/>
            <w:hideMark/>
          </w:tcPr>
          <w:p w14:paraId="6B1276AC"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3E5F93E7"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73B9E2A7"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7" w:type="dxa"/>
            <w:tcBorders>
              <w:top w:val="nil"/>
              <w:left w:val="nil"/>
              <w:bottom w:val="nil"/>
              <w:right w:val="nil"/>
            </w:tcBorders>
            <w:shd w:val="clear" w:color="auto" w:fill="auto"/>
            <w:vAlign w:val="center"/>
            <w:hideMark/>
          </w:tcPr>
          <w:p w14:paraId="3D39036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4F452FA8"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2C422FA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2" w:type="dxa"/>
            <w:tcBorders>
              <w:top w:val="nil"/>
              <w:left w:val="nil"/>
              <w:bottom w:val="nil"/>
              <w:right w:val="nil"/>
            </w:tcBorders>
            <w:shd w:val="clear" w:color="auto" w:fill="auto"/>
            <w:vAlign w:val="center"/>
            <w:hideMark/>
          </w:tcPr>
          <w:p w14:paraId="022BCC0E"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653FDE25"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5E3A1FF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88" w:type="dxa"/>
            <w:tcBorders>
              <w:top w:val="nil"/>
              <w:left w:val="nil"/>
              <w:bottom w:val="nil"/>
              <w:right w:val="nil"/>
            </w:tcBorders>
            <w:shd w:val="clear" w:color="auto" w:fill="auto"/>
            <w:vAlign w:val="center"/>
            <w:hideMark/>
          </w:tcPr>
          <w:p w14:paraId="76E90E22"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55" w:type="dxa"/>
            <w:tcBorders>
              <w:top w:val="nil"/>
              <w:left w:val="nil"/>
              <w:bottom w:val="nil"/>
              <w:right w:val="nil"/>
            </w:tcBorders>
            <w:shd w:val="clear" w:color="auto" w:fill="auto"/>
            <w:noWrap/>
            <w:vAlign w:val="center"/>
            <w:hideMark/>
          </w:tcPr>
          <w:p w14:paraId="65D0328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0" w:type="dxa"/>
            <w:tcBorders>
              <w:top w:val="nil"/>
              <w:left w:val="nil"/>
              <w:bottom w:val="nil"/>
              <w:right w:val="nil"/>
            </w:tcBorders>
            <w:shd w:val="clear" w:color="auto" w:fill="auto"/>
            <w:noWrap/>
            <w:vAlign w:val="center"/>
            <w:hideMark/>
          </w:tcPr>
          <w:p w14:paraId="7F2F286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71" w:type="dxa"/>
            <w:tcBorders>
              <w:top w:val="nil"/>
              <w:left w:val="nil"/>
              <w:bottom w:val="nil"/>
              <w:right w:val="nil"/>
            </w:tcBorders>
            <w:shd w:val="clear" w:color="auto" w:fill="auto"/>
            <w:vAlign w:val="center"/>
            <w:hideMark/>
          </w:tcPr>
          <w:p w14:paraId="4F2DDC92"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89" w:type="dxa"/>
            <w:tcBorders>
              <w:top w:val="nil"/>
              <w:left w:val="nil"/>
              <w:bottom w:val="nil"/>
              <w:right w:val="nil"/>
            </w:tcBorders>
            <w:shd w:val="clear" w:color="auto" w:fill="auto"/>
            <w:noWrap/>
            <w:vAlign w:val="center"/>
            <w:hideMark/>
          </w:tcPr>
          <w:p w14:paraId="2D73AF4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1" w:type="dxa"/>
            <w:tcBorders>
              <w:top w:val="nil"/>
              <w:left w:val="nil"/>
              <w:bottom w:val="nil"/>
              <w:right w:val="nil"/>
            </w:tcBorders>
            <w:shd w:val="clear" w:color="auto" w:fill="auto"/>
            <w:noWrap/>
            <w:vAlign w:val="center"/>
            <w:hideMark/>
          </w:tcPr>
          <w:p w14:paraId="4A17C8E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r>
      <w:tr w:rsidR="00BA282C" w:rsidRPr="002B546D" w14:paraId="4D42AF70" w14:textId="77777777" w:rsidTr="140F6E0A">
        <w:trPr>
          <w:trHeight w:val="316"/>
        </w:trPr>
        <w:tc>
          <w:tcPr>
            <w:tcW w:w="17821" w:type="dxa"/>
            <w:gridSpan w:val="15"/>
            <w:tcBorders>
              <w:top w:val="nil"/>
              <w:left w:val="nil"/>
              <w:bottom w:val="nil"/>
              <w:right w:val="nil"/>
            </w:tcBorders>
            <w:shd w:val="clear" w:color="auto" w:fill="auto"/>
            <w:noWrap/>
            <w:vAlign w:val="center"/>
            <w:hideMark/>
          </w:tcPr>
          <w:p w14:paraId="4A73885A" w14:textId="2E553E70" w:rsidR="00BA282C" w:rsidRPr="002B546D" w:rsidRDefault="00BA282C" w:rsidP="00BA282C">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Heroin use</w:t>
            </w:r>
          </w:p>
        </w:tc>
      </w:tr>
      <w:tr w:rsidR="00054D38" w:rsidRPr="002B546D" w14:paraId="194D68D2"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12512977"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auto" w:fill="D9D9D9" w:themeFill="background1" w:themeFillShade="D9"/>
            <w:noWrap/>
            <w:vAlign w:val="center"/>
            <w:hideMark/>
          </w:tcPr>
          <w:p w14:paraId="4EB0828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2,334/3,049</w:t>
            </w:r>
          </w:p>
        </w:tc>
        <w:tc>
          <w:tcPr>
            <w:tcW w:w="1121" w:type="dxa"/>
            <w:tcBorders>
              <w:top w:val="nil"/>
              <w:left w:val="nil"/>
              <w:bottom w:val="nil"/>
              <w:right w:val="nil"/>
            </w:tcBorders>
            <w:shd w:val="clear" w:color="auto" w:fill="D9D9D9" w:themeFill="background1" w:themeFillShade="D9"/>
            <w:noWrap/>
            <w:vAlign w:val="center"/>
            <w:hideMark/>
          </w:tcPr>
          <w:p w14:paraId="648CA679" w14:textId="61FA4C3E"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02DB4E9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3262E08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2,727/3,722</w:t>
            </w:r>
          </w:p>
        </w:tc>
        <w:tc>
          <w:tcPr>
            <w:tcW w:w="1121" w:type="dxa"/>
            <w:tcBorders>
              <w:top w:val="nil"/>
              <w:left w:val="nil"/>
              <w:bottom w:val="nil"/>
              <w:right w:val="nil"/>
            </w:tcBorders>
            <w:shd w:val="clear" w:color="auto" w:fill="D9D9D9" w:themeFill="background1" w:themeFillShade="D9"/>
            <w:noWrap/>
            <w:vAlign w:val="center"/>
            <w:hideMark/>
          </w:tcPr>
          <w:p w14:paraId="164B930E" w14:textId="2A2A89E0"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73.3</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6C55309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1B34F22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3,603/4,995</w:t>
            </w:r>
          </w:p>
        </w:tc>
        <w:tc>
          <w:tcPr>
            <w:tcW w:w="1121" w:type="dxa"/>
            <w:tcBorders>
              <w:top w:val="nil"/>
              <w:left w:val="nil"/>
              <w:bottom w:val="nil"/>
              <w:right w:val="nil"/>
            </w:tcBorders>
            <w:shd w:val="clear" w:color="auto" w:fill="D9D9D9" w:themeFill="background1" w:themeFillShade="D9"/>
            <w:noWrap/>
            <w:vAlign w:val="center"/>
            <w:hideMark/>
          </w:tcPr>
          <w:p w14:paraId="593ACD75" w14:textId="1675D5A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72.1</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3FE8F50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670D844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4,347/6,493</w:t>
            </w:r>
          </w:p>
        </w:tc>
        <w:tc>
          <w:tcPr>
            <w:tcW w:w="1350" w:type="dxa"/>
            <w:tcBorders>
              <w:top w:val="nil"/>
              <w:left w:val="nil"/>
              <w:bottom w:val="nil"/>
              <w:right w:val="nil"/>
            </w:tcBorders>
            <w:shd w:val="clear" w:color="auto" w:fill="D9D9D9" w:themeFill="background1" w:themeFillShade="D9"/>
            <w:noWrap/>
            <w:vAlign w:val="center"/>
            <w:hideMark/>
          </w:tcPr>
          <w:p w14:paraId="0C989D78" w14:textId="0D58E235"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66.9</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55DDB9DE"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3630591C"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4,975/7,901</w:t>
            </w:r>
          </w:p>
        </w:tc>
        <w:tc>
          <w:tcPr>
            <w:tcW w:w="1351" w:type="dxa"/>
            <w:tcBorders>
              <w:top w:val="nil"/>
              <w:left w:val="nil"/>
              <w:bottom w:val="nil"/>
              <w:right w:val="nil"/>
            </w:tcBorders>
            <w:shd w:val="clear" w:color="auto" w:fill="D9D9D9" w:themeFill="background1" w:themeFillShade="D9"/>
            <w:noWrap/>
            <w:vAlign w:val="center"/>
            <w:hideMark/>
          </w:tcPr>
          <w:p w14:paraId="77D74A61" w14:textId="3B028DD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63.0</w:t>
            </w:r>
            <w:r w:rsidR="00C01F65">
              <w:rPr>
                <w:rFonts w:ascii="Calibri" w:eastAsia="Times New Roman" w:hAnsi="Calibri" w:cs="Calibri"/>
                <w:color w:val="000000"/>
                <w:sz w:val="24"/>
                <w:szCs w:val="24"/>
              </w:rPr>
              <w:t>%</w:t>
            </w:r>
          </w:p>
        </w:tc>
      </w:tr>
      <w:tr w:rsidR="00DA609D" w:rsidRPr="002B546D" w14:paraId="7FD1FCC8" w14:textId="77777777" w:rsidTr="140F6E0A">
        <w:trPr>
          <w:trHeight w:val="316"/>
        </w:trPr>
        <w:tc>
          <w:tcPr>
            <w:tcW w:w="1273" w:type="dxa"/>
            <w:tcBorders>
              <w:top w:val="nil"/>
              <w:left w:val="nil"/>
              <w:bottom w:val="nil"/>
              <w:right w:val="nil"/>
            </w:tcBorders>
            <w:shd w:val="clear" w:color="auto" w:fill="auto"/>
            <w:noWrap/>
            <w:vAlign w:val="center"/>
            <w:hideMark/>
          </w:tcPr>
          <w:p w14:paraId="49BB0440"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269EDB6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3,114/3,880</w:t>
            </w:r>
          </w:p>
        </w:tc>
        <w:tc>
          <w:tcPr>
            <w:tcW w:w="1121" w:type="dxa"/>
            <w:tcBorders>
              <w:top w:val="nil"/>
              <w:left w:val="nil"/>
              <w:bottom w:val="nil"/>
              <w:right w:val="nil"/>
            </w:tcBorders>
            <w:shd w:val="clear" w:color="auto" w:fill="auto"/>
            <w:noWrap/>
            <w:vAlign w:val="center"/>
            <w:hideMark/>
          </w:tcPr>
          <w:p w14:paraId="3754A5B6" w14:textId="034445FE"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80.3</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auto"/>
            <w:vAlign w:val="center"/>
            <w:hideMark/>
          </w:tcPr>
          <w:p w14:paraId="45660B09"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76C242E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3,613/4,548</w:t>
            </w:r>
          </w:p>
        </w:tc>
        <w:tc>
          <w:tcPr>
            <w:tcW w:w="1121" w:type="dxa"/>
            <w:tcBorders>
              <w:top w:val="nil"/>
              <w:left w:val="nil"/>
              <w:bottom w:val="nil"/>
              <w:right w:val="nil"/>
            </w:tcBorders>
            <w:shd w:val="clear" w:color="auto" w:fill="auto"/>
            <w:noWrap/>
            <w:vAlign w:val="center"/>
            <w:hideMark/>
          </w:tcPr>
          <w:p w14:paraId="158D10E1" w14:textId="7A9B7E7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79.4</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auto"/>
            <w:vAlign w:val="center"/>
            <w:hideMark/>
          </w:tcPr>
          <w:p w14:paraId="5FCD3884"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5EFE034E"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4,207/5,416</w:t>
            </w:r>
          </w:p>
        </w:tc>
        <w:tc>
          <w:tcPr>
            <w:tcW w:w="1121" w:type="dxa"/>
            <w:tcBorders>
              <w:top w:val="nil"/>
              <w:left w:val="nil"/>
              <w:bottom w:val="nil"/>
              <w:right w:val="nil"/>
            </w:tcBorders>
            <w:shd w:val="clear" w:color="auto" w:fill="auto"/>
            <w:noWrap/>
            <w:vAlign w:val="center"/>
            <w:hideMark/>
          </w:tcPr>
          <w:p w14:paraId="51D1C1FE" w14:textId="0713E90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77.7</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auto"/>
            <w:vAlign w:val="center"/>
            <w:hideMark/>
          </w:tcPr>
          <w:p w14:paraId="770C145F"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55" w:type="dxa"/>
            <w:tcBorders>
              <w:top w:val="nil"/>
              <w:left w:val="nil"/>
              <w:bottom w:val="nil"/>
              <w:right w:val="nil"/>
            </w:tcBorders>
            <w:shd w:val="clear" w:color="auto" w:fill="auto"/>
            <w:noWrap/>
            <w:vAlign w:val="center"/>
            <w:hideMark/>
          </w:tcPr>
          <w:p w14:paraId="25767E5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5,537/7,289</w:t>
            </w:r>
          </w:p>
        </w:tc>
        <w:tc>
          <w:tcPr>
            <w:tcW w:w="1350" w:type="dxa"/>
            <w:tcBorders>
              <w:top w:val="nil"/>
              <w:left w:val="nil"/>
              <w:bottom w:val="nil"/>
              <w:right w:val="nil"/>
            </w:tcBorders>
            <w:shd w:val="clear" w:color="auto" w:fill="auto"/>
            <w:noWrap/>
            <w:vAlign w:val="center"/>
            <w:hideMark/>
          </w:tcPr>
          <w:p w14:paraId="4DD8C25D" w14:textId="01E85E25"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76.0</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auto"/>
            <w:vAlign w:val="center"/>
            <w:hideMark/>
          </w:tcPr>
          <w:p w14:paraId="0FA55AEE"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89" w:type="dxa"/>
            <w:tcBorders>
              <w:top w:val="nil"/>
              <w:left w:val="nil"/>
              <w:bottom w:val="nil"/>
              <w:right w:val="nil"/>
            </w:tcBorders>
            <w:shd w:val="clear" w:color="auto" w:fill="auto"/>
            <w:noWrap/>
            <w:vAlign w:val="center"/>
            <w:hideMark/>
          </w:tcPr>
          <w:p w14:paraId="559E1A9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5,750/7,801</w:t>
            </w:r>
          </w:p>
        </w:tc>
        <w:tc>
          <w:tcPr>
            <w:tcW w:w="1351" w:type="dxa"/>
            <w:tcBorders>
              <w:top w:val="nil"/>
              <w:left w:val="nil"/>
              <w:bottom w:val="nil"/>
              <w:right w:val="nil"/>
            </w:tcBorders>
            <w:shd w:val="clear" w:color="auto" w:fill="auto"/>
            <w:noWrap/>
            <w:vAlign w:val="center"/>
            <w:hideMark/>
          </w:tcPr>
          <w:p w14:paraId="2D6E697F" w14:textId="540A867C"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73.7</w:t>
            </w:r>
            <w:r w:rsidR="00C01F65">
              <w:rPr>
                <w:rFonts w:ascii="Calibri" w:eastAsia="Times New Roman" w:hAnsi="Calibri" w:cs="Calibri"/>
                <w:color w:val="000000"/>
                <w:sz w:val="24"/>
                <w:szCs w:val="24"/>
              </w:rPr>
              <w:t>%</w:t>
            </w:r>
          </w:p>
        </w:tc>
      </w:tr>
      <w:tr w:rsidR="00054D38" w:rsidRPr="002B546D" w14:paraId="2DA2D68B"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35DB8815"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auto" w:fill="D9D9D9" w:themeFill="background1" w:themeFillShade="D9"/>
            <w:noWrap/>
            <w:vAlign w:val="center"/>
            <w:hideMark/>
          </w:tcPr>
          <w:p w14:paraId="4200582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13,108/16,155</w:t>
            </w:r>
          </w:p>
        </w:tc>
        <w:tc>
          <w:tcPr>
            <w:tcW w:w="1121" w:type="dxa"/>
            <w:tcBorders>
              <w:top w:val="nil"/>
              <w:left w:val="nil"/>
              <w:bottom w:val="nil"/>
              <w:right w:val="nil"/>
            </w:tcBorders>
            <w:shd w:val="clear" w:color="auto" w:fill="D9D9D9" w:themeFill="background1" w:themeFillShade="D9"/>
            <w:noWrap/>
            <w:vAlign w:val="center"/>
            <w:hideMark/>
          </w:tcPr>
          <w:p w14:paraId="2243D2A6" w14:textId="5D9765AF"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81.1</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1EF50066"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381D179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14,177/17,736</w:t>
            </w:r>
          </w:p>
        </w:tc>
        <w:tc>
          <w:tcPr>
            <w:tcW w:w="1121" w:type="dxa"/>
            <w:tcBorders>
              <w:top w:val="nil"/>
              <w:left w:val="nil"/>
              <w:bottom w:val="nil"/>
              <w:right w:val="nil"/>
            </w:tcBorders>
            <w:shd w:val="clear" w:color="auto" w:fill="D9D9D9" w:themeFill="background1" w:themeFillShade="D9"/>
            <w:noWrap/>
            <w:vAlign w:val="center"/>
            <w:hideMark/>
          </w:tcPr>
          <w:p w14:paraId="4F1E7064" w14:textId="639B10A4"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5DCA8E2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3EBD837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14,989/18,760</w:t>
            </w:r>
          </w:p>
        </w:tc>
        <w:tc>
          <w:tcPr>
            <w:tcW w:w="1121" w:type="dxa"/>
            <w:tcBorders>
              <w:top w:val="nil"/>
              <w:left w:val="nil"/>
              <w:bottom w:val="nil"/>
              <w:right w:val="nil"/>
            </w:tcBorders>
            <w:shd w:val="clear" w:color="auto" w:fill="D9D9D9" w:themeFill="background1" w:themeFillShade="D9"/>
            <w:noWrap/>
            <w:vAlign w:val="center"/>
            <w:hideMark/>
          </w:tcPr>
          <w:p w14:paraId="0768E5F1" w14:textId="27F6E69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5E49F82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56C1294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13,969/18,381</w:t>
            </w:r>
          </w:p>
        </w:tc>
        <w:tc>
          <w:tcPr>
            <w:tcW w:w="1350" w:type="dxa"/>
            <w:tcBorders>
              <w:top w:val="nil"/>
              <w:left w:val="nil"/>
              <w:bottom w:val="nil"/>
              <w:right w:val="nil"/>
            </w:tcBorders>
            <w:shd w:val="clear" w:color="auto" w:fill="D9D9D9" w:themeFill="background1" w:themeFillShade="D9"/>
            <w:noWrap/>
            <w:vAlign w:val="center"/>
            <w:hideMark/>
          </w:tcPr>
          <w:p w14:paraId="4B59B5CD" w14:textId="6663341C"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76.0</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4BA062F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6301BAB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13,669/17,968</w:t>
            </w:r>
          </w:p>
        </w:tc>
        <w:tc>
          <w:tcPr>
            <w:tcW w:w="1351" w:type="dxa"/>
            <w:tcBorders>
              <w:top w:val="nil"/>
              <w:left w:val="nil"/>
              <w:bottom w:val="nil"/>
              <w:right w:val="nil"/>
            </w:tcBorders>
            <w:shd w:val="clear" w:color="auto" w:fill="D9D9D9" w:themeFill="background1" w:themeFillShade="D9"/>
            <w:noWrap/>
            <w:vAlign w:val="center"/>
            <w:hideMark/>
          </w:tcPr>
          <w:p w14:paraId="546479D6" w14:textId="65B5F01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76.1</w:t>
            </w:r>
            <w:r w:rsidR="00C01F65">
              <w:rPr>
                <w:rFonts w:ascii="Calibri" w:eastAsia="Times New Roman" w:hAnsi="Calibri" w:cs="Calibri"/>
                <w:color w:val="000000"/>
                <w:sz w:val="24"/>
                <w:szCs w:val="24"/>
              </w:rPr>
              <w:t>%</w:t>
            </w:r>
          </w:p>
        </w:tc>
      </w:tr>
      <w:tr w:rsidR="00DA609D" w:rsidRPr="002B546D" w14:paraId="410BDAEB" w14:textId="77777777" w:rsidTr="140F6E0A">
        <w:trPr>
          <w:trHeight w:val="87"/>
        </w:trPr>
        <w:tc>
          <w:tcPr>
            <w:tcW w:w="1273" w:type="dxa"/>
            <w:tcBorders>
              <w:top w:val="nil"/>
              <w:left w:val="nil"/>
              <w:bottom w:val="nil"/>
              <w:right w:val="nil"/>
            </w:tcBorders>
            <w:shd w:val="clear" w:color="auto" w:fill="auto"/>
            <w:noWrap/>
            <w:vAlign w:val="center"/>
            <w:hideMark/>
          </w:tcPr>
          <w:p w14:paraId="5B0D5721"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29D47584"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56AD0B57"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7" w:type="dxa"/>
            <w:tcBorders>
              <w:top w:val="nil"/>
              <w:left w:val="nil"/>
              <w:bottom w:val="nil"/>
              <w:right w:val="nil"/>
            </w:tcBorders>
            <w:shd w:val="clear" w:color="auto" w:fill="auto"/>
            <w:vAlign w:val="center"/>
            <w:hideMark/>
          </w:tcPr>
          <w:p w14:paraId="4798DFE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4ED2457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73C07219"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2" w:type="dxa"/>
            <w:tcBorders>
              <w:top w:val="nil"/>
              <w:left w:val="nil"/>
              <w:bottom w:val="nil"/>
              <w:right w:val="nil"/>
            </w:tcBorders>
            <w:shd w:val="clear" w:color="auto" w:fill="auto"/>
            <w:vAlign w:val="center"/>
            <w:hideMark/>
          </w:tcPr>
          <w:p w14:paraId="38E610E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6D24715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2A1E2D78"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88" w:type="dxa"/>
            <w:tcBorders>
              <w:top w:val="nil"/>
              <w:left w:val="nil"/>
              <w:bottom w:val="nil"/>
              <w:right w:val="nil"/>
            </w:tcBorders>
            <w:shd w:val="clear" w:color="auto" w:fill="auto"/>
            <w:vAlign w:val="center"/>
            <w:hideMark/>
          </w:tcPr>
          <w:p w14:paraId="62C3140E"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55" w:type="dxa"/>
            <w:tcBorders>
              <w:top w:val="nil"/>
              <w:left w:val="nil"/>
              <w:bottom w:val="nil"/>
              <w:right w:val="nil"/>
            </w:tcBorders>
            <w:shd w:val="clear" w:color="auto" w:fill="auto"/>
            <w:noWrap/>
            <w:vAlign w:val="center"/>
            <w:hideMark/>
          </w:tcPr>
          <w:p w14:paraId="70E55784"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0" w:type="dxa"/>
            <w:tcBorders>
              <w:top w:val="nil"/>
              <w:left w:val="nil"/>
              <w:bottom w:val="nil"/>
              <w:right w:val="nil"/>
            </w:tcBorders>
            <w:shd w:val="clear" w:color="auto" w:fill="auto"/>
            <w:noWrap/>
            <w:vAlign w:val="center"/>
            <w:hideMark/>
          </w:tcPr>
          <w:p w14:paraId="295B5B84"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71" w:type="dxa"/>
            <w:tcBorders>
              <w:top w:val="nil"/>
              <w:left w:val="nil"/>
              <w:bottom w:val="nil"/>
              <w:right w:val="nil"/>
            </w:tcBorders>
            <w:shd w:val="clear" w:color="auto" w:fill="auto"/>
            <w:vAlign w:val="center"/>
            <w:hideMark/>
          </w:tcPr>
          <w:p w14:paraId="30D29478"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89" w:type="dxa"/>
            <w:tcBorders>
              <w:top w:val="nil"/>
              <w:left w:val="nil"/>
              <w:bottom w:val="nil"/>
              <w:right w:val="nil"/>
            </w:tcBorders>
            <w:shd w:val="clear" w:color="auto" w:fill="auto"/>
            <w:noWrap/>
            <w:vAlign w:val="center"/>
            <w:hideMark/>
          </w:tcPr>
          <w:p w14:paraId="19969E4E"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1" w:type="dxa"/>
            <w:tcBorders>
              <w:top w:val="nil"/>
              <w:left w:val="nil"/>
              <w:bottom w:val="nil"/>
              <w:right w:val="nil"/>
            </w:tcBorders>
            <w:shd w:val="clear" w:color="auto" w:fill="auto"/>
            <w:noWrap/>
            <w:vAlign w:val="center"/>
            <w:hideMark/>
          </w:tcPr>
          <w:p w14:paraId="4243E097"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r>
      <w:tr w:rsidR="00BA282C" w:rsidRPr="002B546D" w14:paraId="56691203" w14:textId="77777777" w:rsidTr="140F6E0A">
        <w:trPr>
          <w:trHeight w:val="316"/>
        </w:trPr>
        <w:tc>
          <w:tcPr>
            <w:tcW w:w="17821" w:type="dxa"/>
            <w:gridSpan w:val="15"/>
            <w:tcBorders>
              <w:top w:val="nil"/>
              <w:left w:val="nil"/>
              <w:bottom w:val="nil"/>
              <w:right w:val="nil"/>
            </w:tcBorders>
            <w:shd w:val="clear" w:color="auto" w:fill="auto"/>
            <w:noWrap/>
            <w:vAlign w:val="center"/>
            <w:hideMark/>
          </w:tcPr>
          <w:p w14:paraId="695AAB43" w14:textId="578FD2C8" w:rsidR="00BA282C" w:rsidRPr="002B546D" w:rsidRDefault="00BA282C" w:rsidP="00BA282C">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Injection drug use</w:t>
            </w:r>
          </w:p>
        </w:tc>
      </w:tr>
      <w:tr w:rsidR="00054D38" w:rsidRPr="002B546D" w14:paraId="1AF8339C"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17E4F3C7"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auto" w:fill="D9D9D9" w:themeFill="background1" w:themeFillShade="D9"/>
            <w:noWrap/>
            <w:vAlign w:val="center"/>
            <w:hideMark/>
          </w:tcPr>
          <w:p w14:paraId="4568E85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2,214/3,049</w:t>
            </w:r>
          </w:p>
        </w:tc>
        <w:tc>
          <w:tcPr>
            <w:tcW w:w="1121" w:type="dxa"/>
            <w:tcBorders>
              <w:top w:val="nil"/>
              <w:left w:val="nil"/>
              <w:bottom w:val="nil"/>
              <w:right w:val="nil"/>
            </w:tcBorders>
            <w:shd w:val="clear" w:color="auto" w:fill="D9D9D9" w:themeFill="background1" w:themeFillShade="D9"/>
            <w:noWrap/>
            <w:vAlign w:val="center"/>
            <w:hideMark/>
          </w:tcPr>
          <w:p w14:paraId="64A643A5" w14:textId="31028AF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72.6</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597DFC5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51456E1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2,677/3,722</w:t>
            </w:r>
          </w:p>
        </w:tc>
        <w:tc>
          <w:tcPr>
            <w:tcW w:w="1121" w:type="dxa"/>
            <w:tcBorders>
              <w:top w:val="nil"/>
              <w:left w:val="nil"/>
              <w:bottom w:val="nil"/>
              <w:right w:val="nil"/>
            </w:tcBorders>
            <w:shd w:val="clear" w:color="auto" w:fill="D9D9D9" w:themeFill="background1" w:themeFillShade="D9"/>
            <w:noWrap/>
            <w:vAlign w:val="center"/>
            <w:hideMark/>
          </w:tcPr>
          <w:p w14:paraId="6F9C5651" w14:textId="2A51C46A"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71.9</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5BA860F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659C507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3,407/4,995</w:t>
            </w:r>
          </w:p>
        </w:tc>
        <w:tc>
          <w:tcPr>
            <w:tcW w:w="1121" w:type="dxa"/>
            <w:tcBorders>
              <w:top w:val="nil"/>
              <w:left w:val="nil"/>
              <w:bottom w:val="nil"/>
              <w:right w:val="nil"/>
            </w:tcBorders>
            <w:shd w:val="clear" w:color="auto" w:fill="D9D9D9" w:themeFill="background1" w:themeFillShade="D9"/>
            <w:noWrap/>
            <w:vAlign w:val="center"/>
            <w:hideMark/>
          </w:tcPr>
          <w:p w14:paraId="38C81803" w14:textId="0C031BE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68.2</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6F4DEDB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1BA4D83A"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4,154/6,493</w:t>
            </w:r>
          </w:p>
        </w:tc>
        <w:tc>
          <w:tcPr>
            <w:tcW w:w="1350" w:type="dxa"/>
            <w:tcBorders>
              <w:top w:val="nil"/>
              <w:left w:val="nil"/>
              <w:bottom w:val="nil"/>
              <w:right w:val="nil"/>
            </w:tcBorders>
            <w:shd w:val="clear" w:color="auto" w:fill="D9D9D9" w:themeFill="background1" w:themeFillShade="D9"/>
            <w:noWrap/>
            <w:vAlign w:val="center"/>
            <w:hideMark/>
          </w:tcPr>
          <w:p w14:paraId="1E07E7A3" w14:textId="49E90F41"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64.0</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304E256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40FD4A9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4,798/7,901</w:t>
            </w:r>
          </w:p>
        </w:tc>
        <w:tc>
          <w:tcPr>
            <w:tcW w:w="1351" w:type="dxa"/>
            <w:tcBorders>
              <w:top w:val="nil"/>
              <w:left w:val="nil"/>
              <w:bottom w:val="nil"/>
              <w:right w:val="nil"/>
            </w:tcBorders>
            <w:shd w:val="clear" w:color="auto" w:fill="D9D9D9" w:themeFill="background1" w:themeFillShade="D9"/>
            <w:noWrap/>
            <w:vAlign w:val="center"/>
            <w:hideMark/>
          </w:tcPr>
          <w:p w14:paraId="50244858" w14:textId="180BBBF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60.7</w:t>
            </w:r>
            <w:r w:rsidR="00C01F65">
              <w:rPr>
                <w:rFonts w:ascii="Calibri" w:eastAsia="Times New Roman" w:hAnsi="Calibri" w:cs="Calibri"/>
                <w:color w:val="000000"/>
                <w:sz w:val="24"/>
                <w:szCs w:val="24"/>
              </w:rPr>
              <w:t>%</w:t>
            </w:r>
          </w:p>
        </w:tc>
      </w:tr>
      <w:tr w:rsidR="00DA609D" w:rsidRPr="002B546D" w14:paraId="6B11E50B" w14:textId="77777777" w:rsidTr="140F6E0A">
        <w:trPr>
          <w:trHeight w:val="316"/>
        </w:trPr>
        <w:tc>
          <w:tcPr>
            <w:tcW w:w="1273" w:type="dxa"/>
            <w:tcBorders>
              <w:top w:val="nil"/>
              <w:left w:val="nil"/>
              <w:bottom w:val="nil"/>
              <w:right w:val="nil"/>
            </w:tcBorders>
            <w:shd w:val="clear" w:color="auto" w:fill="auto"/>
            <w:noWrap/>
            <w:vAlign w:val="center"/>
            <w:hideMark/>
          </w:tcPr>
          <w:p w14:paraId="3EE0A0C5"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4A8468C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3,166/3,880</w:t>
            </w:r>
          </w:p>
        </w:tc>
        <w:tc>
          <w:tcPr>
            <w:tcW w:w="1121" w:type="dxa"/>
            <w:tcBorders>
              <w:top w:val="nil"/>
              <w:left w:val="nil"/>
              <w:bottom w:val="nil"/>
              <w:right w:val="nil"/>
            </w:tcBorders>
            <w:shd w:val="clear" w:color="auto" w:fill="auto"/>
            <w:noWrap/>
            <w:vAlign w:val="center"/>
            <w:hideMark/>
          </w:tcPr>
          <w:p w14:paraId="54B47182" w14:textId="5879B86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81.6</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auto"/>
            <w:vAlign w:val="center"/>
            <w:hideMark/>
          </w:tcPr>
          <w:p w14:paraId="2973728D"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4CFE5B6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3,635/4,548</w:t>
            </w:r>
          </w:p>
        </w:tc>
        <w:tc>
          <w:tcPr>
            <w:tcW w:w="1121" w:type="dxa"/>
            <w:tcBorders>
              <w:top w:val="nil"/>
              <w:left w:val="nil"/>
              <w:bottom w:val="nil"/>
              <w:right w:val="nil"/>
            </w:tcBorders>
            <w:shd w:val="clear" w:color="auto" w:fill="auto"/>
            <w:noWrap/>
            <w:vAlign w:val="center"/>
            <w:hideMark/>
          </w:tcPr>
          <w:p w14:paraId="5505192B" w14:textId="5C2E17AF"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79.9</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auto"/>
            <w:vAlign w:val="center"/>
            <w:hideMark/>
          </w:tcPr>
          <w:p w14:paraId="3FA35A8B"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78D54AC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4,210/5,416</w:t>
            </w:r>
          </w:p>
        </w:tc>
        <w:tc>
          <w:tcPr>
            <w:tcW w:w="1121" w:type="dxa"/>
            <w:tcBorders>
              <w:top w:val="nil"/>
              <w:left w:val="nil"/>
              <w:bottom w:val="nil"/>
              <w:right w:val="nil"/>
            </w:tcBorders>
            <w:shd w:val="clear" w:color="auto" w:fill="auto"/>
            <w:noWrap/>
            <w:vAlign w:val="center"/>
            <w:hideMark/>
          </w:tcPr>
          <w:p w14:paraId="29A1BA29" w14:textId="5500ED8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77.7</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auto"/>
            <w:vAlign w:val="center"/>
            <w:hideMark/>
          </w:tcPr>
          <w:p w14:paraId="3C6F8E09"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55" w:type="dxa"/>
            <w:tcBorders>
              <w:top w:val="nil"/>
              <w:left w:val="nil"/>
              <w:bottom w:val="nil"/>
              <w:right w:val="nil"/>
            </w:tcBorders>
            <w:shd w:val="clear" w:color="auto" w:fill="auto"/>
            <w:noWrap/>
            <w:vAlign w:val="center"/>
            <w:hideMark/>
          </w:tcPr>
          <w:p w14:paraId="1EA8D2A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5,700/7,289</w:t>
            </w:r>
          </w:p>
        </w:tc>
        <w:tc>
          <w:tcPr>
            <w:tcW w:w="1350" w:type="dxa"/>
            <w:tcBorders>
              <w:top w:val="nil"/>
              <w:left w:val="nil"/>
              <w:bottom w:val="nil"/>
              <w:right w:val="nil"/>
            </w:tcBorders>
            <w:shd w:val="clear" w:color="auto" w:fill="auto"/>
            <w:noWrap/>
            <w:vAlign w:val="center"/>
            <w:hideMark/>
          </w:tcPr>
          <w:p w14:paraId="4DA5186B" w14:textId="349B0E6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78.2</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auto"/>
            <w:vAlign w:val="center"/>
            <w:hideMark/>
          </w:tcPr>
          <w:p w14:paraId="51A6A7F9"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89" w:type="dxa"/>
            <w:tcBorders>
              <w:top w:val="nil"/>
              <w:left w:val="nil"/>
              <w:bottom w:val="nil"/>
              <w:right w:val="nil"/>
            </w:tcBorders>
            <w:shd w:val="clear" w:color="auto" w:fill="auto"/>
            <w:noWrap/>
            <w:vAlign w:val="center"/>
            <w:hideMark/>
          </w:tcPr>
          <w:p w14:paraId="0186D2E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6,136/7,801</w:t>
            </w:r>
          </w:p>
        </w:tc>
        <w:tc>
          <w:tcPr>
            <w:tcW w:w="1351" w:type="dxa"/>
            <w:tcBorders>
              <w:top w:val="nil"/>
              <w:left w:val="nil"/>
              <w:bottom w:val="nil"/>
              <w:right w:val="nil"/>
            </w:tcBorders>
            <w:shd w:val="clear" w:color="auto" w:fill="auto"/>
            <w:noWrap/>
            <w:vAlign w:val="center"/>
            <w:hideMark/>
          </w:tcPr>
          <w:p w14:paraId="2C559A6C" w14:textId="5AA43992"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78.7</w:t>
            </w:r>
            <w:r w:rsidR="00C01F65">
              <w:rPr>
                <w:rFonts w:ascii="Calibri" w:eastAsia="Times New Roman" w:hAnsi="Calibri" w:cs="Calibri"/>
                <w:color w:val="000000"/>
                <w:sz w:val="24"/>
                <w:szCs w:val="24"/>
              </w:rPr>
              <w:t>%</w:t>
            </w:r>
          </w:p>
        </w:tc>
      </w:tr>
      <w:tr w:rsidR="00054D38" w:rsidRPr="002B546D" w14:paraId="4AEBB4E5"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288CCB19"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auto" w:fill="D9D9D9" w:themeFill="background1" w:themeFillShade="D9"/>
            <w:noWrap/>
            <w:vAlign w:val="center"/>
            <w:hideMark/>
          </w:tcPr>
          <w:p w14:paraId="3C58562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13,299/16,155</w:t>
            </w:r>
          </w:p>
        </w:tc>
        <w:tc>
          <w:tcPr>
            <w:tcW w:w="1121" w:type="dxa"/>
            <w:tcBorders>
              <w:top w:val="nil"/>
              <w:left w:val="nil"/>
              <w:bottom w:val="nil"/>
              <w:right w:val="nil"/>
            </w:tcBorders>
            <w:shd w:val="clear" w:color="auto" w:fill="D9D9D9" w:themeFill="background1" w:themeFillShade="D9"/>
            <w:noWrap/>
            <w:vAlign w:val="center"/>
            <w:hideMark/>
          </w:tcPr>
          <w:p w14:paraId="23ECCD83" w14:textId="0DEF621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82.3</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4E94E3C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40F3CE5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14,529/17,736</w:t>
            </w:r>
          </w:p>
        </w:tc>
        <w:tc>
          <w:tcPr>
            <w:tcW w:w="1121" w:type="dxa"/>
            <w:tcBorders>
              <w:top w:val="nil"/>
              <w:left w:val="nil"/>
              <w:bottom w:val="nil"/>
              <w:right w:val="nil"/>
            </w:tcBorders>
            <w:shd w:val="clear" w:color="auto" w:fill="D9D9D9" w:themeFill="background1" w:themeFillShade="D9"/>
            <w:noWrap/>
            <w:vAlign w:val="center"/>
            <w:hideMark/>
          </w:tcPr>
          <w:p w14:paraId="643FD983" w14:textId="35316A13"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81.9</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008864B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0B8D5A97"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15,117/18,760</w:t>
            </w:r>
          </w:p>
        </w:tc>
        <w:tc>
          <w:tcPr>
            <w:tcW w:w="1121" w:type="dxa"/>
            <w:tcBorders>
              <w:top w:val="nil"/>
              <w:left w:val="nil"/>
              <w:bottom w:val="nil"/>
              <w:right w:val="nil"/>
            </w:tcBorders>
            <w:shd w:val="clear" w:color="auto" w:fill="D9D9D9" w:themeFill="background1" w:themeFillShade="D9"/>
            <w:noWrap/>
            <w:vAlign w:val="center"/>
            <w:hideMark/>
          </w:tcPr>
          <w:p w14:paraId="48D9019D" w14:textId="1774446D"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80.6</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481FB03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02B773B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14,054/18,381</w:t>
            </w:r>
          </w:p>
        </w:tc>
        <w:tc>
          <w:tcPr>
            <w:tcW w:w="1350" w:type="dxa"/>
            <w:tcBorders>
              <w:top w:val="nil"/>
              <w:left w:val="nil"/>
              <w:bottom w:val="nil"/>
              <w:right w:val="nil"/>
            </w:tcBorders>
            <w:shd w:val="clear" w:color="auto" w:fill="D9D9D9" w:themeFill="background1" w:themeFillShade="D9"/>
            <w:noWrap/>
            <w:vAlign w:val="center"/>
            <w:hideMark/>
          </w:tcPr>
          <w:p w14:paraId="52DDF4A3" w14:textId="40A3113F"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27FEF8E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7BA028D5"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13,755/17,968</w:t>
            </w:r>
          </w:p>
        </w:tc>
        <w:tc>
          <w:tcPr>
            <w:tcW w:w="1351" w:type="dxa"/>
            <w:tcBorders>
              <w:top w:val="nil"/>
              <w:left w:val="nil"/>
              <w:bottom w:val="nil"/>
              <w:right w:val="nil"/>
            </w:tcBorders>
            <w:shd w:val="clear" w:color="auto" w:fill="D9D9D9" w:themeFill="background1" w:themeFillShade="D9"/>
            <w:noWrap/>
            <w:vAlign w:val="center"/>
            <w:hideMark/>
          </w:tcPr>
          <w:p w14:paraId="4A4B6EEF" w14:textId="142368A0"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76.6</w:t>
            </w:r>
            <w:r w:rsidR="00C01F65">
              <w:rPr>
                <w:rFonts w:ascii="Calibri" w:eastAsia="Times New Roman" w:hAnsi="Calibri" w:cs="Calibri"/>
                <w:color w:val="000000"/>
                <w:sz w:val="24"/>
                <w:szCs w:val="24"/>
              </w:rPr>
              <w:t>%</w:t>
            </w:r>
          </w:p>
        </w:tc>
      </w:tr>
      <w:tr w:rsidR="00DA609D" w:rsidRPr="002B546D" w14:paraId="01814848" w14:textId="77777777" w:rsidTr="140F6E0A">
        <w:trPr>
          <w:trHeight w:val="87"/>
        </w:trPr>
        <w:tc>
          <w:tcPr>
            <w:tcW w:w="1273" w:type="dxa"/>
            <w:tcBorders>
              <w:top w:val="nil"/>
              <w:left w:val="nil"/>
              <w:bottom w:val="nil"/>
              <w:right w:val="nil"/>
            </w:tcBorders>
            <w:shd w:val="clear" w:color="auto" w:fill="auto"/>
            <w:noWrap/>
            <w:vAlign w:val="center"/>
            <w:hideMark/>
          </w:tcPr>
          <w:p w14:paraId="4F878883"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1D8CE2D5" w14:textId="77777777" w:rsidR="002B546D" w:rsidRPr="002B546D" w:rsidRDefault="002B546D" w:rsidP="002B546D">
            <w:pPr>
              <w:spacing w:after="0" w:line="240" w:lineRule="auto"/>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40E6C5A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7" w:type="dxa"/>
            <w:tcBorders>
              <w:top w:val="nil"/>
              <w:left w:val="nil"/>
              <w:bottom w:val="nil"/>
              <w:right w:val="nil"/>
            </w:tcBorders>
            <w:shd w:val="clear" w:color="auto" w:fill="auto"/>
            <w:vAlign w:val="center"/>
            <w:hideMark/>
          </w:tcPr>
          <w:p w14:paraId="703A051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7CE31B20"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2F94828D"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92" w:type="dxa"/>
            <w:tcBorders>
              <w:top w:val="nil"/>
              <w:left w:val="nil"/>
              <w:bottom w:val="nil"/>
              <w:right w:val="nil"/>
            </w:tcBorders>
            <w:shd w:val="clear" w:color="auto" w:fill="auto"/>
            <w:vAlign w:val="center"/>
            <w:hideMark/>
          </w:tcPr>
          <w:p w14:paraId="6F6132A9"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hideMark/>
          </w:tcPr>
          <w:p w14:paraId="7EE17C9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hideMark/>
          </w:tcPr>
          <w:p w14:paraId="2B76CA16"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88" w:type="dxa"/>
            <w:tcBorders>
              <w:top w:val="nil"/>
              <w:left w:val="nil"/>
              <w:bottom w:val="nil"/>
              <w:right w:val="nil"/>
            </w:tcBorders>
            <w:shd w:val="clear" w:color="auto" w:fill="auto"/>
            <w:vAlign w:val="center"/>
            <w:hideMark/>
          </w:tcPr>
          <w:p w14:paraId="07337E3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55" w:type="dxa"/>
            <w:tcBorders>
              <w:top w:val="nil"/>
              <w:left w:val="nil"/>
              <w:bottom w:val="nil"/>
              <w:right w:val="nil"/>
            </w:tcBorders>
            <w:shd w:val="clear" w:color="auto" w:fill="auto"/>
            <w:noWrap/>
            <w:vAlign w:val="center"/>
            <w:hideMark/>
          </w:tcPr>
          <w:p w14:paraId="5D7ED89A"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0" w:type="dxa"/>
            <w:tcBorders>
              <w:top w:val="nil"/>
              <w:left w:val="nil"/>
              <w:bottom w:val="nil"/>
              <w:right w:val="nil"/>
            </w:tcBorders>
            <w:shd w:val="clear" w:color="auto" w:fill="auto"/>
            <w:noWrap/>
            <w:vAlign w:val="center"/>
            <w:hideMark/>
          </w:tcPr>
          <w:p w14:paraId="6648821B"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271" w:type="dxa"/>
            <w:tcBorders>
              <w:top w:val="nil"/>
              <w:left w:val="nil"/>
              <w:bottom w:val="nil"/>
              <w:right w:val="nil"/>
            </w:tcBorders>
            <w:shd w:val="clear" w:color="auto" w:fill="auto"/>
            <w:vAlign w:val="center"/>
            <w:hideMark/>
          </w:tcPr>
          <w:p w14:paraId="06B430CF"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889" w:type="dxa"/>
            <w:tcBorders>
              <w:top w:val="nil"/>
              <w:left w:val="nil"/>
              <w:bottom w:val="nil"/>
              <w:right w:val="nil"/>
            </w:tcBorders>
            <w:shd w:val="clear" w:color="auto" w:fill="auto"/>
            <w:noWrap/>
            <w:vAlign w:val="center"/>
            <w:hideMark/>
          </w:tcPr>
          <w:p w14:paraId="49C1375C" w14:textId="77777777" w:rsidR="002B546D" w:rsidRPr="002B546D" w:rsidRDefault="002B546D" w:rsidP="002B546D">
            <w:pPr>
              <w:spacing w:after="0" w:line="240" w:lineRule="auto"/>
              <w:jc w:val="center"/>
              <w:rPr>
                <w:rFonts w:ascii="Times New Roman" w:eastAsia="Times New Roman" w:hAnsi="Times New Roman" w:cs="Times New Roman"/>
                <w:sz w:val="10"/>
                <w:szCs w:val="10"/>
              </w:rPr>
            </w:pPr>
          </w:p>
        </w:tc>
        <w:tc>
          <w:tcPr>
            <w:tcW w:w="1351" w:type="dxa"/>
            <w:tcBorders>
              <w:top w:val="nil"/>
              <w:left w:val="nil"/>
              <w:bottom w:val="nil"/>
              <w:right w:val="nil"/>
            </w:tcBorders>
            <w:shd w:val="clear" w:color="auto" w:fill="FFFFFF" w:themeFill="background1"/>
            <w:noWrap/>
            <w:vAlign w:val="center"/>
            <w:hideMark/>
          </w:tcPr>
          <w:p w14:paraId="1475AD2D" w14:textId="77777777" w:rsidR="002B546D" w:rsidRPr="002B546D" w:rsidRDefault="002B546D" w:rsidP="002B546D">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r>
      <w:tr w:rsidR="00BA282C" w:rsidRPr="002B546D" w14:paraId="57F47A7C" w14:textId="77777777" w:rsidTr="140F6E0A">
        <w:trPr>
          <w:trHeight w:val="316"/>
        </w:trPr>
        <w:tc>
          <w:tcPr>
            <w:tcW w:w="17821" w:type="dxa"/>
            <w:gridSpan w:val="15"/>
            <w:tcBorders>
              <w:top w:val="nil"/>
              <w:left w:val="nil"/>
              <w:bottom w:val="nil"/>
              <w:right w:val="nil"/>
            </w:tcBorders>
            <w:shd w:val="clear" w:color="auto" w:fill="auto"/>
            <w:noWrap/>
            <w:vAlign w:val="center"/>
            <w:hideMark/>
          </w:tcPr>
          <w:p w14:paraId="7D4B9733" w14:textId="2170619E" w:rsidR="00BA282C" w:rsidRPr="002B546D" w:rsidRDefault="00BA282C" w:rsidP="00BA282C">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Methamphetamine use</w:t>
            </w:r>
          </w:p>
        </w:tc>
      </w:tr>
      <w:tr w:rsidR="00054D38" w:rsidRPr="002B546D" w14:paraId="475EBE68" w14:textId="77777777" w:rsidTr="140F6E0A">
        <w:trPr>
          <w:trHeight w:val="316"/>
        </w:trPr>
        <w:tc>
          <w:tcPr>
            <w:tcW w:w="1273" w:type="dxa"/>
            <w:tcBorders>
              <w:top w:val="nil"/>
              <w:left w:val="nil"/>
              <w:bottom w:val="nil"/>
              <w:right w:val="nil"/>
            </w:tcBorders>
            <w:shd w:val="clear" w:color="auto" w:fill="D9D9D9" w:themeFill="background1" w:themeFillShade="D9"/>
            <w:noWrap/>
            <w:vAlign w:val="center"/>
            <w:hideMark/>
          </w:tcPr>
          <w:p w14:paraId="590BC3BB"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auto" w:fill="D9D9D9" w:themeFill="background1" w:themeFillShade="D9"/>
            <w:noWrap/>
            <w:vAlign w:val="center"/>
            <w:hideMark/>
          </w:tcPr>
          <w:p w14:paraId="3360D13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2,343/3,049</w:t>
            </w:r>
          </w:p>
        </w:tc>
        <w:tc>
          <w:tcPr>
            <w:tcW w:w="1121" w:type="dxa"/>
            <w:tcBorders>
              <w:top w:val="nil"/>
              <w:left w:val="nil"/>
              <w:bottom w:val="nil"/>
              <w:right w:val="nil"/>
            </w:tcBorders>
            <w:shd w:val="clear" w:color="auto" w:fill="D9D9D9" w:themeFill="background1" w:themeFillShade="D9"/>
            <w:noWrap/>
            <w:vAlign w:val="center"/>
            <w:hideMark/>
          </w:tcPr>
          <w:p w14:paraId="24474DF4" w14:textId="749CA7E8"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76.8</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D9D9D9" w:themeFill="background1" w:themeFillShade="D9"/>
            <w:vAlign w:val="center"/>
            <w:hideMark/>
          </w:tcPr>
          <w:p w14:paraId="5E863FBD"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5F48150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2,762/3,722</w:t>
            </w:r>
          </w:p>
        </w:tc>
        <w:tc>
          <w:tcPr>
            <w:tcW w:w="1121" w:type="dxa"/>
            <w:tcBorders>
              <w:top w:val="nil"/>
              <w:left w:val="nil"/>
              <w:bottom w:val="nil"/>
              <w:right w:val="nil"/>
            </w:tcBorders>
            <w:shd w:val="clear" w:color="auto" w:fill="D9D9D9" w:themeFill="background1" w:themeFillShade="D9"/>
            <w:noWrap/>
            <w:vAlign w:val="center"/>
            <w:hideMark/>
          </w:tcPr>
          <w:p w14:paraId="6B5C2999" w14:textId="6237B5A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74.2</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D9D9D9" w:themeFill="background1" w:themeFillShade="D9"/>
            <w:vAlign w:val="center"/>
            <w:hideMark/>
          </w:tcPr>
          <w:p w14:paraId="49B4D44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auto" w:fill="D9D9D9" w:themeFill="background1" w:themeFillShade="D9"/>
            <w:noWrap/>
            <w:vAlign w:val="center"/>
            <w:hideMark/>
          </w:tcPr>
          <w:p w14:paraId="3940B82E"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3,643/4,995</w:t>
            </w:r>
          </w:p>
        </w:tc>
        <w:tc>
          <w:tcPr>
            <w:tcW w:w="1121" w:type="dxa"/>
            <w:tcBorders>
              <w:top w:val="nil"/>
              <w:left w:val="nil"/>
              <w:bottom w:val="nil"/>
              <w:right w:val="nil"/>
            </w:tcBorders>
            <w:shd w:val="clear" w:color="auto" w:fill="D9D9D9" w:themeFill="background1" w:themeFillShade="D9"/>
            <w:noWrap/>
            <w:vAlign w:val="center"/>
            <w:hideMark/>
          </w:tcPr>
          <w:p w14:paraId="02E69761" w14:textId="64B6B96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72.9</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D9D9D9" w:themeFill="background1" w:themeFillShade="D9"/>
            <w:vAlign w:val="center"/>
            <w:hideMark/>
          </w:tcPr>
          <w:p w14:paraId="634A0F7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nil"/>
              <w:right w:val="nil"/>
            </w:tcBorders>
            <w:shd w:val="clear" w:color="auto" w:fill="D9D9D9" w:themeFill="background1" w:themeFillShade="D9"/>
            <w:noWrap/>
            <w:vAlign w:val="center"/>
            <w:hideMark/>
          </w:tcPr>
          <w:p w14:paraId="2B40676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4,416/6,493</w:t>
            </w:r>
          </w:p>
        </w:tc>
        <w:tc>
          <w:tcPr>
            <w:tcW w:w="1350" w:type="dxa"/>
            <w:tcBorders>
              <w:top w:val="nil"/>
              <w:left w:val="nil"/>
              <w:bottom w:val="nil"/>
              <w:right w:val="nil"/>
            </w:tcBorders>
            <w:shd w:val="clear" w:color="auto" w:fill="D9D9D9" w:themeFill="background1" w:themeFillShade="D9"/>
            <w:noWrap/>
            <w:vAlign w:val="center"/>
            <w:hideMark/>
          </w:tcPr>
          <w:p w14:paraId="60CADD96" w14:textId="268D6F2E"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68.0</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D9D9D9" w:themeFill="background1" w:themeFillShade="D9"/>
            <w:vAlign w:val="center"/>
            <w:hideMark/>
          </w:tcPr>
          <w:p w14:paraId="61A3AC2A"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nil"/>
              <w:right w:val="nil"/>
            </w:tcBorders>
            <w:shd w:val="clear" w:color="auto" w:fill="D9D9D9" w:themeFill="background1" w:themeFillShade="D9"/>
            <w:noWrap/>
            <w:vAlign w:val="center"/>
            <w:hideMark/>
          </w:tcPr>
          <w:p w14:paraId="5F10BDF1"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5,055/7,901</w:t>
            </w:r>
          </w:p>
        </w:tc>
        <w:tc>
          <w:tcPr>
            <w:tcW w:w="1351" w:type="dxa"/>
            <w:tcBorders>
              <w:top w:val="nil"/>
              <w:left w:val="nil"/>
              <w:bottom w:val="nil"/>
              <w:right w:val="nil"/>
            </w:tcBorders>
            <w:shd w:val="clear" w:color="auto" w:fill="D9D9D9" w:themeFill="background1" w:themeFillShade="D9"/>
            <w:noWrap/>
            <w:vAlign w:val="center"/>
            <w:hideMark/>
          </w:tcPr>
          <w:p w14:paraId="2053BBF7" w14:textId="5BF4F445"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64.0</w:t>
            </w:r>
            <w:r w:rsidR="00C01F65">
              <w:rPr>
                <w:rFonts w:ascii="Calibri" w:eastAsia="Times New Roman" w:hAnsi="Calibri" w:cs="Calibri"/>
                <w:color w:val="000000"/>
                <w:sz w:val="24"/>
                <w:szCs w:val="24"/>
              </w:rPr>
              <w:t>%</w:t>
            </w:r>
          </w:p>
        </w:tc>
      </w:tr>
      <w:tr w:rsidR="00DA609D" w:rsidRPr="002B546D" w14:paraId="53385247" w14:textId="77777777" w:rsidTr="140F6E0A">
        <w:trPr>
          <w:trHeight w:val="316"/>
        </w:trPr>
        <w:tc>
          <w:tcPr>
            <w:tcW w:w="1273" w:type="dxa"/>
            <w:tcBorders>
              <w:top w:val="nil"/>
              <w:left w:val="nil"/>
              <w:bottom w:val="nil"/>
              <w:right w:val="nil"/>
            </w:tcBorders>
            <w:shd w:val="clear" w:color="auto" w:fill="auto"/>
            <w:noWrap/>
            <w:vAlign w:val="center"/>
            <w:hideMark/>
          </w:tcPr>
          <w:p w14:paraId="18BB8728"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6D3CC82B"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3,133/3,880</w:t>
            </w:r>
          </w:p>
        </w:tc>
        <w:tc>
          <w:tcPr>
            <w:tcW w:w="1121" w:type="dxa"/>
            <w:tcBorders>
              <w:top w:val="nil"/>
              <w:left w:val="nil"/>
              <w:bottom w:val="nil"/>
              <w:right w:val="nil"/>
            </w:tcBorders>
            <w:shd w:val="clear" w:color="auto" w:fill="auto"/>
            <w:noWrap/>
            <w:vAlign w:val="center"/>
            <w:hideMark/>
          </w:tcPr>
          <w:p w14:paraId="4FD81421" w14:textId="7E0AD93B"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80.7</w:t>
            </w:r>
            <w:r w:rsidR="00C01F65">
              <w:rPr>
                <w:rFonts w:ascii="Calibri" w:eastAsia="Times New Roman" w:hAnsi="Calibri" w:cs="Calibri"/>
                <w:color w:val="000000"/>
                <w:sz w:val="24"/>
                <w:szCs w:val="24"/>
              </w:rPr>
              <w:t>%</w:t>
            </w:r>
          </w:p>
        </w:tc>
        <w:tc>
          <w:tcPr>
            <w:tcW w:w="297" w:type="dxa"/>
            <w:tcBorders>
              <w:top w:val="nil"/>
              <w:left w:val="nil"/>
              <w:bottom w:val="nil"/>
              <w:right w:val="nil"/>
            </w:tcBorders>
            <w:shd w:val="clear" w:color="auto" w:fill="auto"/>
            <w:vAlign w:val="center"/>
            <w:hideMark/>
          </w:tcPr>
          <w:p w14:paraId="2F890F3B"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381A0AB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3,640/4,548</w:t>
            </w:r>
          </w:p>
        </w:tc>
        <w:tc>
          <w:tcPr>
            <w:tcW w:w="1121" w:type="dxa"/>
            <w:tcBorders>
              <w:top w:val="nil"/>
              <w:left w:val="nil"/>
              <w:bottom w:val="nil"/>
              <w:right w:val="nil"/>
            </w:tcBorders>
            <w:shd w:val="clear" w:color="auto" w:fill="auto"/>
            <w:noWrap/>
            <w:vAlign w:val="center"/>
            <w:hideMark/>
          </w:tcPr>
          <w:p w14:paraId="5A1A2F33" w14:textId="0EA0E79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80.0</w:t>
            </w:r>
            <w:r w:rsidR="00C01F65">
              <w:rPr>
                <w:rFonts w:ascii="Calibri" w:eastAsia="Times New Roman" w:hAnsi="Calibri" w:cs="Calibri"/>
                <w:color w:val="000000"/>
                <w:sz w:val="24"/>
                <w:szCs w:val="24"/>
              </w:rPr>
              <w:t>%</w:t>
            </w:r>
          </w:p>
        </w:tc>
        <w:tc>
          <w:tcPr>
            <w:tcW w:w="292" w:type="dxa"/>
            <w:tcBorders>
              <w:top w:val="nil"/>
              <w:left w:val="nil"/>
              <w:bottom w:val="nil"/>
              <w:right w:val="nil"/>
            </w:tcBorders>
            <w:shd w:val="clear" w:color="auto" w:fill="auto"/>
            <w:vAlign w:val="center"/>
            <w:hideMark/>
          </w:tcPr>
          <w:p w14:paraId="3991A91F"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2411CBD3"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4,232/5,416</w:t>
            </w:r>
          </w:p>
        </w:tc>
        <w:tc>
          <w:tcPr>
            <w:tcW w:w="1121" w:type="dxa"/>
            <w:tcBorders>
              <w:top w:val="nil"/>
              <w:left w:val="nil"/>
              <w:bottom w:val="nil"/>
              <w:right w:val="nil"/>
            </w:tcBorders>
            <w:shd w:val="clear" w:color="auto" w:fill="auto"/>
            <w:noWrap/>
            <w:vAlign w:val="center"/>
            <w:hideMark/>
          </w:tcPr>
          <w:p w14:paraId="59C53504" w14:textId="4E376E66"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78.1</w:t>
            </w:r>
            <w:r w:rsidR="00C01F65">
              <w:rPr>
                <w:rFonts w:ascii="Calibri" w:eastAsia="Times New Roman" w:hAnsi="Calibri" w:cs="Calibri"/>
                <w:color w:val="000000"/>
                <w:sz w:val="24"/>
                <w:szCs w:val="24"/>
              </w:rPr>
              <w:t>%</w:t>
            </w:r>
          </w:p>
        </w:tc>
        <w:tc>
          <w:tcPr>
            <w:tcW w:w="288" w:type="dxa"/>
            <w:tcBorders>
              <w:top w:val="nil"/>
              <w:left w:val="nil"/>
              <w:bottom w:val="nil"/>
              <w:right w:val="nil"/>
            </w:tcBorders>
            <w:shd w:val="clear" w:color="auto" w:fill="auto"/>
            <w:vAlign w:val="center"/>
            <w:hideMark/>
          </w:tcPr>
          <w:p w14:paraId="7D8FD2B6"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55" w:type="dxa"/>
            <w:tcBorders>
              <w:top w:val="nil"/>
              <w:left w:val="nil"/>
              <w:bottom w:val="nil"/>
              <w:right w:val="nil"/>
            </w:tcBorders>
            <w:shd w:val="clear" w:color="auto" w:fill="auto"/>
            <w:noWrap/>
            <w:vAlign w:val="center"/>
            <w:hideMark/>
          </w:tcPr>
          <w:p w14:paraId="11937E6A"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5,576/7,289</w:t>
            </w:r>
          </w:p>
        </w:tc>
        <w:tc>
          <w:tcPr>
            <w:tcW w:w="1350" w:type="dxa"/>
            <w:tcBorders>
              <w:top w:val="nil"/>
              <w:left w:val="nil"/>
              <w:bottom w:val="nil"/>
              <w:right w:val="nil"/>
            </w:tcBorders>
            <w:shd w:val="clear" w:color="auto" w:fill="auto"/>
            <w:noWrap/>
            <w:vAlign w:val="center"/>
            <w:hideMark/>
          </w:tcPr>
          <w:p w14:paraId="62656A5E" w14:textId="08D5BEE0"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sidR="00C01F65">
              <w:rPr>
                <w:rFonts w:ascii="Calibri" w:eastAsia="Times New Roman" w:hAnsi="Calibri" w:cs="Calibri"/>
                <w:color w:val="000000"/>
                <w:sz w:val="24"/>
                <w:szCs w:val="24"/>
              </w:rPr>
              <w:t>%</w:t>
            </w:r>
          </w:p>
        </w:tc>
        <w:tc>
          <w:tcPr>
            <w:tcW w:w="271" w:type="dxa"/>
            <w:tcBorders>
              <w:top w:val="nil"/>
              <w:left w:val="nil"/>
              <w:bottom w:val="nil"/>
              <w:right w:val="nil"/>
            </w:tcBorders>
            <w:shd w:val="clear" w:color="auto" w:fill="auto"/>
            <w:vAlign w:val="center"/>
            <w:hideMark/>
          </w:tcPr>
          <w:p w14:paraId="67AE8B63" w14:textId="77777777" w:rsidR="002B546D" w:rsidRPr="002B546D" w:rsidRDefault="002B546D" w:rsidP="002B546D">
            <w:pPr>
              <w:spacing w:after="0" w:line="240" w:lineRule="auto"/>
              <w:jc w:val="center"/>
              <w:rPr>
                <w:rFonts w:ascii="Calibri" w:eastAsia="Times New Roman" w:hAnsi="Calibri" w:cs="Calibri"/>
                <w:color w:val="000000"/>
                <w:sz w:val="24"/>
                <w:szCs w:val="24"/>
              </w:rPr>
            </w:pPr>
          </w:p>
        </w:tc>
        <w:tc>
          <w:tcPr>
            <w:tcW w:w="1889" w:type="dxa"/>
            <w:tcBorders>
              <w:top w:val="nil"/>
              <w:left w:val="nil"/>
              <w:bottom w:val="nil"/>
              <w:right w:val="nil"/>
            </w:tcBorders>
            <w:shd w:val="clear" w:color="auto" w:fill="auto"/>
            <w:noWrap/>
            <w:vAlign w:val="center"/>
            <w:hideMark/>
          </w:tcPr>
          <w:p w14:paraId="2E263CBE"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5,797/7,801</w:t>
            </w:r>
          </w:p>
        </w:tc>
        <w:tc>
          <w:tcPr>
            <w:tcW w:w="1351" w:type="dxa"/>
            <w:tcBorders>
              <w:top w:val="nil"/>
              <w:left w:val="nil"/>
              <w:bottom w:val="nil"/>
              <w:right w:val="nil"/>
            </w:tcBorders>
            <w:shd w:val="clear" w:color="auto" w:fill="auto"/>
            <w:noWrap/>
            <w:vAlign w:val="center"/>
            <w:hideMark/>
          </w:tcPr>
          <w:p w14:paraId="0BF50E75" w14:textId="5A00E9C9"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74.3</w:t>
            </w:r>
            <w:r w:rsidR="00C01F65">
              <w:rPr>
                <w:rFonts w:ascii="Calibri" w:eastAsia="Times New Roman" w:hAnsi="Calibri" w:cs="Calibri"/>
                <w:color w:val="000000"/>
                <w:sz w:val="24"/>
                <w:szCs w:val="24"/>
              </w:rPr>
              <w:t>%</w:t>
            </w:r>
          </w:p>
        </w:tc>
      </w:tr>
      <w:tr w:rsidR="00054D38" w:rsidRPr="002B546D" w14:paraId="386A3B36" w14:textId="77777777" w:rsidTr="140F6E0A">
        <w:trPr>
          <w:trHeight w:val="316"/>
        </w:trPr>
        <w:tc>
          <w:tcPr>
            <w:tcW w:w="1273" w:type="dxa"/>
            <w:tcBorders>
              <w:top w:val="nil"/>
              <w:left w:val="nil"/>
              <w:bottom w:val="single" w:sz="12" w:space="0" w:color="auto"/>
              <w:right w:val="nil"/>
            </w:tcBorders>
            <w:shd w:val="clear" w:color="auto" w:fill="D9D9D9" w:themeFill="background1" w:themeFillShade="D9"/>
            <w:noWrap/>
            <w:vAlign w:val="center"/>
            <w:hideMark/>
          </w:tcPr>
          <w:p w14:paraId="32B95B57" w14:textId="77777777" w:rsidR="002B546D" w:rsidRPr="002B546D" w:rsidRDefault="002B546D" w:rsidP="002B546D">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single" w:sz="12" w:space="0" w:color="auto"/>
              <w:right w:val="nil"/>
            </w:tcBorders>
            <w:shd w:val="clear" w:color="auto" w:fill="D9D9D9" w:themeFill="background1" w:themeFillShade="D9"/>
            <w:noWrap/>
            <w:vAlign w:val="center"/>
            <w:hideMark/>
          </w:tcPr>
          <w:p w14:paraId="0BF1E184"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13,150/16,155</w:t>
            </w:r>
          </w:p>
        </w:tc>
        <w:tc>
          <w:tcPr>
            <w:tcW w:w="1121" w:type="dxa"/>
            <w:tcBorders>
              <w:top w:val="nil"/>
              <w:left w:val="nil"/>
              <w:bottom w:val="single" w:sz="12" w:space="0" w:color="auto"/>
              <w:right w:val="nil"/>
            </w:tcBorders>
            <w:shd w:val="clear" w:color="auto" w:fill="D9D9D9" w:themeFill="background1" w:themeFillShade="D9"/>
            <w:noWrap/>
            <w:vAlign w:val="center"/>
            <w:hideMark/>
          </w:tcPr>
          <w:p w14:paraId="59652E50" w14:textId="0B1612EA"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81.4</w:t>
            </w:r>
            <w:r w:rsidR="00C01F65">
              <w:rPr>
                <w:rFonts w:ascii="Calibri" w:eastAsia="Times New Roman" w:hAnsi="Calibri" w:cs="Calibri"/>
                <w:color w:val="000000"/>
                <w:sz w:val="24"/>
                <w:szCs w:val="24"/>
              </w:rPr>
              <w:t>%</w:t>
            </w:r>
          </w:p>
        </w:tc>
        <w:tc>
          <w:tcPr>
            <w:tcW w:w="297" w:type="dxa"/>
            <w:tcBorders>
              <w:top w:val="nil"/>
              <w:left w:val="nil"/>
              <w:bottom w:val="single" w:sz="12" w:space="0" w:color="auto"/>
              <w:right w:val="nil"/>
            </w:tcBorders>
            <w:shd w:val="clear" w:color="auto" w:fill="D9D9D9" w:themeFill="background1" w:themeFillShade="D9"/>
            <w:vAlign w:val="center"/>
            <w:hideMark/>
          </w:tcPr>
          <w:p w14:paraId="19AE9718"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auto" w:fill="D9D9D9" w:themeFill="background1" w:themeFillShade="D9"/>
            <w:noWrap/>
            <w:vAlign w:val="center"/>
            <w:hideMark/>
          </w:tcPr>
          <w:p w14:paraId="59E73A0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14,211/17,736</w:t>
            </w:r>
          </w:p>
        </w:tc>
        <w:tc>
          <w:tcPr>
            <w:tcW w:w="1121" w:type="dxa"/>
            <w:tcBorders>
              <w:top w:val="nil"/>
              <w:left w:val="nil"/>
              <w:bottom w:val="single" w:sz="12" w:space="0" w:color="auto"/>
              <w:right w:val="nil"/>
            </w:tcBorders>
            <w:shd w:val="clear" w:color="auto" w:fill="D9D9D9" w:themeFill="background1" w:themeFillShade="D9"/>
            <w:noWrap/>
            <w:vAlign w:val="center"/>
            <w:hideMark/>
          </w:tcPr>
          <w:p w14:paraId="16A8FA61" w14:textId="7E4CD271"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80.1</w:t>
            </w:r>
            <w:r w:rsidR="00C01F65">
              <w:rPr>
                <w:rFonts w:ascii="Calibri" w:eastAsia="Times New Roman" w:hAnsi="Calibri" w:cs="Calibri"/>
                <w:color w:val="000000"/>
                <w:sz w:val="24"/>
                <w:szCs w:val="24"/>
              </w:rPr>
              <w:t>%</w:t>
            </w:r>
          </w:p>
        </w:tc>
        <w:tc>
          <w:tcPr>
            <w:tcW w:w="292" w:type="dxa"/>
            <w:tcBorders>
              <w:top w:val="nil"/>
              <w:left w:val="nil"/>
              <w:bottom w:val="single" w:sz="12" w:space="0" w:color="auto"/>
              <w:right w:val="nil"/>
            </w:tcBorders>
            <w:shd w:val="clear" w:color="auto" w:fill="D9D9D9" w:themeFill="background1" w:themeFillShade="D9"/>
            <w:vAlign w:val="center"/>
            <w:hideMark/>
          </w:tcPr>
          <w:p w14:paraId="6B9A0FB0"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auto" w:fill="D9D9D9" w:themeFill="background1" w:themeFillShade="D9"/>
            <w:noWrap/>
            <w:vAlign w:val="center"/>
            <w:hideMark/>
          </w:tcPr>
          <w:p w14:paraId="1058B279"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15,042/18,760</w:t>
            </w:r>
          </w:p>
        </w:tc>
        <w:tc>
          <w:tcPr>
            <w:tcW w:w="1121" w:type="dxa"/>
            <w:tcBorders>
              <w:top w:val="nil"/>
              <w:left w:val="nil"/>
              <w:bottom w:val="single" w:sz="12" w:space="0" w:color="auto"/>
              <w:right w:val="nil"/>
            </w:tcBorders>
            <w:shd w:val="clear" w:color="auto" w:fill="D9D9D9" w:themeFill="background1" w:themeFillShade="D9"/>
            <w:noWrap/>
            <w:vAlign w:val="center"/>
            <w:hideMark/>
          </w:tcPr>
          <w:p w14:paraId="35C39636" w14:textId="75FF020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80.2</w:t>
            </w:r>
            <w:r w:rsidR="00C01F65">
              <w:rPr>
                <w:rFonts w:ascii="Calibri" w:eastAsia="Times New Roman" w:hAnsi="Calibri" w:cs="Calibri"/>
                <w:color w:val="000000"/>
                <w:sz w:val="24"/>
                <w:szCs w:val="24"/>
              </w:rPr>
              <w:t>%</w:t>
            </w:r>
          </w:p>
        </w:tc>
        <w:tc>
          <w:tcPr>
            <w:tcW w:w="288" w:type="dxa"/>
            <w:tcBorders>
              <w:top w:val="nil"/>
              <w:left w:val="nil"/>
              <w:bottom w:val="single" w:sz="12" w:space="0" w:color="auto"/>
              <w:right w:val="nil"/>
            </w:tcBorders>
            <w:shd w:val="clear" w:color="auto" w:fill="D9D9D9" w:themeFill="background1" w:themeFillShade="D9"/>
            <w:vAlign w:val="center"/>
            <w:hideMark/>
          </w:tcPr>
          <w:p w14:paraId="2B666FA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55" w:type="dxa"/>
            <w:tcBorders>
              <w:top w:val="nil"/>
              <w:left w:val="nil"/>
              <w:bottom w:val="single" w:sz="12" w:space="0" w:color="auto"/>
              <w:right w:val="nil"/>
            </w:tcBorders>
            <w:shd w:val="clear" w:color="auto" w:fill="D9D9D9" w:themeFill="background1" w:themeFillShade="D9"/>
            <w:noWrap/>
            <w:vAlign w:val="center"/>
            <w:hideMark/>
          </w:tcPr>
          <w:p w14:paraId="13D74CCA"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14,024/18,381</w:t>
            </w:r>
          </w:p>
        </w:tc>
        <w:tc>
          <w:tcPr>
            <w:tcW w:w="1350" w:type="dxa"/>
            <w:tcBorders>
              <w:top w:val="nil"/>
              <w:left w:val="nil"/>
              <w:bottom w:val="single" w:sz="12" w:space="0" w:color="auto"/>
              <w:right w:val="nil"/>
            </w:tcBorders>
            <w:shd w:val="clear" w:color="auto" w:fill="D9D9D9" w:themeFill="background1" w:themeFillShade="D9"/>
            <w:noWrap/>
            <w:vAlign w:val="center"/>
            <w:hideMark/>
          </w:tcPr>
          <w:p w14:paraId="45A9AE69" w14:textId="6E1A2F68"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76.3</w:t>
            </w:r>
            <w:r w:rsidR="00C01F65">
              <w:rPr>
                <w:rFonts w:ascii="Calibri" w:eastAsia="Times New Roman" w:hAnsi="Calibri" w:cs="Calibri"/>
                <w:color w:val="000000"/>
                <w:sz w:val="24"/>
                <w:szCs w:val="24"/>
              </w:rPr>
              <w:t>%</w:t>
            </w:r>
          </w:p>
        </w:tc>
        <w:tc>
          <w:tcPr>
            <w:tcW w:w="271" w:type="dxa"/>
            <w:tcBorders>
              <w:top w:val="nil"/>
              <w:left w:val="nil"/>
              <w:bottom w:val="single" w:sz="12" w:space="0" w:color="auto"/>
              <w:right w:val="nil"/>
            </w:tcBorders>
            <w:shd w:val="clear" w:color="auto" w:fill="D9D9D9" w:themeFill="background1" w:themeFillShade="D9"/>
            <w:vAlign w:val="center"/>
            <w:hideMark/>
          </w:tcPr>
          <w:p w14:paraId="1994C17F"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89" w:type="dxa"/>
            <w:tcBorders>
              <w:top w:val="nil"/>
              <w:left w:val="nil"/>
              <w:bottom w:val="single" w:sz="12" w:space="0" w:color="auto"/>
              <w:right w:val="nil"/>
            </w:tcBorders>
            <w:shd w:val="clear" w:color="auto" w:fill="D9D9D9" w:themeFill="background1" w:themeFillShade="D9"/>
            <w:noWrap/>
            <w:vAlign w:val="center"/>
            <w:hideMark/>
          </w:tcPr>
          <w:p w14:paraId="7ACFE652" w14:textId="77777777"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13,732/17,968</w:t>
            </w:r>
          </w:p>
        </w:tc>
        <w:tc>
          <w:tcPr>
            <w:tcW w:w="1351" w:type="dxa"/>
            <w:tcBorders>
              <w:top w:val="nil"/>
              <w:left w:val="nil"/>
              <w:bottom w:val="single" w:sz="12" w:space="0" w:color="auto"/>
              <w:right w:val="nil"/>
            </w:tcBorders>
            <w:shd w:val="clear" w:color="auto" w:fill="D9D9D9" w:themeFill="background1" w:themeFillShade="D9"/>
            <w:noWrap/>
            <w:vAlign w:val="center"/>
            <w:hideMark/>
          </w:tcPr>
          <w:p w14:paraId="14C3D90B" w14:textId="0AE63E05" w:rsidR="002B546D" w:rsidRPr="002B546D" w:rsidRDefault="002B546D" w:rsidP="002B546D">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76.4</w:t>
            </w:r>
            <w:r w:rsidR="00C01F65">
              <w:rPr>
                <w:rFonts w:ascii="Calibri" w:eastAsia="Times New Roman" w:hAnsi="Calibri" w:cs="Calibri"/>
                <w:color w:val="000000"/>
                <w:sz w:val="24"/>
                <w:szCs w:val="24"/>
              </w:rPr>
              <w:t>%</w:t>
            </w:r>
          </w:p>
        </w:tc>
      </w:tr>
      <w:tr w:rsidR="007D51F5" w:rsidRPr="002B546D" w14:paraId="036BD683" w14:textId="77777777" w:rsidTr="140F6E0A">
        <w:trPr>
          <w:trHeight w:val="555"/>
        </w:trPr>
        <w:tc>
          <w:tcPr>
            <w:tcW w:w="17821" w:type="dxa"/>
            <w:gridSpan w:val="15"/>
            <w:tcBorders>
              <w:top w:val="single" w:sz="12" w:space="0" w:color="auto"/>
              <w:left w:val="nil"/>
              <w:bottom w:val="nil"/>
              <w:right w:val="nil"/>
            </w:tcBorders>
            <w:shd w:val="clear" w:color="auto" w:fill="auto"/>
            <w:noWrap/>
            <w:vAlign w:val="center"/>
            <w:hideMark/>
          </w:tcPr>
          <w:p w14:paraId="2C13DD09" w14:textId="77777777" w:rsidR="007D51F5" w:rsidRDefault="007D51F5" w:rsidP="007D51F5">
            <w:pPr>
              <w:spacing w:after="0" w:line="240" w:lineRule="auto"/>
              <w:rPr>
                <w:rFonts w:ascii="Calibri" w:eastAsia="Times New Roman" w:hAnsi="Calibri" w:cs="Calibri"/>
                <w:sz w:val="24"/>
                <w:szCs w:val="24"/>
              </w:rPr>
            </w:pPr>
            <w:r w:rsidRPr="007D51F5">
              <w:rPr>
                <w:rFonts w:ascii="Calibri" w:eastAsia="Times New Roman" w:hAnsi="Calibri" w:cs="Calibri"/>
                <w:sz w:val="24"/>
                <w:szCs w:val="24"/>
              </w:rPr>
              <w:t>*Within the past 12 months</w:t>
            </w:r>
          </w:p>
          <w:p w14:paraId="42E26C91" w14:textId="381140DB" w:rsidR="007D51F5" w:rsidRPr="002B546D" w:rsidRDefault="001D0907" w:rsidP="007D51F5">
            <w:pPr>
              <w:spacing w:after="0" w:line="240" w:lineRule="auto"/>
              <w:rPr>
                <w:rFonts w:ascii="Calibri" w:eastAsia="Times New Roman" w:hAnsi="Calibri" w:cs="Calibri"/>
                <w:sz w:val="24"/>
                <w:szCs w:val="24"/>
              </w:rPr>
            </w:pPr>
            <w:r w:rsidRPr="001D0907">
              <w:rPr>
                <w:rFonts w:ascii="Calibri" w:eastAsia="Times New Roman" w:hAnsi="Calibri" w:cs="Calibri"/>
                <w:b/>
                <w:bCs/>
                <w:sz w:val="24"/>
                <w:szCs w:val="24"/>
              </w:rPr>
              <w:t>ACRONYMS:</w:t>
            </w:r>
            <w:r w:rsidRPr="001D0907">
              <w:rPr>
                <w:rFonts w:ascii="Calibri" w:eastAsia="Times New Roman" w:hAnsi="Calibri" w:cs="Calibri"/>
                <w:sz w:val="24"/>
                <w:szCs w:val="24"/>
              </w:rPr>
              <w:t xml:space="preserve"> MSM = Gay, bisexual, and other men who have sex with men; MSW = Men who have sex with women only</w:t>
            </w:r>
          </w:p>
        </w:tc>
      </w:tr>
      <w:tr w:rsidR="007D51F5" w:rsidRPr="002B546D" w14:paraId="565FD63A" w14:textId="77777777" w:rsidTr="140F6E0A">
        <w:trPr>
          <w:trHeight w:val="87"/>
        </w:trPr>
        <w:tc>
          <w:tcPr>
            <w:tcW w:w="1273" w:type="dxa"/>
            <w:tcBorders>
              <w:top w:val="nil"/>
              <w:left w:val="nil"/>
              <w:bottom w:val="nil"/>
              <w:right w:val="nil"/>
            </w:tcBorders>
            <w:shd w:val="clear" w:color="auto" w:fill="auto"/>
            <w:noWrap/>
            <w:vAlign w:val="center"/>
          </w:tcPr>
          <w:p w14:paraId="44D3207D" w14:textId="77777777" w:rsidR="007D51F5" w:rsidRPr="002B546D" w:rsidRDefault="007D51F5" w:rsidP="002B546D">
            <w:pPr>
              <w:spacing w:after="0" w:line="240" w:lineRule="auto"/>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tcPr>
          <w:p w14:paraId="72922BF5" w14:textId="77777777" w:rsidR="007D51F5" w:rsidRPr="002B546D" w:rsidRDefault="007D51F5" w:rsidP="002B546D">
            <w:pPr>
              <w:spacing w:after="0" w:line="240" w:lineRule="auto"/>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tcPr>
          <w:p w14:paraId="6CAD4858"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297" w:type="dxa"/>
            <w:tcBorders>
              <w:top w:val="nil"/>
              <w:left w:val="nil"/>
              <w:bottom w:val="nil"/>
              <w:right w:val="nil"/>
            </w:tcBorders>
            <w:shd w:val="clear" w:color="auto" w:fill="auto"/>
            <w:vAlign w:val="center"/>
          </w:tcPr>
          <w:p w14:paraId="4EBD3900"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tcPr>
          <w:p w14:paraId="4C409788"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tcPr>
          <w:p w14:paraId="650210C6"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292" w:type="dxa"/>
            <w:tcBorders>
              <w:top w:val="nil"/>
              <w:left w:val="nil"/>
              <w:bottom w:val="nil"/>
              <w:right w:val="nil"/>
            </w:tcBorders>
            <w:shd w:val="clear" w:color="auto" w:fill="auto"/>
            <w:vAlign w:val="center"/>
          </w:tcPr>
          <w:p w14:paraId="1B4A6A00"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864" w:type="dxa"/>
            <w:tcBorders>
              <w:top w:val="nil"/>
              <w:left w:val="nil"/>
              <w:bottom w:val="nil"/>
              <w:right w:val="nil"/>
            </w:tcBorders>
            <w:shd w:val="clear" w:color="auto" w:fill="auto"/>
            <w:noWrap/>
            <w:vAlign w:val="center"/>
          </w:tcPr>
          <w:p w14:paraId="10D15553"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121" w:type="dxa"/>
            <w:tcBorders>
              <w:top w:val="nil"/>
              <w:left w:val="nil"/>
              <w:bottom w:val="nil"/>
              <w:right w:val="nil"/>
            </w:tcBorders>
            <w:shd w:val="clear" w:color="auto" w:fill="auto"/>
            <w:noWrap/>
            <w:vAlign w:val="center"/>
          </w:tcPr>
          <w:p w14:paraId="49C30407"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288" w:type="dxa"/>
            <w:tcBorders>
              <w:top w:val="nil"/>
              <w:left w:val="nil"/>
              <w:bottom w:val="nil"/>
              <w:right w:val="nil"/>
            </w:tcBorders>
            <w:shd w:val="clear" w:color="auto" w:fill="auto"/>
            <w:vAlign w:val="center"/>
          </w:tcPr>
          <w:p w14:paraId="597E6732"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855" w:type="dxa"/>
            <w:tcBorders>
              <w:top w:val="nil"/>
              <w:left w:val="nil"/>
              <w:bottom w:val="nil"/>
              <w:right w:val="nil"/>
            </w:tcBorders>
            <w:shd w:val="clear" w:color="auto" w:fill="auto"/>
            <w:noWrap/>
            <w:vAlign w:val="center"/>
          </w:tcPr>
          <w:p w14:paraId="6149BD28"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350" w:type="dxa"/>
            <w:tcBorders>
              <w:top w:val="nil"/>
              <w:left w:val="nil"/>
              <w:bottom w:val="nil"/>
              <w:right w:val="nil"/>
            </w:tcBorders>
            <w:shd w:val="clear" w:color="auto" w:fill="auto"/>
            <w:noWrap/>
            <w:vAlign w:val="center"/>
          </w:tcPr>
          <w:p w14:paraId="64EA991F"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271" w:type="dxa"/>
            <w:tcBorders>
              <w:top w:val="nil"/>
              <w:left w:val="nil"/>
              <w:bottom w:val="nil"/>
              <w:right w:val="nil"/>
            </w:tcBorders>
            <w:shd w:val="clear" w:color="auto" w:fill="auto"/>
            <w:vAlign w:val="center"/>
          </w:tcPr>
          <w:p w14:paraId="17012231"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889" w:type="dxa"/>
            <w:tcBorders>
              <w:top w:val="nil"/>
              <w:left w:val="nil"/>
              <w:bottom w:val="nil"/>
              <w:right w:val="nil"/>
            </w:tcBorders>
            <w:shd w:val="clear" w:color="auto" w:fill="auto"/>
            <w:noWrap/>
            <w:vAlign w:val="center"/>
          </w:tcPr>
          <w:p w14:paraId="218962CE"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c>
          <w:tcPr>
            <w:tcW w:w="1351" w:type="dxa"/>
            <w:tcBorders>
              <w:top w:val="nil"/>
              <w:left w:val="nil"/>
              <w:bottom w:val="nil"/>
              <w:right w:val="nil"/>
            </w:tcBorders>
            <w:shd w:val="clear" w:color="auto" w:fill="auto"/>
            <w:noWrap/>
            <w:vAlign w:val="center"/>
          </w:tcPr>
          <w:p w14:paraId="2EA04ABC" w14:textId="77777777" w:rsidR="007D51F5" w:rsidRPr="002B546D" w:rsidRDefault="007D51F5" w:rsidP="002B546D">
            <w:pPr>
              <w:spacing w:after="0" w:line="240" w:lineRule="auto"/>
              <w:jc w:val="center"/>
              <w:rPr>
                <w:rFonts w:ascii="Times New Roman" w:eastAsia="Times New Roman" w:hAnsi="Times New Roman" w:cs="Times New Roman"/>
                <w:sz w:val="10"/>
                <w:szCs w:val="10"/>
              </w:rPr>
            </w:pPr>
          </w:p>
        </w:tc>
      </w:tr>
    </w:tbl>
    <w:p w14:paraId="4C929375" w14:textId="074E3A0B" w:rsidR="140F6E0A" w:rsidRDefault="140F6E0A"/>
    <w:p w14:paraId="4D4A7D1D" w14:textId="77777777" w:rsidR="00FD42DD" w:rsidRDefault="00FD42DD">
      <w:r>
        <w:br w:type="page"/>
      </w:r>
    </w:p>
    <w:tbl>
      <w:tblPr>
        <w:tblpPr w:leftFromText="180" w:rightFromText="180" w:vertAnchor="text" w:tblpY="1"/>
        <w:tblOverlap w:val="never"/>
        <w:tblW w:w="17580" w:type="dxa"/>
        <w:tblLook w:val="04A0" w:firstRow="1" w:lastRow="0" w:firstColumn="1" w:lastColumn="0" w:noHBand="0" w:noVBand="1"/>
      </w:tblPr>
      <w:tblGrid>
        <w:gridCol w:w="1273"/>
        <w:gridCol w:w="1864"/>
        <w:gridCol w:w="1121"/>
        <w:gridCol w:w="307"/>
        <w:gridCol w:w="1864"/>
        <w:gridCol w:w="1121"/>
        <w:gridCol w:w="307"/>
        <w:gridCol w:w="1864"/>
        <w:gridCol w:w="1121"/>
        <w:gridCol w:w="307"/>
        <w:gridCol w:w="1864"/>
        <w:gridCol w:w="1270"/>
        <w:gridCol w:w="307"/>
        <w:gridCol w:w="1864"/>
        <w:gridCol w:w="1126"/>
      </w:tblGrid>
      <w:tr w:rsidR="00BA282C" w:rsidRPr="002B546D" w14:paraId="03FE3ADB" w14:textId="77777777" w:rsidTr="001D0907">
        <w:trPr>
          <w:trHeight w:val="693"/>
        </w:trPr>
        <w:tc>
          <w:tcPr>
            <w:tcW w:w="17580" w:type="dxa"/>
            <w:gridSpan w:val="15"/>
            <w:tcBorders>
              <w:top w:val="single" w:sz="12" w:space="0" w:color="auto"/>
              <w:left w:val="nil"/>
              <w:bottom w:val="single" w:sz="12" w:space="0" w:color="auto"/>
              <w:right w:val="nil"/>
            </w:tcBorders>
            <w:shd w:val="clear" w:color="auto" w:fill="auto"/>
            <w:noWrap/>
            <w:vAlign w:val="center"/>
            <w:hideMark/>
          </w:tcPr>
          <w:p w14:paraId="05114E87" w14:textId="65FB294D" w:rsidR="00BA282C" w:rsidRPr="002B546D" w:rsidRDefault="001D0907" w:rsidP="00FD42DD">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6"/>
                <w:szCs w:val="26"/>
              </w:rPr>
              <w:lastRenderedPageBreak/>
              <w:t>Table</w:t>
            </w:r>
            <w:r>
              <w:rPr>
                <w:rFonts w:ascii="Calibri" w:eastAsia="Times New Roman" w:hAnsi="Calibri" w:cs="Calibri"/>
                <w:b/>
                <w:bCs/>
                <w:color w:val="000000"/>
                <w:sz w:val="26"/>
                <w:szCs w:val="26"/>
              </w:rPr>
              <w:t xml:space="preserve"> (</w:t>
            </w:r>
            <w:proofErr w:type="spellStart"/>
            <w:r>
              <w:rPr>
                <w:rFonts w:ascii="Calibri" w:eastAsia="Times New Roman" w:hAnsi="Calibri" w:cs="Calibri"/>
                <w:b/>
                <w:bCs/>
                <w:color w:val="000000"/>
                <w:sz w:val="26"/>
                <w:szCs w:val="26"/>
              </w:rPr>
              <w:t>cont</w:t>
            </w:r>
            <w:proofErr w:type="spellEnd"/>
            <w:r>
              <w:rPr>
                <w:rFonts w:ascii="Calibri" w:eastAsia="Times New Roman" w:hAnsi="Calibri" w:cs="Calibri"/>
                <w:b/>
                <w:bCs/>
                <w:color w:val="000000"/>
                <w:sz w:val="26"/>
                <w:szCs w:val="26"/>
              </w:rPr>
              <w:t>)</w:t>
            </w:r>
            <w:r w:rsidRPr="002B546D">
              <w:rPr>
                <w:rFonts w:ascii="Calibri" w:eastAsia="Times New Roman" w:hAnsi="Calibri" w:cs="Calibri"/>
                <w:b/>
                <w:bCs/>
                <w:color w:val="000000"/>
                <w:sz w:val="26"/>
                <w:szCs w:val="26"/>
              </w:rPr>
              <w:t>. Proportion of primary and secondary syphilis cases with complete information for selected substance use and sexual behaviors, and incarceration history by sex and sex of sex partners, United States, 2016–2020</w:t>
            </w:r>
          </w:p>
        </w:tc>
      </w:tr>
      <w:tr w:rsidR="001D0907" w:rsidRPr="002B546D" w14:paraId="3CE64FC7" w14:textId="77777777" w:rsidTr="001D0907">
        <w:trPr>
          <w:trHeight w:val="316"/>
        </w:trPr>
        <w:tc>
          <w:tcPr>
            <w:tcW w:w="1273" w:type="dxa"/>
            <w:tcBorders>
              <w:top w:val="single" w:sz="12" w:space="0" w:color="auto"/>
              <w:left w:val="nil"/>
              <w:right w:val="nil"/>
            </w:tcBorders>
            <w:shd w:val="clear" w:color="auto" w:fill="FFFFFF" w:themeFill="background1"/>
            <w:noWrap/>
            <w:vAlign w:val="center"/>
          </w:tcPr>
          <w:p w14:paraId="0F0D6EAC" w14:textId="77777777" w:rsidR="001D0907" w:rsidRPr="002B546D" w:rsidRDefault="001D0907" w:rsidP="001D0907">
            <w:pPr>
              <w:spacing w:after="0" w:line="240" w:lineRule="auto"/>
              <w:rPr>
                <w:rFonts w:ascii="Calibri" w:eastAsia="Times New Roman" w:hAnsi="Calibri" w:cs="Calibri"/>
                <w:color w:val="000000"/>
                <w:sz w:val="24"/>
                <w:szCs w:val="24"/>
              </w:rPr>
            </w:pPr>
          </w:p>
        </w:tc>
        <w:tc>
          <w:tcPr>
            <w:tcW w:w="2985" w:type="dxa"/>
            <w:gridSpan w:val="2"/>
            <w:tcBorders>
              <w:top w:val="single" w:sz="12" w:space="0" w:color="auto"/>
              <w:left w:val="nil"/>
              <w:right w:val="nil"/>
            </w:tcBorders>
            <w:shd w:val="clear" w:color="auto" w:fill="FFFFFF" w:themeFill="background1"/>
            <w:noWrap/>
            <w:vAlign w:val="center"/>
          </w:tcPr>
          <w:p w14:paraId="7BBAC3D9" w14:textId="1555A9B6" w:rsidR="001D0907" w:rsidRPr="002B546D" w:rsidRDefault="001D0907" w:rsidP="001D0907">
            <w:pPr>
              <w:spacing w:after="0" w:line="240" w:lineRule="auto"/>
              <w:jc w:val="center"/>
              <w:rPr>
                <w:rFonts w:ascii="Calibri" w:eastAsia="Times New Roman" w:hAnsi="Calibri" w:cs="Calibri"/>
                <w:color w:val="000000"/>
                <w:sz w:val="24"/>
                <w:szCs w:val="24"/>
              </w:rPr>
            </w:pPr>
            <w:r w:rsidRPr="00030609">
              <w:rPr>
                <w:rFonts w:ascii="Calibri" w:eastAsia="Times New Roman" w:hAnsi="Calibri" w:cs="Calibri"/>
                <w:color w:val="000000"/>
                <w:sz w:val="26"/>
                <w:szCs w:val="26"/>
              </w:rPr>
              <w:t>2016</w:t>
            </w:r>
          </w:p>
        </w:tc>
        <w:tc>
          <w:tcPr>
            <w:tcW w:w="307" w:type="dxa"/>
            <w:tcBorders>
              <w:top w:val="single" w:sz="12" w:space="0" w:color="auto"/>
              <w:left w:val="nil"/>
              <w:right w:val="nil"/>
            </w:tcBorders>
            <w:shd w:val="clear" w:color="auto" w:fill="FFFFFF" w:themeFill="background1"/>
            <w:vAlign w:val="center"/>
          </w:tcPr>
          <w:p w14:paraId="46F8488E"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2985" w:type="dxa"/>
            <w:gridSpan w:val="2"/>
            <w:tcBorders>
              <w:top w:val="single" w:sz="12" w:space="0" w:color="auto"/>
              <w:left w:val="nil"/>
              <w:right w:val="nil"/>
            </w:tcBorders>
            <w:shd w:val="clear" w:color="auto" w:fill="FFFFFF" w:themeFill="background1"/>
            <w:noWrap/>
            <w:vAlign w:val="center"/>
          </w:tcPr>
          <w:p w14:paraId="42FDC93D" w14:textId="125C58AD" w:rsidR="001D0907" w:rsidRPr="002B546D" w:rsidRDefault="001D0907" w:rsidP="001D0907">
            <w:pPr>
              <w:spacing w:after="0" w:line="240" w:lineRule="auto"/>
              <w:jc w:val="center"/>
              <w:rPr>
                <w:rFonts w:ascii="Calibri" w:eastAsia="Times New Roman" w:hAnsi="Calibri" w:cs="Calibri"/>
                <w:color w:val="000000"/>
                <w:sz w:val="24"/>
                <w:szCs w:val="24"/>
              </w:rPr>
            </w:pPr>
            <w:r w:rsidRPr="00030609">
              <w:rPr>
                <w:rFonts w:ascii="Calibri" w:eastAsia="Times New Roman" w:hAnsi="Calibri" w:cs="Calibri"/>
                <w:color w:val="000000"/>
                <w:sz w:val="26"/>
                <w:szCs w:val="26"/>
              </w:rPr>
              <w:t>2017</w:t>
            </w:r>
          </w:p>
        </w:tc>
        <w:tc>
          <w:tcPr>
            <w:tcW w:w="307" w:type="dxa"/>
            <w:tcBorders>
              <w:top w:val="single" w:sz="12" w:space="0" w:color="auto"/>
              <w:left w:val="nil"/>
              <w:right w:val="nil"/>
            </w:tcBorders>
            <w:shd w:val="clear" w:color="auto" w:fill="FFFFFF" w:themeFill="background1"/>
            <w:vAlign w:val="center"/>
          </w:tcPr>
          <w:p w14:paraId="1D1E04F3"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2985" w:type="dxa"/>
            <w:gridSpan w:val="2"/>
            <w:tcBorders>
              <w:top w:val="single" w:sz="12" w:space="0" w:color="auto"/>
              <w:left w:val="nil"/>
              <w:right w:val="nil"/>
            </w:tcBorders>
            <w:shd w:val="clear" w:color="auto" w:fill="FFFFFF" w:themeFill="background1"/>
            <w:noWrap/>
            <w:vAlign w:val="center"/>
          </w:tcPr>
          <w:p w14:paraId="4AC2A908" w14:textId="7BC2A91B" w:rsidR="001D0907" w:rsidRPr="002B546D" w:rsidRDefault="001D0907" w:rsidP="001D0907">
            <w:pPr>
              <w:spacing w:after="0" w:line="240" w:lineRule="auto"/>
              <w:jc w:val="center"/>
              <w:rPr>
                <w:rFonts w:ascii="Calibri" w:eastAsia="Times New Roman" w:hAnsi="Calibri" w:cs="Calibri"/>
                <w:color w:val="000000"/>
                <w:sz w:val="24"/>
                <w:szCs w:val="24"/>
              </w:rPr>
            </w:pPr>
            <w:r w:rsidRPr="00030609">
              <w:rPr>
                <w:rFonts w:ascii="Calibri" w:eastAsia="Times New Roman" w:hAnsi="Calibri" w:cs="Calibri"/>
                <w:color w:val="000000"/>
                <w:sz w:val="26"/>
                <w:szCs w:val="26"/>
              </w:rPr>
              <w:t>2018</w:t>
            </w:r>
          </w:p>
        </w:tc>
        <w:tc>
          <w:tcPr>
            <w:tcW w:w="307" w:type="dxa"/>
            <w:tcBorders>
              <w:top w:val="single" w:sz="12" w:space="0" w:color="auto"/>
              <w:left w:val="nil"/>
              <w:right w:val="nil"/>
            </w:tcBorders>
            <w:shd w:val="clear" w:color="auto" w:fill="FFFFFF" w:themeFill="background1"/>
            <w:vAlign w:val="center"/>
          </w:tcPr>
          <w:p w14:paraId="28DB6FE0"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3134" w:type="dxa"/>
            <w:gridSpan w:val="2"/>
            <w:tcBorders>
              <w:top w:val="single" w:sz="12" w:space="0" w:color="auto"/>
              <w:left w:val="nil"/>
              <w:right w:val="nil"/>
            </w:tcBorders>
            <w:shd w:val="clear" w:color="auto" w:fill="FFFFFF" w:themeFill="background1"/>
            <w:noWrap/>
            <w:vAlign w:val="center"/>
          </w:tcPr>
          <w:p w14:paraId="40BB8793" w14:textId="75DE5CDA" w:rsidR="001D0907" w:rsidRPr="002B546D" w:rsidRDefault="001D0907" w:rsidP="001D0907">
            <w:pPr>
              <w:spacing w:after="0" w:line="240" w:lineRule="auto"/>
              <w:jc w:val="center"/>
              <w:rPr>
                <w:rFonts w:ascii="Calibri" w:eastAsia="Times New Roman" w:hAnsi="Calibri" w:cs="Calibri"/>
                <w:color w:val="000000"/>
                <w:sz w:val="24"/>
                <w:szCs w:val="24"/>
              </w:rPr>
            </w:pPr>
            <w:r w:rsidRPr="00030609">
              <w:rPr>
                <w:rFonts w:ascii="Calibri" w:eastAsia="Times New Roman" w:hAnsi="Calibri" w:cs="Calibri"/>
                <w:color w:val="000000"/>
                <w:sz w:val="26"/>
                <w:szCs w:val="26"/>
              </w:rPr>
              <w:t>2019</w:t>
            </w:r>
          </w:p>
        </w:tc>
        <w:tc>
          <w:tcPr>
            <w:tcW w:w="307" w:type="dxa"/>
            <w:tcBorders>
              <w:top w:val="single" w:sz="12" w:space="0" w:color="auto"/>
              <w:left w:val="nil"/>
              <w:right w:val="nil"/>
            </w:tcBorders>
            <w:shd w:val="clear" w:color="auto" w:fill="FFFFFF" w:themeFill="background1"/>
            <w:vAlign w:val="center"/>
          </w:tcPr>
          <w:p w14:paraId="754CD742"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2990" w:type="dxa"/>
            <w:gridSpan w:val="2"/>
            <w:tcBorders>
              <w:top w:val="single" w:sz="12" w:space="0" w:color="auto"/>
              <w:left w:val="nil"/>
              <w:right w:val="nil"/>
            </w:tcBorders>
            <w:shd w:val="clear" w:color="auto" w:fill="FFFFFF" w:themeFill="background1"/>
            <w:noWrap/>
            <w:vAlign w:val="center"/>
          </w:tcPr>
          <w:p w14:paraId="14E1FE52" w14:textId="6E9D14B3" w:rsidR="001D0907" w:rsidRPr="002B546D" w:rsidRDefault="001D0907" w:rsidP="001D0907">
            <w:pPr>
              <w:spacing w:after="0" w:line="240" w:lineRule="auto"/>
              <w:jc w:val="center"/>
              <w:rPr>
                <w:rFonts w:ascii="Calibri" w:eastAsia="Times New Roman" w:hAnsi="Calibri" w:cs="Calibri"/>
                <w:color w:val="000000"/>
                <w:sz w:val="24"/>
                <w:szCs w:val="24"/>
              </w:rPr>
            </w:pPr>
            <w:r w:rsidRPr="00030609">
              <w:rPr>
                <w:rFonts w:ascii="Calibri" w:eastAsia="Times New Roman" w:hAnsi="Calibri" w:cs="Calibri"/>
                <w:color w:val="000000"/>
                <w:sz w:val="26"/>
                <w:szCs w:val="26"/>
              </w:rPr>
              <w:t>2020</w:t>
            </w:r>
          </w:p>
        </w:tc>
      </w:tr>
      <w:tr w:rsidR="001D0907" w:rsidRPr="002B546D" w14:paraId="7FF15259" w14:textId="77777777" w:rsidTr="001D0907">
        <w:trPr>
          <w:trHeight w:val="633"/>
        </w:trPr>
        <w:tc>
          <w:tcPr>
            <w:tcW w:w="1273" w:type="dxa"/>
            <w:tcBorders>
              <w:top w:val="nil"/>
              <w:left w:val="nil"/>
              <w:bottom w:val="single" w:sz="12" w:space="0" w:color="auto"/>
              <w:right w:val="nil"/>
            </w:tcBorders>
            <w:shd w:val="clear" w:color="auto" w:fill="FFFFFF" w:themeFill="background1"/>
            <w:noWrap/>
            <w:vAlign w:val="center"/>
          </w:tcPr>
          <w:p w14:paraId="22943363" w14:textId="01681BD0"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b/>
                <w:bCs/>
                <w:color w:val="000000"/>
                <w:sz w:val="20"/>
                <w:szCs w:val="20"/>
              </w:rPr>
              <w:t>Reported behavior*</w:t>
            </w:r>
          </w:p>
        </w:tc>
        <w:tc>
          <w:tcPr>
            <w:tcW w:w="1864" w:type="dxa"/>
            <w:tcBorders>
              <w:top w:val="nil"/>
              <w:left w:val="nil"/>
              <w:bottom w:val="single" w:sz="12" w:space="0" w:color="auto"/>
              <w:right w:val="nil"/>
            </w:tcBorders>
            <w:shd w:val="clear" w:color="auto" w:fill="FFFFFF" w:themeFill="background1"/>
            <w:noWrap/>
            <w:vAlign w:val="center"/>
          </w:tcPr>
          <w:p w14:paraId="2A841011" w14:textId="11FFAE0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 / # of cases</w:t>
            </w:r>
          </w:p>
        </w:tc>
        <w:tc>
          <w:tcPr>
            <w:tcW w:w="1121" w:type="dxa"/>
            <w:tcBorders>
              <w:top w:val="nil"/>
              <w:left w:val="nil"/>
              <w:bottom w:val="single" w:sz="12" w:space="0" w:color="auto"/>
              <w:right w:val="nil"/>
            </w:tcBorders>
            <w:shd w:val="clear" w:color="auto" w:fill="FFFFFF" w:themeFill="background1"/>
            <w:noWrap/>
            <w:vAlign w:val="center"/>
          </w:tcPr>
          <w:p w14:paraId="2769315F" w14:textId="18C4874F"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307" w:type="dxa"/>
            <w:tcBorders>
              <w:top w:val="nil"/>
              <w:left w:val="nil"/>
              <w:bottom w:val="single" w:sz="12" w:space="0" w:color="auto"/>
              <w:right w:val="nil"/>
            </w:tcBorders>
            <w:shd w:val="clear" w:color="auto" w:fill="FFFFFF" w:themeFill="background1"/>
            <w:vAlign w:val="center"/>
          </w:tcPr>
          <w:p w14:paraId="0997D126"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single" w:sz="12" w:space="0" w:color="auto"/>
              <w:right w:val="nil"/>
            </w:tcBorders>
            <w:shd w:val="clear" w:color="auto" w:fill="FFFFFF" w:themeFill="background1"/>
            <w:noWrap/>
            <w:vAlign w:val="center"/>
          </w:tcPr>
          <w:p w14:paraId="203F44CC" w14:textId="4687A03A"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 / # of cases</w:t>
            </w:r>
          </w:p>
        </w:tc>
        <w:tc>
          <w:tcPr>
            <w:tcW w:w="1121" w:type="dxa"/>
            <w:tcBorders>
              <w:top w:val="nil"/>
              <w:left w:val="nil"/>
              <w:bottom w:val="single" w:sz="12" w:space="0" w:color="auto"/>
              <w:right w:val="nil"/>
            </w:tcBorders>
            <w:shd w:val="clear" w:color="auto" w:fill="FFFFFF" w:themeFill="background1"/>
            <w:noWrap/>
            <w:vAlign w:val="center"/>
          </w:tcPr>
          <w:p w14:paraId="363EFD1C" w14:textId="5C1AADF1"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307" w:type="dxa"/>
            <w:tcBorders>
              <w:top w:val="nil"/>
              <w:left w:val="nil"/>
              <w:bottom w:val="single" w:sz="12" w:space="0" w:color="auto"/>
              <w:right w:val="nil"/>
            </w:tcBorders>
            <w:shd w:val="clear" w:color="auto" w:fill="FFFFFF" w:themeFill="background1"/>
            <w:vAlign w:val="center"/>
          </w:tcPr>
          <w:p w14:paraId="2980DB16"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single" w:sz="12" w:space="0" w:color="auto"/>
              <w:right w:val="nil"/>
            </w:tcBorders>
            <w:shd w:val="clear" w:color="auto" w:fill="FFFFFF" w:themeFill="background1"/>
            <w:noWrap/>
            <w:vAlign w:val="center"/>
          </w:tcPr>
          <w:p w14:paraId="4F61B282" w14:textId="068FE90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w:t>
            </w:r>
            <w:r w:rsidRPr="004269FE">
              <w:rPr>
                <w:rFonts w:ascii="Calibri" w:eastAsia="Times New Roman" w:hAnsi="Calibri" w:cs="Calibri"/>
                <w:color w:val="000000"/>
                <w:sz w:val="18"/>
                <w:szCs w:val="18"/>
              </w:rPr>
              <w:t xml:space="preserve"> </w:t>
            </w:r>
            <w:r w:rsidRPr="002B546D">
              <w:rPr>
                <w:rFonts w:ascii="Calibri" w:eastAsia="Times New Roman" w:hAnsi="Calibri" w:cs="Calibri"/>
                <w:color w:val="000000"/>
                <w:sz w:val="18"/>
                <w:szCs w:val="18"/>
              </w:rPr>
              <w:t># of cases</w:t>
            </w:r>
          </w:p>
        </w:tc>
        <w:tc>
          <w:tcPr>
            <w:tcW w:w="1121" w:type="dxa"/>
            <w:tcBorders>
              <w:top w:val="nil"/>
              <w:left w:val="nil"/>
              <w:bottom w:val="single" w:sz="12" w:space="0" w:color="auto"/>
              <w:right w:val="nil"/>
            </w:tcBorders>
            <w:shd w:val="clear" w:color="auto" w:fill="FFFFFF" w:themeFill="background1"/>
            <w:noWrap/>
            <w:vAlign w:val="center"/>
          </w:tcPr>
          <w:p w14:paraId="720A050F" w14:textId="59EC137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307" w:type="dxa"/>
            <w:tcBorders>
              <w:top w:val="nil"/>
              <w:left w:val="nil"/>
              <w:bottom w:val="single" w:sz="12" w:space="0" w:color="auto"/>
              <w:right w:val="nil"/>
            </w:tcBorders>
            <w:shd w:val="clear" w:color="auto" w:fill="FFFFFF" w:themeFill="background1"/>
            <w:vAlign w:val="center"/>
          </w:tcPr>
          <w:p w14:paraId="0570F681"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single" w:sz="12" w:space="0" w:color="auto"/>
              <w:right w:val="nil"/>
            </w:tcBorders>
            <w:shd w:val="clear" w:color="auto" w:fill="FFFFFF" w:themeFill="background1"/>
            <w:noWrap/>
            <w:vAlign w:val="center"/>
          </w:tcPr>
          <w:p w14:paraId="59AD75A0" w14:textId="50B3156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 of cases</w:t>
            </w:r>
          </w:p>
        </w:tc>
        <w:tc>
          <w:tcPr>
            <w:tcW w:w="1270" w:type="dxa"/>
            <w:tcBorders>
              <w:top w:val="nil"/>
              <w:left w:val="nil"/>
              <w:bottom w:val="single" w:sz="12" w:space="0" w:color="auto"/>
              <w:right w:val="nil"/>
            </w:tcBorders>
            <w:shd w:val="clear" w:color="auto" w:fill="FFFFFF" w:themeFill="background1"/>
            <w:noWrap/>
            <w:vAlign w:val="center"/>
          </w:tcPr>
          <w:p w14:paraId="6E864EE4" w14:textId="0149804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c>
          <w:tcPr>
            <w:tcW w:w="307" w:type="dxa"/>
            <w:tcBorders>
              <w:top w:val="nil"/>
              <w:left w:val="nil"/>
              <w:bottom w:val="single" w:sz="12" w:space="0" w:color="auto"/>
              <w:right w:val="nil"/>
            </w:tcBorders>
            <w:shd w:val="clear" w:color="auto" w:fill="FFFFFF" w:themeFill="background1"/>
            <w:vAlign w:val="center"/>
          </w:tcPr>
          <w:p w14:paraId="318D83E1"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single" w:sz="12" w:space="0" w:color="auto"/>
              <w:right w:val="nil"/>
            </w:tcBorders>
            <w:shd w:val="clear" w:color="auto" w:fill="FFFFFF" w:themeFill="background1"/>
            <w:noWrap/>
            <w:vAlign w:val="center"/>
          </w:tcPr>
          <w:p w14:paraId="1D091CBE" w14:textId="7BCA74B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of</w:t>
            </w:r>
            <w:proofErr w:type="gramEnd"/>
            <w:r w:rsidRPr="002B546D">
              <w:rPr>
                <w:rFonts w:ascii="Calibri" w:eastAsia="Times New Roman" w:hAnsi="Calibri" w:cs="Calibri"/>
                <w:color w:val="000000"/>
                <w:sz w:val="18"/>
                <w:szCs w:val="18"/>
              </w:rPr>
              <w:t xml:space="preserve"> cases with complete information/# of cases</w:t>
            </w:r>
          </w:p>
        </w:tc>
        <w:tc>
          <w:tcPr>
            <w:tcW w:w="1126" w:type="dxa"/>
            <w:tcBorders>
              <w:top w:val="nil"/>
              <w:left w:val="nil"/>
              <w:bottom w:val="single" w:sz="12" w:space="0" w:color="auto"/>
              <w:right w:val="nil"/>
            </w:tcBorders>
            <w:shd w:val="clear" w:color="auto" w:fill="FFFFFF" w:themeFill="background1"/>
            <w:noWrap/>
            <w:vAlign w:val="center"/>
          </w:tcPr>
          <w:p w14:paraId="01A05BE0" w14:textId="20ED4DC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18"/>
                <w:szCs w:val="18"/>
              </w:rPr>
              <w:t xml:space="preserve">% </w:t>
            </w:r>
            <w:proofErr w:type="gramStart"/>
            <w:r w:rsidRPr="002B546D">
              <w:rPr>
                <w:rFonts w:ascii="Calibri" w:eastAsia="Times New Roman" w:hAnsi="Calibri" w:cs="Calibri"/>
                <w:color w:val="000000"/>
                <w:sz w:val="18"/>
                <w:szCs w:val="18"/>
              </w:rPr>
              <w:t>with</w:t>
            </w:r>
            <w:proofErr w:type="gramEnd"/>
            <w:r w:rsidRPr="002B546D">
              <w:rPr>
                <w:rFonts w:ascii="Calibri" w:eastAsia="Times New Roman" w:hAnsi="Calibri" w:cs="Calibri"/>
                <w:color w:val="000000"/>
                <w:sz w:val="18"/>
                <w:szCs w:val="18"/>
              </w:rPr>
              <w:t xml:space="preserve"> complete information</w:t>
            </w:r>
          </w:p>
        </w:tc>
      </w:tr>
      <w:tr w:rsidR="001D0907" w:rsidRPr="002B546D" w14:paraId="4918C34F" w14:textId="77777777" w:rsidTr="001D0907">
        <w:trPr>
          <w:trHeight w:val="316"/>
        </w:trPr>
        <w:tc>
          <w:tcPr>
            <w:tcW w:w="17580" w:type="dxa"/>
            <w:gridSpan w:val="15"/>
            <w:tcBorders>
              <w:top w:val="single" w:sz="12" w:space="0" w:color="auto"/>
              <w:left w:val="nil"/>
              <w:bottom w:val="nil"/>
              <w:right w:val="nil"/>
            </w:tcBorders>
            <w:shd w:val="clear" w:color="auto" w:fill="FFFFFF" w:themeFill="background1"/>
            <w:noWrap/>
            <w:vAlign w:val="center"/>
          </w:tcPr>
          <w:p w14:paraId="00FB7088" w14:textId="423C2578"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b/>
                <w:bCs/>
                <w:color w:val="000000"/>
                <w:sz w:val="24"/>
                <w:szCs w:val="24"/>
              </w:rPr>
              <w:t>Exchanged sex for drugs/money</w:t>
            </w:r>
          </w:p>
        </w:tc>
      </w:tr>
      <w:tr w:rsidR="001D0907" w:rsidRPr="002B546D" w14:paraId="3597B62D" w14:textId="77777777" w:rsidTr="00FD42DD">
        <w:trPr>
          <w:trHeight w:val="316"/>
        </w:trPr>
        <w:tc>
          <w:tcPr>
            <w:tcW w:w="1273" w:type="dxa"/>
            <w:tcBorders>
              <w:top w:val="nil"/>
              <w:left w:val="nil"/>
              <w:bottom w:val="nil"/>
              <w:right w:val="nil"/>
            </w:tcBorders>
            <w:shd w:val="clear" w:color="000000" w:fill="D9D9D9"/>
            <w:noWrap/>
            <w:vAlign w:val="center"/>
            <w:hideMark/>
          </w:tcPr>
          <w:p w14:paraId="4B24A4AC"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57CE2E6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2,449/3,049</w:t>
            </w:r>
          </w:p>
        </w:tc>
        <w:tc>
          <w:tcPr>
            <w:tcW w:w="1121" w:type="dxa"/>
            <w:tcBorders>
              <w:top w:val="nil"/>
              <w:left w:val="nil"/>
              <w:bottom w:val="nil"/>
              <w:right w:val="nil"/>
            </w:tcBorders>
            <w:shd w:val="clear" w:color="000000" w:fill="D9D9D9"/>
            <w:noWrap/>
            <w:vAlign w:val="center"/>
            <w:hideMark/>
          </w:tcPr>
          <w:p w14:paraId="1BD7100B" w14:textId="39F88B2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48F3BA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5F15934"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2,863/3,722</w:t>
            </w:r>
          </w:p>
        </w:tc>
        <w:tc>
          <w:tcPr>
            <w:tcW w:w="1121" w:type="dxa"/>
            <w:tcBorders>
              <w:top w:val="nil"/>
              <w:left w:val="nil"/>
              <w:bottom w:val="nil"/>
              <w:right w:val="nil"/>
            </w:tcBorders>
            <w:shd w:val="clear" w:color="000000" w:fill="D9D9D9"/>
            <w:noWrap/>
            <w:vAlign w:val="center"/>
            <w:hideMark/>
          </w:tcPr>
          <w:p w14:paraId="36F7F54F" w14:textId="7A8D26B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18AB43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131482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3,662/4,995</w:t>
            </w:r>
          </w:p>
        </w:tc>
        <w:tc>
          <w:tcPr>
            <w:tcW w:w="1121" w:type="dxa"/>
            <w:tcBorders>
              <w:top w:val="nil"/>
              <w:left w:val="nil"/>
              <w:bottom w:val="nil"/>
              <w:right w:val="nil"/>
            </w:tcBorders>
            <w:shd w:val="clear" w:color="000000" w:fill="D9D9D9"/>
            <w:noWrap/>
            <w:vAlign w:val="center"/>
            <w:hideMark/>
          </w:tcPr>
          <w:p w14:paraId="7AA9B849" w14:textId="33F230C1"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5C0FCA9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64DC0FA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4,359/6,493</w:t>
            </w:r>
          </w:p>
        </w:tc>
        <w:tc>
          <w:tcPr>
            <w:tcW w:w="1270" w:type="dxa"/>
            <w:tcBorders>
              <w:top w:val="nil"/>
              <w:left w:val="nil"/>
              <w:bottom w:val="nil"/>
              <w:right w:val="nil"/>
            </w:tcBorders>
            <w:shd w:val="clear" w:color="000000" w:fill="D9D9D9"/>
            <w:noWrap/>
            <w:vAlign w:val="center"/>
            <w:hideMark/>
          </w:tcPr>
          <w:p w14:paraId="69511264" w14:textId="11145BC2"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67.1</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63B844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44EA4F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4,956/7,901</w:t>
            </w:r>
          </w:p>
        </w:tc>
        <w:tc>
          <w:tcPr>
            <w:tcW w:w="1126" w:type="dxa"/>
            <w:tcBorders>
              <w:top w:val="nil"/>
              <w:left w:val="nil"/>
              <w:bottom w:val="nil"/>
              <w:right w:val="nil"/>
            </w:tcBorders>
            <w:shd w:val="clear" w:color="000000" w:fill="D9D9D9"/>
            <w:noWrap/>
            <w:vAlign w:val="center"/>
            <w:hideMark/>
          </w:tcPr>
          <w:p w14:paraId="281B2CF0" w14:textId="037592E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62.7</w:t>
            </w:r>
            <w:r>
              <w:rPr>
                <w:rFonts w:ascii="Calibri" w:eastAsia="Times New Roman" w:hAnsi="Calibri" w:cs="Calibri"/>
                <w:color w:val="000000"/>
                <w:sz w:val="24"/>
                <w:szCs w:val="24"/>
              </w:rPr>
              <w:t>%</w:t>
            </w:r>
          </w:p>
        </w:tc>
      </w:tr>
      <w:tr w:rsidR="001D0907" w:rsidRPr="002B546D" w14:paraId="4E8F2066" w14:textId="77777777" w:rsidTr="00FD42DD">
        <w:trPr>
          <w:trHeight w:val="316"/>
        </w:trPr>
        <w:tc>
          <w:tcPr>
            <w:tcW w:w="1273" w:type="dxa"/>
            <w:tcBorders>
              <w:top w:val="nil"/>
              <w:left w:val="nil"/>
              <w:bottom w:val="nil"/>
              <w:right w:val="nil"/>
            </w:tcBorders>
            <w:shd w:val="clear" w:color="auto" w:fill="auto"/>
            <w:noWrap/>
            <w:vAlign w:val="center"/>
            <w:hideMark/>
          </w:tcPr>
          <w:p w14:paraId="18349EA9"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35B789B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3,457/3,880</w:t>
            </w:r>
          </w:p>
        </w:tc>
        <w:tc>
          <w:tcPr>
            <w:tcW w:w="1121" w:type="dxa"/>
            <w:tcBorders>
              <w:top w:val="nil"/>
              <w:left w:val="nil"/>
              <w:bottom w:val="nil"/>
              <w:right w:val="nil"/>
            </w:tcBorders>
            <w:shd w:val="clear" w:color="auto" w:fill="auto"/>
            <w:noWrap/>
            <w:vAlign w:val="center"/>
            <w:hideMark/>
          </w:tcPr>
          <w:p w14:paraId="5D2B26E4" w14:textId="09B302C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89.1</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5B7FEADE"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5562320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3,972/4,548</w:t>
            </w:r>
          </w:p>
        </w:tc>
        <w:tc>
          <w:tcPr>
            <w:tcW w:w="1121" w:type="dxa"/>
            <w:tcBorders>
              <w:top w:val="nil"/>
              <w:left w:val="nil"/>
              <w:bottom w:val="nil"/>
              <w:right w:val="nil"/>
            </w:tcBorders>
            <w:shd w:val="clear" w:color="auto" w:fill="auto"/>
            <w:noWrap/>
            <w:vAlign w:val="center"/>
            <w:hideMark/>
          </w:tcPr>
          <w:p w14:paraId="3325CED2" w14:textId="18177EDD"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87.3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4C7C226F"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5141D57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4,587/5,416</w:t>
            </w:r>
          </w:p>
        </w:tc>
        <w:tc>
          <w:tcPr>
            <w:tcW w:w="1121" w:type="dxa"/>
            <w:tcBorders>
              <w:top w:val="nil"/>
              <w:left w:val="nil"/>
              <w:bottom w:val="nil"/>
              <w:right w:val="nil"/>
            </w:tcBorders>
            <w:shd w:val="clear" w:color="auto" w:fill="auto"/>
            <w:noWrap/>
            <w:vAlign w:val="center"/>
            <w:hideMark/>
          </w:tcPr>
          <w:p w14:paraId="65A7FC17" w14:textId="0F3843E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84.7</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787EFCD5"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3AB6689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5,930/7,289</w:t>
            </w:r>
          </w:p>
        </w:tc>
        <w:tc>
          <w:tcPr>
            <w:tcW w:w="1270" w:type="dxa"/>
            <w:tcBorders>
              <w:top w:val="nil"/>
              <w:left w:val="nil"/>
              <w:bottom w:val="nil"/>
              <w:right w:val="nil"/>
            </w:tcBorders>
            <w:shd w:val="clear" w:color="auto" w:fill="auto"/>
            <w:noWrap/>
            <w:vAlign w:val="center"/>
            <w:hideMark/>
          </w:tcPr>
          <w:p w14:paraId="02D77ABF" w14:textId="6A0CFF2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81.4</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1F8C979A"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6FA0BAD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6,313/7,801</w:t>
            </w:r>
          </w:p>
        </w:tc>
        <w:tc>
          <w:tcPr>
            <w:tcW w:w="1126" w:type="dxa"/>
            <w:tcBorders>
              <w:top w:val="nil"/>
              <w:left w:val="nil"/>
              <w:bottom w:val="nil"/>
              <w:right w:val="nil"/>
            </w:tcBorders>
            <w:shd w:val="clear" w:color="auto" w:fill="auto"/>
            <w:noWrap/>
            <w:vAlign w:val="center"/>
            <w:hideMark/>
          </w:tcPr>
          <w:p w14:paraId="042D07C1" w14:textId="30E39C3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80.9</w:t>
            </w:r>
            <w:r>
              <w:rPr>
                <w:rFonts w:ascii="Calibri" w:eastAsia="Times New Roman" w:hAnsi="Calibri" w:cs="Calibri"/>
                <w:color w:val="000000"/>
                <w:sz w:val="24"/>
                <w:szCs w:val="24"/>
              </w:rPr>
              <w:t>%</w:t>
            </w:r>
          </w:p>
        </w:tc>
      </w:tr>
      <w:tr w:rsidR="001D0907" w:rsidRPr="002B546D" w14:paraId="30F55A27" w14:textId="77777777" w:rsidTr="00FD42DD">
        <w:trPr>
          <w:trHeight w:val="316"/>
        </w:trPr>
        <w:tc>
          <w:tcPr>
            <w:tcW w:w="1273" w:type="dxa"/>
            <w:tcBorders>
              <w:top w:val="nil"/>
              <w:left w:val="nil"/>
              <w:bottom w:val="nil"/>
              <w:right w:val="nil"/>
            </w:tcBorders>
            <w:shd w:val="clear" w:color="000000" w:fill="D9D9D9"/>
            <w:noWrap/>
            <w:vAlign w:val="center"/>
            <w:hideMark/>
          </w:tcPr>
          <w:p w14:paraId="63DAC61D"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000000" w:fill="D9D9D9"/>
            <w:noWrap/>
            <w:vAlign w:val="center"/>
            <w:hideMark/>
          </w:tcPr>
          <w:p w14:paraId="5AEF374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14,419/16,155</w:t>
            </w:r>
          </w:p>
        </w:tc>
        <w:tc>
          <w:tcPr>
            <w:tcW w:w="1121" w:type="dxa"/>
            <w:tcBorders>
              <w:top w:val="nil"/>
              <w:left w:val="nil"/>
              <w:bottom w:val="nil"/>
              <w:right w:val="nil"/>
            </w:tcBorders>
            <w:shd w:val="clear" w:color="000000" w:fill="D9D9D9"/>
            <w:noWrap/>
            <w:vAlign w:val="center"/>
            <w:hideMark/>
          </w:tcPr>
          <w:p w14:paraId="26296CFA" w14:textId="57EF6D6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89.3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E466AC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0E7BBB8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15,636/17,736</w:t>
            </w:r>
          </w:p>
        </w:tc>
        <w:tc>
          <w:tcPr>
            <w:tcW w:w="1121" w:type="dxa"/>
            <w:tcBorders>
              <w:top w:val="nil"/>
              <w:left w:val="nil"/>
              <w:bottom w:val="nil"/>
              <w:right w:val="nil"/>
            </w:tcBorders>
            <w:shd w:val="clear" w:color="000000" w:fill="D9D9D9"/>
            <w:noWrap/>
            <w:vAlign w:val="center"/>
            <w:hideMark/>
          </w:tcPr>
          <w:p w14:paraId="3BD5CBFC" w14:textId="5222E27F"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88.2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3FF674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4828E0E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15,925/18,760</w:t>
            </w:r>
          </w:p>
        </w:tc>
        <w:tc>
          <w:tcPr>
            <w:tcW w:w="1121" w:type="dxa"/>
            <w:tcBorders>
              <w:top w:val="nil"/>
              <w:left w:val="nil"/>
              <w:bottom w:val="nil"/>
              <w:right w:val="nil"/>
            </w:tcBorders>
            <w:shd w:val="clear" w:color="000000" w:fill="D9D9D9"/>
            <w:noWrap/>
            <w:vAlign w:val="center"/>
            <w:hideMark/>
          </w:tcPr>
          <w:p w14:paraId="634827C0" w14:textId="0F47A20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84.9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229CEE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78F48D0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14,769/18,381</w:t>
            </w:r>
          </w:p>
        </w:tc>
        <w:tc>
          <w:tcPr>
            <w:tcW w:w="1270" w:type="dxa"/>
            <w:tcBorders>
              <w:top w:val="nil"/>
              <w:left w:val="nil"/>
              <w:bottom w:val="nil"/>
              <w:right w:val="nil"/>
            </w:tcBorders>
            <w:shd w:val="clear" w:color="000000" w:fill="D9D9D9"/>
            <w:noWrap/>
            <w:vAlign w:val="center"/>
            <w:hideMark/>
          </w:tcPr>
          <w:p w14:paraId="58D31617" w14:textId="3A4A792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3503546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5BC9203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14,014/17,968</w:t>
            </w:r>
          </w:p>
        </w:tc>
        <w:tc>
          <w:tcPr>
            <w:tcW w:w="1126" w:type="dxa"/>
            <w:tcBorders>
              <w:top w:val="nil"/>
              <w:left w:val="nil"/>
              <w:bottom w:val="nil"/>
              <w:right w:val="nil"/>
            </w:tcBorders>
            <w:shd w:val="clear" w:color="000000" w:fill="D9D9D9"/>
            <w:noWrap/>
            <w:vAlign w:val="center"/>
            <w:hideMark/>
          </w:tcPr>
          <w:p w14:paraId="4DE6F943" w14:textId="2F1735E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78.0</w:t>
            </w:r>
            <w:r>
              <w:rPr>
                <w:rFonts w:ascii="Calibri" w:eastAsia="Times New Roman" w:hAnsi="Calibri" w:cs="Calibri"/>
                <w:color w:val="000000"/>
                <w:sz w:val="24"/>
                <w:szCs w:val="24"/>
              </w:rPr>
              <w:t>%</w:t>
            </w:r>
          </w:p>
        </w:tc>
      </w:tr>
      <w:tr w:rsidR="001D0907" w:rsidRPr="002B546D" w14:paraId="60E4EFD0" w14:textId="77777777" w:rsidTr="00FD42DD">
        <w:trPr>
          <w:trHeight w:val="87"/>
        </w:trPr>
        <w:tc>
          <w:tcPr>
            <w:tcW w:w="1273" w:type="dxa"/>
            <w:tcBorders>
              <w:top w:val="nil"/>
              <w:left w:val="nil"/>
              <w:bottom w:val="nil"/>
              <w:right w:val="nil"/>
            </w:tcBorders>
            <w:shd w:val="clear" w:color="auto" w:fill="FFFFFF" w:themeFill="background1"/>
            <w:noWrap/>
            <w:vAlign w:val="center"/>
            <w:hideMark/>
          </w:tcPr>
          <w:p w14:paraId="4F9069B3" w14:textId="77777777" w:rsidR="001D0907" w:rsidRPr="002B546D" w:rsidRDefault="001D0907" w:rsidP="001D0907">
            <w:pPr>
              <w:spacing w:after="0" w:line="240" w:lineRule="auto"/>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864" w:type="dxa"/>
            <w:tcBorders>
              <w:top w:val="nil"/>
              <w:left w:val="nil"/>
              <w:bottom w:val="nil"/>
              <w:right w:val="nil"/>
            </w:tcBorders>
            <w:shd w:val="clear" w:color="auto" w:fill="FFFFFF" w:themeFill="background1"/>
            <w:noWrap/>
            <w:vAlign w:val="center"/>
            <w:hideMark/>
          </w:tcPr>
          <w:p w14:paraId="7233E891"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121" w:type="dxa"/>
            <w:tcBorders>
              <w:top w:val="nil"/>
              <w:left w:val="nil"/>
              <w:bottom w:val="nil"/>
              <w:right w:val="nil"/>
            </w:tcBorders>
            <w:shd w:val="clear" w:color="auto" w:fill="FFFFFF" w:themeFill="background1"/>
            <w:noWrap/>
            <w:vAlign w:val="center"/>
            <w:hideMark/>
          </w:tcPr>
          <w:p w14:paraId="4C6DFC22"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307" w:type="dxa"/>
            <w:tcBorders>
              <w:top w:val="nil"/>
              <w:left w:val="nil"/>
              <w:bottom w:val="nil"/>
              <w:right w:val="nil"/>
            </w:tcBorders>
            <w:shd w:val="clear" w:color="auto" w:fill="FFFFFF" w:themeFill="background1"/>
            <w:vAlign w:val="center"/>
            <w:hideMark/>
          </w:tcPr>
          <w:p w14:paraId="326E8F20"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864" w:type="dxa"/>
            <w:tcBorders>
              <w:top w:val="nil"/>
              <w:left w:val="nil"/>
              <w:bottom w:val="nil"/>
              <w:right w:val="nil"/>
            </w:tcBorders>
            <w:shd w:val="clear" w:color="auto" w:fill="FFFFFF" w:themeFill="background1"/>
            <w:noWrap/>
            <w:vAlign w:val="center"/>
            <w:hideMark/>
          </w:tcPr>
          <w:p w14:paraId="5675923E"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121" w:type="dxa"/>
            <w:tcBorders>
              <w:top w:val="nil"/>
              <w:left w:val="nil"/>
              <w:bottom w:val="nil"/>
              <w:right w:val="nil"/>
            </w:tcBorders>
            <w:shd w:val="clear" w:color="auto" w:fill="FFFFFF" w:themeFill="background1"/>
            <w:noWrap/>
            <w:vAlign w:val="center"/>
            <w:hideMark/>
          </w:tcPr>
          <w:p w14:paraId="777849A2"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307" w:type="dxa"/>
            <w:tcBorders>
              <w:top w:val="nil"/>
              <w:left w:val="nil"/>
              <w:bottom w:val="nil"/>
              <w:right w:val="nil"/>
            </w:tcBorders>
            <w:shd w:val="clear" w:color="auto" w:fill="FFFFFF" w:themeFill="background1"/>
            <w:vAlign w:val="center"/>
            <w:hideMark/>
          </w:tcPr>
          <w:p w14:paraId="5CADC862"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864" w:type="dxa"/>
            <w:tcBorders>
              <w:top w:val="nil"/>
              <w:left w:val="nil"/>
              <w:bottom w:val="nil"/>
              <w:right w:val="nil"/>
            </w:tcBorders>
            <w:shd w:val="clear" w:color="auto" w:fill="FFFFFF" w:themeFill="background1"/>
            <w:noWrap/>
            <w:vAlign w:val="center"/>
            <w:hideMark/>
          </w:tcPr>
          <w:p w14:paraId="11ED2D3F"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121" w:type="dxa"/>
            <w:tcBorders>
              <w:top w:val="nil"/>
              <w:left w:val="nil"/>
              <w:bottom w:val="nil"/>
              <w:right w:val="nil"/>
            </w:tcBorders>
            <w:shd w:val="clear" w:color="auto" w:fill="FFFFFF" w:themeFill="background1"/>
            <w:noWrap/>
            <w:vAlign w:val="center"/>
            <w:hideMark/>
          </w:tcPr>
          <w:p w14:paraId="52ED94F7"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307" w:type="dxa"/>
            <w:tcBorders>
              <w:top w:val="nil"/>
              <w:left w:val="nil"/>
              <w:bottom w:val="nil"/>
              <w:right w:val="nil"/>
            </w:tcBorders>
            <w:shd w:val="clear" w:color="auto" w:fill="FFFFFF" w:themeFill="background1"/>
            <w:vAlign w:val="center"/>
            <w:hideMark/>
          </w:tcPr>
          <w:p w14:paraId="7F78A1B7"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864" w:type="dxa"/>
            <w:tcBorders>
              <w:top w:val="nil"/>
              <w:left w:val="nil"/>
              <w:bottom w:val="nil"/>
              <w:right w:val="nil"/>
            </w:tcBorders>
            <w:shd w:val="clear" w:color="auto" w:fill="FFFFFF" w:themeFill="background1"/>
            <w:noWrap/>
            <w:vAlign w:val="center"/>
            <w:hideMark/>
          </w:tcPr>
          <w:p w14:paraId="51E0EF74"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270" w:type="dxa"/>
            <w:tcBorders>
              <w:top w:val="nil"/>
              <w:left w:val="nil"/>
              <w:bottom w:val="nil"/>
              <w:right w:val="nil"/>
            </w:tcBorders>
            <w:shd w:val="clear" w:color="auto" w:fill="FFFFFF" w:themeFill="background1"/>
            <w:noWrap/>
            <w:vAlign w:val="center"/>
            <w:hideMark/>
          </w:tcPr>
          <w:p w14:paraId="3D4F064A"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307" w:type="dxa"/>
            <w:tcBorders>
              <w:top w:val="nil"/>
              <w:left w:val="nil"/>
              <w:bottom w:val="nil"/>
              <w:right w:val="nil"/>
            </w:tcBorders>
            <w:shd w:val="clear" w:color="auto" w:fill="FFFFFF" w:themeFill="background1"/>
            <w:vAlign w:val="center"/>
            <w:hideMark/>
          </w:tcPr>
          <w:p w14:paraId="1BB113DC"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864" w:type="dxa"/>
            <w:tcBorders>
              <w:top w:val="nil"/>
              <w:left w:val="nil"/>
              <w:bottom w:val="nil"/>
              <w:right w:val="nil"/>
            </w:tcBorders>
            <w:shd w:val="clear" w:color="auto" w:fill="FFFFFF" w:themeFill="background1"/>
            <w:noWrap/>
            <w:vAlign w:val="center"/>
            <w:hideMark/>
          </w:tcPr>
          <w:p w14:paraId="7353A3A1"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c>
          <w:tcPr>
            <w:tcW w:w="1126" w:type="dxa"/>
            <w:tcBorders>
              <w:top w:val="nil"/>
              <w:left w:val="nil"/>
              <w:bottom w:val="nil"/>
              <w:right w:val="nil"/>
            </w:tcBorders>
            <w:shd w:val="clear" w:color="auto" w:fill="FFFFFF" w:themeFill="background1"/>
            <w:noWrap/>
            <w:vAlign w:val="center"/>
            <w:hideMark/>
          </w:tcPr>
          <w:p w14:paraId="6AB946FB" w14:textId="77777777" w:rsidR="001D0907" w:rsidRPr="002B546D" w:rsidRDefault="001D0907" w:rsidP="001D0907">
            <w:pPr>
              <w:spacing w:after="0" w:line="240" w:lineRule="auto"/>
              <w:jc w:val="center"/>
              <w:rPr>
                <w:rFonts w:ascii="Calibri" w:eastAsia="Times New Roman" w:hAnsi="Calibri" w:cs="Calibri"/>
                <w:color w:val="000000"/>
                <w:sz w:val="10"/>
                <w:szCs w:val="10"/>
              </w:rPr>
            </w:pPr>
            <w:r w:rsidRPr="002B546D">
              <w:rPr>
                <w:rFonts w:ascii="Calibri" w:eastAsia="Times New Roman" w:hAnsi="Calibri" w:cs="Calibri"/>
                <w:color w:val="000000"/>
                <w:sz w:val="10"/>
                <w:szCs w:val="10"/>
              </w:rPr>
              <w:t> </w:t>
            </w:r>
          </w:p>
        </w:tc>
      </w:tr>
      <w:tr w:rsidR="001D0907" w:rsidRPr="002B546D" w14:paraId="556DDC16" w14:textId="77777777" w:rsidTr="00FD42DD">
        <w:trPr>
          <w:trHeight w:val="316"/>
        </w:trPr>
        <w:tc>
          <w:tcPr>
            <w:tcW w:w="17580" w:type="dxa"/>
            <w:gridSpan w:val="15"/>
            <w:tcBorders>
              <w:top w:val="nil"/>
              <w:left w:val="nil"/>
              <w:bottom w:val="nil"/>
              <w:right w:val="nil"/>
            </w:tcBorders>
            <w:shd w:val="clear" w:color="auto" w:fill="auto"/>
            <w:noWrap/>
            <w:vAlign w:val="center"/>
            <w:hideMark/>
          </w:tcPr>
          <w:p w14:paraId="64C78608" w14:textId="1E3E63B7" w:rsidR="001D0907" w:rsidRPr="002B546D" w:rsidRDefault="001D0907" w:rsidP="001D0907">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Sex with an anonymous partner</w:t>
            </w:r>
          </w:p>
        </w:tc>
      </w:tr>
      <w:tr w:rsidR="001D0907" w:rsidRPr="002B546D" w14:paraId="5FD94BF0" w14:textId="77777777" w:rsidTr="00FD42DD">
        <w:trPr>
          <w:trHeight w:val="316"/>
        </w:trPr>
        <w:tc>
          <w:tcPr>
            <w:tcW w:w="1273" w:type="dxa"/>
            <w:tcBorders>
              <w:top w:val="nil"/>
              <w:left w:val="nil"/>
              <w:bottom w:val="nil"/>
              <w:right w:val="nil"/>
            </w:tcBorders>
            <w:shd w:val="clear" w:color="000000" w:fill="D9D9D9"/>
            <w:noWrap/>
            <w:vAlign w:val="center"/>
            <w:hideMark/>
          </w:tcPr>
          <w:p w14:paraId="72A12981"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2BC2412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2,406/3,049</w:t>
            </w:r>
          </w:p>
        </w:tc>
        <w:tc>
          <w:tcPr>
            <w:tcW w:w="1121" w:type="dxa"/>
            <w:tcBorders>
              <w:top w:val="nil"/>
              <w:left w:val="nil"/>
              <w:bottom w:val="nil"/>
              <w:right w:val="nil"/>
            </w:tcBorders>
            <w:shd w:val="clear" w:color="000000" w:fill="D9D9D9"/>
            <w:noWrap/>
            <w:vAlign w:val="center"/>
            <w:hideMark/>
          </w:tcPr>
          <w:p w14:paraId="564B83B6" w14:textId="46142026"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A08BC94"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C373CFA"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2,849/3,722</w:t>
            </w:r>
          </w:p>
        </w:tc>
        <w:tc>
          <w:tcPr>
            <w:tcW w:w="1121" w:type="dxa"/>
            <w:tcBorders>
              <w:top w:val="nil"/>
              <w:left w:val="nil"/>
              <w:bottom w:val="nil"/>
              <w:right w:val="nil"/>
            </w:tcBorders>
            <w:shd w:val="clear" w:color="000000" w:fill="D9D9D9"/>
            <w:noWrap/>
            <w:vAlign w:val="center"/>
            <w:hideMark/>
          </w:tcPr>
          <w:p w14:paraId="5E2B1A09" w14:textId="737564A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3692B59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54D586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3,496/4,995</w:t>
            </w:r>
          </w:p>
        </w:tc>
        <w:tc>
          <w:tcPr>
            <w:tcW w:w="1121" w:type="dxa"/>
            <w:tcBorders>
              <w:top w:val="nil"/>
              <w:left w:val="nil"/>
              <w:bottom w:val="nil"/>
              <w:right w:val="nil"/>
            </w:tcBorders>
            <w:shd w:val="clear" w:color="000000" w:fill="D9D9D9"/>
            <w:noWrap/>
            <w:vAlign w:val="center"/>
            <w:hideMark/>
          </w:tcPr>
          <w:p w14:paraId="7344DBCD" w14:textId="16A6673A"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70.0</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33B141C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23473B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4,450/6,493</w:t>
            </w:r>
          </w:p>
        </w:tc>
        <w:tc>
          <w:tcPr>
            <w:tcW w:w="1270" w:type="dxa"/>
            <w:tcBorders>
              <w:top w:val="nil"/>
              <w:left w:val="nil"/>
              <w:bottom w:val="nil"/>
              <w:right w:val="nil"/>
            </w:tcBorders>
            <w:shd w:val="clear" w:color="000000" w:fill="D9D9D9"/>
            <w:noWrap/>
            <w:vAlign w:val="center"/>
            <w:hideMark/>
          </w:tcPr>
          <w:p w14:paraId="2148DF58" w14:textId="1DDAD83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68.5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03AD09F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063F7CA"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5,077/7,901</w:t>
            </w:r>
          </w:p>
        </w:tc>
        <w:tc>
          <w:tcPr>
            <w:tcW w:w="1126" w:type="dxa"/>
            <w:tcBorders>
              <w:top w:val="nil"/>
              <w:left w:val="nil"/>
              <w:bottom w:val="nil"/>
              <w:right w:val="nil"/>
            </w:tcBorders>
            <w:shd w:val="clear" w:color="000000" w:fill="D9D9D9"/>
            <w:noWrap/>
            <w:vAlign w:val="center"/>
            <w:hideMark/>
          </w:tcPr>
          <w:p w14:paraId="3625B68F" w14:textId="3F73E6FA"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64.3</w:t>
            </w:r>
            <w:r>
              <w:rPr>
                <w:rFonts w:ascii="Calibri" w:eastAsia="Times New Roman" w:hAnsi="Calibri" w:cs="Calibri"/>
                <w:color w:val="000000"/>
                <w:sz w:val="24"/>
                <w:szCs w:val="24"/>
              </w:rPr>
              <w:t>%</w:t>
            </w:r>
          </w:p>
        </w:tc>
      </w:tr>
      <w:tr w:rsidR="001D0907" w:rsidRPr="002B546D" w14:paraId="25EC6617" w14:textId="77777777" w:rsidTr="00FD42DD">
        <w:trPr>
          <w:trHeight w:val="316"/>
        </w:trPr>
        <w:tc>
          <w:tcPr>
            <w:tcW w:w="1273" w:type="dxa"/>
            <w:tcBorders>
              <w:top w:val="nil"/>
              <w:left w:val="nil"/>
              <w:bottom w:val="nil"/>
              <w:right w:val="nil"/>
            </w:tcBorders>
            <w:shd w:val="clear" w:color="auto" w:fill="auto"/>
            <w:noWrap/>
            <w:vAlign w:val="center"/>
            <w:hideMark/>
          </w:tcPr>
          <w:p w14:paraId="2E4314AC"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5E7CE63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3,312/3,880</w:t>
            </w:r>
          </w:p>
        </w:tc>
        <w:tc>
          <w:tcPr>
            <w:tcW w:w="1121" w:type="dxa"/>
            <w:tcBorders>
              <w:top w:val="nil"/>
              <w:left w:val="nil"/>
              <w:bottom w:val="nil"/>
              <w:right w:val="nil"/>
            </w:tcBorders>
            <w:shd w:val="clear" w:color="auto" w:fill="auto"/>
            <w:noWrap/>
            <w:vAlign w:val="center"/>
            <w:hideMark/>
          </w:tcPr>
          <w:p w14:paraId="7897F297" w14:textId="6F885D2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85.4</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7842704E"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27DB5E7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3,848/4,548</w:t>
            </w:r>
          </w:p>
        </w:tc>
        <w:tc>
          <w:tcPr>
            <w:tcW w:w="1121" w:type="dxa"/>
            <w:tcBorders>
              <w:top w:val="nil"/>
              <w:left w:val="nil"/>
              <w:bottom w:val="nil"/>
              <w:right w:val="nil"/>
            </w:tcBorders>
            <w:shd w:val="clear" w:color="auto" w:fill="auto"/>
            <w:noWrap/>
            <w:vAlign w:val="center"/>
            <w:hideMark/>
          </w:tcPr>
          <w:p w14:paraId="25C2E381" w14:textId="75E4C096"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84.6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409E8628"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1C8D928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4,435/5,416</w:t>
            </w:r>
          </w:p>
        </w:tc>
        <w:tc>
          <w:tcPr>
            <w:tcW w:w="1121" w:type="dxa"/>
            <w:tcBorders>
              <w:top w:val="nil"/>
              <w:left w:val="nil"/>
              <w:bottom w:val="nil"/>
              <w:right w:val="nil"/>
            </w:tcBorders>
            <w:shd w:val="clear" w:color="auto" w:fill="auto"/>
            <w:noWrap/>
            <w:vAlign w:val="center"/>
            <w:hideMark/>
          </w:tcPr>
          <w:p w14:paraId="7E3A673B" w14:textId="6B96067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219732C1"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4082D46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6,065/7,289</w:t>
            </w:r>
          </w:p>
        </w:tc>
        <w:tc>
          <w:tcPr>
            <w:tcW w:w="1270" w:type="dxa"/>
            <w:tcBorders>
              <w:top w:val="nil"/>
              <w:left w:val="nil"/>
              <w:bottom w:val="nil"/>
              <w:right w:val="nil"/>
            </w:tcBorders>
            <w:shd w:val="clear" w:color="auto" w:fill="auto"/>
            <w:noWrap/>
            <w:vAlign w:val="center"/>
            <w:hideMark/>
          </w:tcPr>
          <w:p w14:paraId="761A64E7" w14:textId="2376DE8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83.2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6D9DDFAF"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5C9B40D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6,446/7,801</w:t>
            </w:r>
          </w:p>
        </w:tc>
        <w:tc>
          <w:tcPr>
            <w:tcW w:w="1126" w:type="dxa"/>
            <w:tcBorders>
              <w:top w:val="nil"/>
              <w:left w:val="nil"/>
              <w:bottom w:val="nil"/>
              <w:right w:val="nil"/>
            </w:tcBorders>
            <w:shd w:val="clear" w:color="auto" w:fill="auto"/>
            <w:noWrap/>
            <w:vAlign w:val="center"/>
            <w:hideMark/>
          </w:tcPr>
          <w:p w14:paraId="4B12A90E" w14:textId="41E30672"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82.6</w:t>
            </w:r>
            <w:r>
              <w:rPr>
                <w:rFonts w:ascii="Calibri" w:eastAsia="Times New Roman" w:hAnsi="Calibri" w:cs="Calibri"/>
                <w:color w:val="000000"/>
                <w:sz w:val="24"/>
                <w:szCs w:val="24"/>
              </w:rPr>
              <w:t>%</w:t>
            </w:r>
          </w:p>
        </w:tc>
      </w:tr>
      <w:tr w:rsidR="001D0907" w:rsidRPr="002B546D" w14:paraId="1AAB4B50" w14:textId="77777777" w:rsidTr="00FD42DD">
        <w:trPr>
          <w:trHeight w:val="316"/>
        </w:trPr>
        <w:tc>
          <w:tcPr>
            <w:tcW w:w="1273" w:type="dxa"/>
            <w:tcBorders>
              <w:top w:val="nil"/>
              <w:left w:val="nil"/>
              <w:bottom w:val="nil"/>
              <w:right w:val="nil"/>
            </w:tcBorders>
            <w:shd w:val="clear" w:color="000000" w:fill="D9D9D9"/>
            <w:noWrap/>
            <w:vAlign w:val="center"/>
            <w:hideMark/>
          </w:tcPr>
          <w:p w14:paraId="79153853"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000000" w:fill="D9D9D9"/>
            <w:noWrap/>
            <w:vAlign w:val="center"/>
            <w:hideMark/>
          </w:tcPr>
          <w:p w14:paraId="3E1EBC4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13,957/16,155</w:t>
            </w:r>
          </w:p>
        </w:tc>
        <w:tc>
          <w:tcPr>
            <w:tcW w:w="1121" w:type="dxa"/>
            <w:tcBorders>
              <w:top w:val="nil"/>
              <w:left w:val="nil"/>
              <w:bottom w:val="nil"/>
              <w:right w:val="nil"/>
            </w:tcBorders>
            <w:shd w:val="clear" w:color="000000" w:fill="D9D9D9"/>
            <w:noWrap/>
            <w:vAlign w:val="center"/>
            <w:hideMark/>
          </w:tcPr>
          <w:p w14:paraId="3C2A51B4" w14:textId="35A8691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86.4</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3E8D32A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49DDA08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15,113/17,736</w:t>
            </w:r>
          </w:p>
        </w:tc>
        <w:tc>
          <w:tcPr>
            <w:tcW w:w="1121" w:type="dxa"/>
            <w:tcBorders>
              <w:top w:val="nil"/>
              <w:left w:val="nil"/>
              <w:bottom w:val="nil"/>
              <w:right w:val="nil"/>
            </w:tcBorders>
            <w:shd w:val="clear" w:color="000000" w:fill="D9D9D9"/>
            <w:noWrap/>
            <w:vAlign w:val="center"/>
            <w:hideMark/>
          </w:tcPr>
          <w:p w14:paraId="5663ABFD" w14:textId="3441DB8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48C9E00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03A5361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14,638/18,760</w:t>
            </w:r>
          </w:p>
        </w:tc>
        <w:tc>
          <w:tcPr>
            <w:tcW w:w="1121" w:type="dxa"/>
            <w:tcBorders>
              <w:top w:val="nil"/>
              <w:left w:val="nil"/>
              <w:bottom w:val="nil"/>
              <w:right w:val="nil"/>
            </w:tcBorders>
            <w:shd w:val="clear" w:color="000000" w:fill="D9D9D9"/>
            <w:noWrap/>
            <w:vAlign w:val="center"/>
            <w:hideMark/>
          </w:tcPr>
          <w:p w14:paraId="7418718F" w14:textId="5111CC5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78.0</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8C9620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0C3642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14,927/18,381</w:t>
            </w:r>
          </w:p>
        </w:tc>
        <w:tc>
          <w:tcPr>
            <w:tcW w:w="1270" w:type="dxa"/>
            <w:tcBorders>
              <w:top w:val="nil"/>
              <w:left w:val="nil"/>
              <w:bottom w:val="nil"/>
              <w:right w:val="nil"/>
            </w:tcBorders>
            <w:shd w:val="clear" w:color="000000" w:fill="D9D9D9"/>
            <w:noWrap/>
            <w:vAlign w:val="center"/>
            <w:hideMark/>
          </w:tcPr>
          <w:p w14:paraId="32E67820" w14:textId="4E9AD2B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4E9B276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144B5E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14,239/17,968</w:t>
            </w:r>
          </w:p>
        </w:tc>
        <w:tc>
          <w:tcPr>
            <w:tcW w:w="1126" w:type="dxa"/>
            <w:tcBorders>
              <w:top w:val="nil"/>
              <w:left w:val="nil"/>
              <w:bottom w:val="nil"/>
              <w:right w:val="nil"/>
            </w:tcBorders>
            <w:shd w:val="clear" w:color="000000" w:fill="D9D9D9"/>
            <w:noWrap/>
            <w:vAlign w:val="center"/>
            <w:hideMark/>
          </w:tcPr>
          <w:p w14:paraId="34040E74" w14:textId="42875F9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79.2</w:t>
            </w:r>
            <w:r>
              <w:rPr>
                <w:rFonts w:ascii="Calibri" w:eastAsia="Times New Roman" w:hAnsi="Calibri" w:cs="Calibri"/>
                <w:color w:val="000000"/>
                <w:sz w:val="24"/>
                <w:szCs w:val="24"/>
              </w:rPr>
              <w:t>%</w:t>
            </w:r>
          </w:p>
        </w:tc>
      </w:tr>
      <w:tr w:rsidR="001D0907" w:rsidRPr="002B546D" w14:paraId="63C1E36B" w14:textId="77777777" w:rsidTr="00FD42DD">
        <w:trPr>
          <w:trHeight w:val="87"/>
        </w:trPr>
        <w:tc>
          <w:tcPr>
            <w:tcW w:w="1273" w:type="dxa"/>
            <w:tcBorders>
              <w:top w:val="nil"/>
              <w:left w:val="nil"/>
              <w:bottom w:val="nil"/>
              <w:right w:val="nil"/>
            </w:tcBorders>
            <w:shd w:val="clear" w:color="auto" w:fill="auto"/>
            <w:noWrap/>
            <w:vAlign w:val="center"/>
            <w:hideMark/>
          </w:tcPr>
          <w:p w14:paraId="3875075E" w14:textId="77777777" w:rsidR="001D0907" w:rsidRPr="002B546D" w:rsidRDefault="001D0907" w:rsidP="001D0907">
            <w:pPr>
              <w:spacing w:after="0" w:line="240" w:lineRule="auto"/>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7CA869AD" w14:textId="77777777" w:rsidR="001D0907" w:rsidRPr="002B546D" w:rsidRDefault="001D0907" w:rsidP="001D0907">
            <w:pPr>
              <w:spacing w:after="0" w:line="240" w:lineRule="auto"/>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63EB0B74"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4B2359DA"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263ACB93"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38A095E7"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03A38E0C"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348D0EA5"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227790D5"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5FFBFA64"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60C1C550" w14:textId="77777777" w:rsidR="001D0907" w:rsidRPr="002B546D" w:rsidRDefault="001D0907" w:rsidP="001D0907">
            <w:pPr>
              <w:spacing w:after="0" w:line="240" w:lineRule="auto"/>
              <w:jc w:val="center"/>
              <w:rPr>
                <w:rFonts w:eastAsia="Times New Roman" w:cstheme="minorHAnsi"/>
                <w:sz w:val="10"/>
                <w:szCs w:val="10"/>
              </w:rPr>
            </w:pPr>
          </w:p>
        </w:tc>
        <w:tc>
          <w:tcPr>
            <w:tcW w:w="1270" w:type="dxa"/>
            <w:tcBorders>
              <w:top w:val="nil"/>
              <w:left w:val="nil"/>
              <w:bottom w:val="nil"/>
              <w:right w:val="nil"/>
            </w:tcBorders>
            <w:shd w:val="clear" w:color="auto" w:fill="auto"/>
            <w:noWrap/>
            <w:vAlign w:val="center"/>
            <w:hideMark/>
          </w:tcPr>
          <w:p w14:paraId="04BB78FD"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271D3D1B"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27BDFB51" w14:textId="77777777" w:rsidR="001D0907" w:rsidRPr="002B546D" w:rsidRDefault="001D0907" w:rsidP="001D0907">
            <w:pPr>
              <w:spacing w:after="0" w:line="240" w:lineRule="auto"/>
              <w:jc w:val="center"/>
              <w:rPr>
                <w:rFonts w:eastAsia="Times New Roman" w:cstheme="minorHAnsi"/>
                <w:sz w:val="10"/>
                <w:szCs w:val="10"/>
              </w:rPr>
            </w:pPr>
          </w:p>
        </w:tc>
        <w:tc>
          <w:tcPr>
            <w:tcW w:w="1126" w:type="dxa"/>
            <w:tcBorders>
              <w:top w:val="nil"/>
              <w:left w:val="nil"/>
              <w:bottom w:val="nil"/>
              <w:right w:val="nil"/>
            </w:tcBorders>
            <w:shd w:val="clear" w:color="auto" w:fill="auto"/>
            <w:noWrap/>
            <w:vAlign w:val="center"/>
            <w:hideMark/>
          </w:tcPr>
          <w:p w14:paraId="3E5F2958" w14:textId="77777777" w:rsidR="001D0907" w:rsidRPr="002B546D" w:rsidRDefault="001D0907" w:rsidP="001D0907">
            <w:pPr>
              <w:spacing w:after="0" w:line="240" w:lineRule="auto"/>
              <w:jc w:val="center"/>
              <w:rPr>
                <w:rFonts w:eastAsia="Times New Roman" w:cstheme="minorHAnsi"/>
                <w:sz w:val="10"/>
                <w:szCs w:val="10"/>
              </w:rPr>
            </w:pPr>
          </w:p>
        </w:tc>
      </w:tr>
      <w:tr w:rsidR="001D0907" w:rsidRPr="002B546D" w14:paraId="2F7055D3" w14:textId="77777777" w:rsidTr="004269FE">
        <w:trPr>
          <w:trHeight w:val="316"/>
        </w:trPr>
        <w:tc>
          <w:tcPr>
            <w:tcW w:w="17580" w:type="dxa"/>
            <w:gridSpan w:val="15"/>
            <w:tcBorders>
              <w:top w:val="nil"/>
              <w:left w:val="nil"/>
              <w:bottom w:val="nil"/>
              <w:right w:val="nil"/>
            </w:tcBorders>
            <w:shd w:val="clear" w:color="auto" w:fill="FFFFFF" w:themeFill="background1"/>
            <w:noWrap/>
            <w:vAlign w:val="center"/>
          </w:tcPr>
          <w:p w14:paraId="5C93DC1E" w14:textId="67DFFACA" w:rsidR="001D0907" w:rsidRPr="004269FE" w:rsidRDefault="001D0907" w:rsidP="001D0907">
            <w:pPr>
              <w:spacing w:after="0" w:line="240" w:lineRule="auto"/>
              <w:rPr>
                <w:rFonts w:ascii="Calibri" w:eastAsia="Times New Roman" w:hAnsi="Calibri" w:cs="Calibri"/>
                <w:b/>
                <w:bCs/>
                <w:color w:val="000000"/>
                <w:sz w:val="24"/>
                <w:szCs w:val="24"/>
              </w:rPr>
            </w:pPr>
            <w:r w:rsidRPr="004269FE">
              <w:rPr>
                <w:rFonts w:ascii="Calibri" w:eastAsia="Times New Roman" w:hAnsi="Calibri" w:cs="Calibri"/>
                <w:b/>
                <w:bCs/>
                <w:color w:val="000000"/>
                <w:sz w:val="24"/>
                <w:szCs w:val="24"/>
              </w:rPr>
              <w:t>Sex while intoxicate</w:t>
            </w:r>
            <w:r>
              <w:rPr>
                <w:rFonts w:ascii="Calibri" w:eastAsia="Times New Roman" w:hAnsi="Calibri" w:cs="Calibri"/>
                <w:b/>
                <w:bCs/>
                <w:color w:val="000000"/>
                <w:sz w:val="24"/>
                <w:szCs w:val="24"/>
              </w:rPr>
              <w:t>d</w:t>
            </w:r>
            <w:r w:rsidRPr="004269FE">
              <w:rPr>
                <w:rFonts w:ascii="Calibri" w:eastAsia="Times New Roman" w:hAnsi="Calibri" w:cs="Calibri"/>
                <w:b/>
                <w:bCs/>
                <w:color w:val="000000"/>
                <w:sz w:val="24"/>
                <w:szCs w:val="24"/>
              </w:rPr>
              <w:t>/high on drugs</w:t>
            </w:r>
          </w:p>
        </w:tc>
      </w:tr>
      <w:tr w:rsidR="001D0907" w:rsidRPr="002B546D" w14:paraId="027EF51F" w14:textId="77777777" w:rsidTr="00FD42DD">
        <w:trPr>
          <w:trHeight w:val="316"/>
        </w:trPr>
        <w:tc>
          <w:tcPr>
            <w:tcW w:w="1273" w:type="dxa"/>
            <w:tcBorders>
              <w:top w:val="nil"/>
              <w:left w:val="nil"/>
              <w:bottom w:val="nil"/>
              <w:right w:val="nil"/>
            </w:tcBorders>
            <w:shd w:val="clear" w:color="000000" w:fill="D9D9D9"/>
            <w:noWrap/>
            <w:vAlign w:val="center"/>
            <w:hideMark/>
          </w:tcPr>
          <w:p w14:paraId="70450202"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226AE79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2,401/3,049</w:t>
            </w:r>
          </w:p>
        </w:tc>
        <w:tc>
          <w:tcPr>
            <w:tcW w:w="1121" w:type="dxa"/>
            <w:tcBorders>
              <w:top w:val="nil"/>
              <w:left w:val="nil"/>
              <w:bottom w:val="nil"/>
              <w:right w:val="nil"/>
            </w:tcBorders>
            <w:shd w:val="clear" w:color="000000" w:fill="D9D9D9"/>
            <w:noWrap/>
            <w:vAlign w:val="center"/>
            <w:hideMark/>
          </w:tcPr>
          <w:p w14:paraId="7A442043" w14:textId="684C058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78.7</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296AD5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0983C36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2,844/3,722</w:t>
            </w:r>
          </w:p>
        </w:tc>
        <w:tc>
          <w:tcPr>
            <w:tcW w:w="1121" w:type="dxa"/>
            <w:tcBorders>
              <w:top w:val="nil"/>
              <w:left w:val="nil"/>
              <w:bottom w:val="nil"/>
              <w:right w:val="nil"/>
            </w:tcBorders>
            <w:shd w:val="clear" w:color="000000" w:fill="D9D9D9"/>
            <w:noWrap/>
            <w:vAlign w:val="center"/>
            <w:hideMark/>
          </w:tcPr>
          <w:p w14:paraId="1EEB60F8" w14:textId="75C66AD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76.4</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46F3BFD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01297D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3,470/4,995</w:t>
            </w:r>
          </w:p>
        </w:tc>
        <w:tc>
          <w:tcPr>
            <w:tcW w:w="1121" w:type="dxa"/>
            <w:tcBorders>
              <w:top w:val="nil"/>
              <w:left w:val="nil"/>
              <w:bottom w:val="nil"/>
              <w:right w:val="nil"/>
            </w:tcBorders>
            <w:shd w:val="clear" w:color="000000" w:fill="D9D9D9"/>
            <w:noWrap/>
            <w:vAlign w:val="center"/>
            <w:hideMark/>
          </w:tcPr>
          <w:p w14:paraId="3457973A" w14:textId="3E9E9AE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69.5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F51658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0B10DF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4,256/6,493</w:t>
            </w:r>
          </w:p>
        </w:tc>
        <w:tc>
          <w:tcPr>
            <w:tcW w:w="1270" w:type="dxa"/>
            <w:tcBorders>
              <w:top w:val="nil"/>
              <w:left w:val="nil"/>
              <w:bottom w:val="nil"/>
              <w:right w:val="nil"/>
            </w:tcBorders>
            <w:shd w:val="clear" w:color="000000" w:fill="D9D9D9"/>
            <w:noWrap/>
            <w:vAlign w:val="center"/>
            <w:hideMark/>
          </w:tcPr>
          <w:p w14:paraId="7371845C" w14:textId="1DCF728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65.5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4EFB02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5A450C2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4,873/7,901</w:t>
            </w:r>
          </w:p>
        </w:tc>
        <w:tc>
          <w:tcPr>
            <w:tcW w:w="1126" w:type="dxa"/>
            <w:tcBorders>
              <w:top w:val="nil"/>
              <w:left w:val="nil"/>
              <w:bottom w:val="nil"/>
              <w:right w:val="nil"/>
            </w:tcBorders>
            <w:shd w:val="clear" w:color="000000" w:fill="D9D9D9"/>
            <w:noWrap/>
            <w:vAlign w:val="center"/>
            <w:hideMark/>
          </w:tcPr>
          <w:p w14:paraId="25EFFB0D" w14:textId="60DE10A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61.7</w:t>
            </w:r>
            <w:r>
              <w:rPr>
                <w:rFonts w:ascii="Calibri" w:eastAsia="Times New Roman" w:hAnsi="Calibri" w:cs="Calibri"/>
                <w:color w:val="000000"/>
                <w:sz w:val="24"/>
                <w:szCs w:val="24"/>
              </w:rPr>
              <w:t>%</w:t>
            </w:r>
          </w:p>
        </w:tc>
      </w:tr>
      <w:tr w:rsidR="001D0907" w:rsidRPr="002B546D" w14:paraId="6EF02E78" w14:textId="77777777" w:rsidTr="00FD42DD">
        <w:trPr>
          <w:trHeight w:val="316"/>
        </w:trPr>
        <w:tc>
          <w:tcPr>
            <w:tcW w:w="1273" w:type="dxa"/>
            <w:tcBorders>
              <w:top w:val="nil"/>
              <w:left w:val="nil"/>
              <w:bottom w:val="nil"/>
              <w:right w:val="nil"/>
            </w:tcBorders>
            <w:shd w:val="clear" w:color="auto" w:fill="auto"/>
            <w:noWrap/>
            <w:vAlign w:val="center"/>
            <w:hideMark/>
          </w:tcPr>
          <w:p w14:paraId="5B8E601B"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0009CE5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3,347/3,880</w:t>
            </w:r>
          </w:p>
        </w:tc>
        <w:tc>
          <w:tcPr>
            <w:tcW w:w="1121" w:type="dxa"/>
            <w:tcBorders>
              <w:top w:val="nil"/>
              <w:left w:val="nil"/>
              <w:bottom w:val="nil"/>
              <w:right w:val="nil"/>
            </w:tcBorders>
            <w:shd w:val="clear" w:color="auto" w:fill="auto"/>
            <w:noWrap/>
            <w:vAlign w:val="center"/>
            <w:hideMark/>
          </w:tcPr>
          <w:p w14:paraId="133DCAFB" w14:textId="32C4684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86.3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44A0BDD3"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659F297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3,879/4,548</w:t>
            </w:r>
          </w:p>
        </w:tc>
        <w:tc>
          <w:tcPr>
            <w:tcW w:w="1121" w:type="dxa"/>
            <w:tcBorders>
              <w:top w:val="nil"/>
              <w:left w:val="nil"/>
              <w:bottom w:val="nil"/>
              <w:right w:val="nil"/>
            </w:tcBorders>
            <w:shd w:val="clear" w:color="auto" w:fill="auto"/>
            <w:noWrap/>
            <w:vAlign w:val="center"/>
            <w:hideMark/>
          </w:tcPr>
          <w:p w14:paraId="26061AB0" w14:textId="6521FF0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533A99B8"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0A28022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4,413/5,416</w:t>
            </w:r>
          </w:p>
        </w:tc>
        <w:tc>
          <w:tcPr>
            <w:tcW w:w="1121" w:type="dxa"/>
            <w:tcBorders>
              <w:top w:val="nil"/>
              <w:left w:val="nil"/>
              <w:bottom w:val="nil"/>
              <w:right w:val="nil"/>
            </w:tcBorders>
            <w:shd w:val="clear" w:color="auto" w:fill="auto"/>
            <w:noWrap/>
            <w:vAlign w:val="center"/>
            <w:hideMark/>
          </w:tcPr>
          <w:p w14:paraId="3BE6A778" w14:textId="5FA5883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1AB38D9F"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754CDD3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5,728/7,289</w:t>
            </w:r>
          </w:p>
        </w:tc>
        <w:tc>
          <w:tcPr>
            <w:tcW w:w="1270" w:type="dxa"/>
            <w:tcBorders>
              <w:top w:val="nil"/>
              <w:left w:val="nil"/>
              <w:bottom w:val="nil"/>
              <w:right w:val="nil"/>
            </w:tcBorders>
            <w:shd w:val="clear" w:color="auto" w:fill="auto"/>
            <w:noWrap/>
            <w:vAlign w:val="center"/>
            <w:hideMark/>
          </w:tcPr>
          <w:p w14:paraId="20D023C9" w14:textId="32838F6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6BF99987"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6183C32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6,138/7,801</w:t>
            </w:r>
          </w:p>
        </w:tc>
        <w:tc>
          <w:tcPr>
            <w:tcW w:w="1126" w:type="dxa"/>
            <w:tcBorders>
              <w:top w:val="nil"/>
              <w:left w:val="nil"/>
              <w:bottom w:val="nil"/>
              <w:right w:val="nil"/>
            </w:tcBorders>
            <w:shd w:val="clear" w:color="auto" w:fill="auto"/>
            <w:noWrap/>
            <w:vAlign w:val="center"/>
            <w:hideMark/>
          </w:tcPr>
          <w:p w14:paraId="16E1C932" w14:textId="22E0785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78.7</w:t>
            </w:r>
            <w:r>
              <w:rPr>
                <w:rFonts w:ascii="Calibri" w:eastAsia="Times New Roman" w:hAnsi="Calibri" w:cs="Calibri"/>
                <w:color w:val="000000"/>
                <w:sz w:val="24"/>
                <w:szCs w:val="24"/>
              </w:rPr>
              <w:t>%</w:t>
            </w:r>
          </w:p>
        </w:tc>
      </w:tr>
      <w:tr w:rsidR="001D0907" w:rsidRPr="002B546D" w14:paraId="4D71459D" w14:textId="77777777" w:rsidTr="00FD42DD">
        <w:trPr>
          <w:trHeight w:val="316"/>
        </w:trPr>
        <w:tc>
          <w:tcPr>
            <w:tcW w:w="1273" w:type="dxa"/>
            <w:tcBorders>
              <w:top w:val="nil"/>
              <w:left w:val="nil"/>
              <w:bottom w:val="nil"/>
              <w:right w:val="nil"/>
            </w:tcBorders>
            <w:shd w:val="clear" w:color="000000" w:fill="D9D9D9"/>
            <w:noWrap/>
            <w:vAlign w:val="center"/>
            <w:hideMark/>
          </w:tcPr>
          <w:p w14:paraId="0F33B15A"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000000" w:fill="D9D9D9"/>
            <w:noWrap/>
            <w:vAlign w:val="center"/>
            <w:hideMark/>
          </w:tcPr>
          <w:p w14:paraId="4D2771A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13,941/16,155</w:t>
            </w:r>
          </w:p>
        </w:tc>
        <w:tc>
          <w:tcPr>
            <w:tcW w:w="1121" w:type="dxa"/>
            <w:tcBorders>
              <w:top w:val="nil"/>
              <w:left w:val="nil"/>
              <w:bottom w:val="nil"/>
              <w:right w:val="nil"/>
            </w:tcBorders>
            <w:shd w:val="clear" w:color="000000" w:fill="D9D9D9"/>
            <w:noWrap/>
            <w:vAlign w:val="center"/>
            <w:hideMark/>
          </w:tcPr>
          <w:p w14:paraId="7D3F2692" w14:textId="69C9473A"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86.3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7AB79D4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7118CE4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15,233/17,736</w:t>
            </w:r>
          </w:p>
        </w:tc>
        <w:tc>
          <w:tcPr>
            <w:tcW w:w="1121" w:type="dxa"/>
            <w:tcBorders>
              <w:top w:val="nil"/>
              <w:left w:val="nil"/>
              <w:bottom w:val="nil"/>
              <w:right w:val="nil"/>
            </w:tcBorders>
            <w:shd w:val="clear" w:color="000000" w:fill="D9D9D9"/>
            <w:noWrap/>
            <w:vAlign w:val="center"/>
            <w:hideMark/>
          </w:tcPr>
          <w:p w14:paraId="5FAF84BD" w14:textId="4A98A7C6"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B8430F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495803B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15,157/18,760</w:t>
            </w:r>
          </w:p>
        </w:tc>
        <w:tc>
          <w:tcPr>
            <w:tcW w:w="1121" w:type="dxa"/>
            <w:tcBorders>
              <w:top w:val="nil"/>
              <w:left w:val="nil"/>
              <w:bottom w:val="nil"/>
              <w:right w:val="nil"/>
            </w:tcBorders>
            <w:shd w:val="clear" w:color="000000" w:fill="D9D9D9"/>
            <w:noWrap/>
            <w:vAlign w:val="center"/>
            <w:hideMark/>
          </w:tcPr>
          <w:p w14:paraId="50939178" w14:textId="2A77A51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80.8</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48408A7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6F0C402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14,374/18,381</w:t>
            </w:r>
          </w:p>
        </w:tc>
        <w:tc>
          <w:tcPr>
            <w:tcW w:w="1270" w:type="dxa"/>
            <w:tcBorders>
              <w:top w:val="nil"/>
              <w:left w:val="nil"/>
              <w:bottom w:val="nil"/>
              <w:right w:val="nil"/>
            </w:tcBorders>
            <w:shd w:val="clear" w:color="000000" w:fill="D9D9D9"/>
            <w:noWrap/>
            <w:vAlign w:val="center"/>
            <w:hideMark/>
          </w:tcPr>
          <w:p w14:paraId="44062B54" w14:textId="2C66CCF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3BB9057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441378C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13,868/17,968</w:t>
            </w:r>
          </w:p>
        </w:tc>
        <w:tc>
          <w:tcPr>
            <w:tcW w:w="1126" w:type="dxa"/>
            <w:tcBorders>
              <w:top w:val="nil"/>
              <w:left w:val="nil"/>
              <w:bottom w:val="nil"/>
              <w:right w:val="nil"/>
            </w:tcBorders>
            <w:shd w:val="clear" w:color="000000" w:fill="D9D9D9"/>
            <w:noWrap/>
            <w:vAlign w:val="center"/>
            <w:hideMark/>
          </w:tcPr>
          <w:p w14:paraId="3A0E30C2" w14:textId="6BE9C6A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77.2</w:t>
            </w:r>
            <w:r>
              <w:rPr>
                <w:rFonts w:ascii="Calibri" w:eastAsia="Times New Roman" w:hAnsi="Calibri" w:cs="Calibri"/>
                <w:color w:val="000000"/>
                <w:sz w:val="24"/>
                <w:szCs w:val="24"/>
              </w:rPr>
              <w:t>%</w:t>
            </w:r>
          </w:p>
        </w:tc>
      </w:tr>
      <w:tr w:rsidR="001D0907" w:rsidRPr="004269FE" w14:paraId="099286E9" w14:textId="77777777" w:rsidTr="004269FE">
        <w:trPr>
          <w:trHeight w:val="87"/>
        </w:trPr>
        <w:tc>
          <w:tcPr>
            <w:tcW w:w="1273" w:type="dxa"/>
            <w:tcBorders>
              <w:top w:val="nil"/>
              <w:left w:val="nil"/>
              <w:bottom w:val="nil"/>
              <w:right w:val="nil"/>
            </w:tcBorders>
            <w:shd w:val="clear" w:color="auto" w:fill="auto"/>
            <w:noWrap/>
            <w:vAlign w:val="center"/>
            <w:hideMark/>
          </w:tcPr>
          <w:p w14:paraId="0D886849" w14:textId="77777777" w:rsidR="001D0907" w:rsidRPr="002B546D" w:rsidRDefault="001D0907" w:rsidP="001D0907">
            <w:pPr>
              <w:spacing w:after="0" w:line="240" w:lineRule="auto"/>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4515809A" w14:textId="77777777" w:rsidR="001D0907" w:rsidRPr="002B546D" w:rsidRDefault="001D0907" w:rsidP="001D0907">
            <w:pPr>
              <w:spacing w:after="0" w:line="240" w:lineRule="auto"/>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64F363BE"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68465B05"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6E1EB757"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2B6C6D5B"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79AC137F"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5974EE5D"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75E9501B"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12B31259"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7AD3A197" w14:textId="77777777" w:rsidR="001D0907" w:rsidRPr="002B546D" w:rsidRDefault="001D0907" w:rsidP="001D0907">
            <w:pPr>
              <w:spacing w:after="0" w:line="240" w:lineRule="auto"/>
              <w:jc w:val="center"/>
              <w:rPr>
                <w:rFonts w:eastAsia="Times New Roman" w:cstheme="minorHAnsi"/>
                <w:sz w:val="10"/>
                <w:szCs w:val="10"/>
              </w:rPr>
            </w:pPr>
          </w:p>
        </w:tc>
        <w:tc>
          <w:tcPr>
            <w:tcW w:w="1270" w:type="dxa"/>
            <w:tcBorders>
              <w:top w:val="nil"/>
              <w:left w:val="nil"/>
              <w:bottom w:val="nil"/>
              <w:right w:val="nil"/>
            </w:tcBorders>
            <w:shd w:val="clear" w:color="auto" w:fill="auto"/>
            <w:noWrap/>
            <w:vAlign w:val="center"/>
            <w:hideMark/>
          </w:tcPr>
          <w:p w14:paraId="23EB2614"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0F208970"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6E453BB1" w14:textId="77777777" w:rsidR="001D0907" w:rsidRPr="002B546D" w:rsidRDefault="001D0907" w:rsidP="001D0907">
            <w:pPr>
              <w:spacing w:after="0" w:line="240" w:lineRule="auto"/>
              <w:jc w:val="center"/>
              <w:rPr>
                <w:rFonts w:eastAsia="Times New Roman" w:cstheme="minorHAnsi"/>
                <w:sz w:val="10"/>
                <w:szCs w:val="10"/>
              </w:rPr>
            </w:pPr>
          </w:p>
        </w:tc>
        <w:tc>
          <w:tcPr>
            <w:tcW w:w="1126" w:type="dxa"/>
            <w:tcBorders>
              <w:top w:val="nil"/>
              <w:left w:val="nil"/>
              <w:bottom w:val="nil"/>
              <w:right w:val="nil"/>
            </w:tcBorders>
            <w:shd w:val="clear" w:color="auto" w:fill="auto"/>
            <w:noWrap/>
            <w:vAlign w:val="center"/>
            <w:hideMark/>
          </w:tcPr>
          <w:p w14:paraId="710FE35E" w14:textId="77777777" w:rsidR="001D0907" w:rsidRPr="002B546D" w:rsidRDefault="001D0907" w:rsidP="001D0907">
            <w:pPr>
              <w:spacing w:after="0" w:line="240" w:lineRule="auto"/>
              <w:jc w:val="center"/>
              <w:rPr>
                <w:rFonts w:eastAsia="Times New Roman" w:cstheme="minorHAnsi"/>
                <w:sz w:val="10"/>
                <w:szCs w:val="10"/>
              </w:rPr>
            </w:pPr>
          </w:p>
        </w:tc>
      </w:tr>
      <w:tr w:rsidR="001D0907" w:rsidRPr="002B546D" w14:paraId="02E84A29" w14:textId="77777777" w:rsidTr="00FD42DD">
        <w:trPr>
          <w:trHeight w:val="316"/>
        </w:trPr>
        <w:tc>
          <w:tcPr>
            <w:tcW w:w="17580" w:type="dxa"/>
            <w:gridSpan w:val="15"/>
            <w:tcBorders>
              <w:top w:val="nil"/>
              <w:left w:val="nil"/>
              <w:bottom w:val="nil"/>
              <w:right w:val="nil"/>
            </w:tcBorders>
            <w:shd w:val="clear" w:color="auto" w:fill="auto"/>
            <w:noWrap/>
            <w:vAlign w:val="center"/>
            <w:hideMark/>
          </w:tcPr>
          <w:p w14:paraId="7C2DC4EA" w14:textId="22DB374E" w:rsidR="001D0907" w:rsidRPr="002B546D" w:rsidRDefault="001D0907" w:rsidP="001D0907">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Sex with a person who injects drugs</w:t>
            </w:r>
          </w:p>
        </w:tc>
      </w:tr>
      <w:tr w:rsidR="001D0907" w:rsidRPr="002B546D" w14:paraId="57352006" w14:textId="77777777" w:rsidTr="00FD42DD">
        <w:trPr>
          <w:trHeight w:val="316"/>
        </w:trPr>
        <w:tc>
          <w:tcPr>
            <w:tcW w:w="1273" w:type="dxa"/>
            <w:tcBorders>
              <w:top w:val="nil"/>
              <w:left w:val="nil"/>
              <w:bottom w:val="nil"/>
              <w:right w:val="nil"/>
            </w:tcBorders>
            <w:shd w:val="clear" w:color="000000" w:fill="D9D9D9"/>
            <w:noWrap/>
            <w:vAlign w:val="center"/>
            <w:hideMark/>
          </w:tcPr>
          <w:p w14:paraId="2471C8C2"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3C2F875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2,188/3,049</w:t>
            </w:r>
          </w:p>
        </w:tc>
        <w:tc>
          <w:tcPr>
            <w:tcW w:w="1121" w:type="dxa"/>
            <w:tcBorders>
              <w:top w:val="nil"/>
              <w:left w:val="nil"/>
              <w:bottom w:val="nil"/>
              <w:right w:val="nil"/>
            </w:tcBorders>
            <w:shd w:val="clear" w:color="000000" w:fill="D9D9D9"/>
            <w:noWrap/>
            <w:vAlign w:val="center"/>
            <w:hideMark/>
          </w:tcPr>
          <w:p w14:paraId="0668867A" w14:textId="514E0C1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71.8</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72FBB6A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D9C328A"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2,615/3,722</w:t>
            </w:r>
          </w:p>
        </w:tc>
        <w:tc>
          <w:tcPr>
            <w:tcW w:w="1121" w:type="dxa"/>
            <w:tcBorders>
              <w:top w:val="nil"/>
              <w:left w:val="nil"/>
              <w:bottom w:val="nil"/>
              <w:right w:val="nil"/>
            </w:tcBorders>
            <w:shd w:val="clear" w:color="000000" w:fill="D9D9D9"/>
            <w:noWrap/>
            <w:vAlign w:val="center"/>
            <w:hideMark/>
          </w:tcPr>
          <w:p w14:paraId="2C4B9F64" w14:textId="38311BAD"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70.3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C2E8F3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5138897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3,287/4,995</w:t>
            </w:r>
          </w:p>
        </w:tc>
        <w:tc>
          <w:tcPr>
            <w:tcW w:w="1121" w:type="dxa"/>
            <w:tcBorders>
              <w:top w:val="nil"/>
              <w:left w:val="nil"/>
              <w:bottom w:val="nil"/>
              <w:right w:val="nil"/>
            </w:tcBorders>
            <w:shd w:val="clear" w:color="000000" w:fill="D9D9D9"/>
            <w:noWrap/>
            <w:vAlign w:val="center"/>
            <w:hideMark/>
          </w:tcPr>
          <w:p w14:paraId="00FF8B42" w14:textId="3C97643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65.8</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68E065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71962D9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3,980/6,493</w:t>
            </w:r>
          </w:p>
        </w:tc>
        <w:tc>
          <w:tcPr>
            <w:tcW w:w="1270" w:type="dxa"/>
            <w:tcBorders>
              <w:top w:val="nil"/>
              <w:left w:val="nil"/>
              <w:bottom w:val="nil"/>
              <w:right w:val="nil"/>
            </w:tcBorders>
            <w:shd w:val="clear" w:color="000000" w:fill="D9D9D9"/>
            <w:noWrap/>
            <w:vAlign w:val="center"/>
            <w:hideMark/>
          </w:tcPr>
          <w:p w14:paraId="2960EEED" w14:textId="6DA20C7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61.3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06BABC90"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44E0983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4,490/7,901</w:t>
            </w:r>
          </w:p>
        </w:tc>
        <w:tc>
          <w:tcPr>
            <w:tcW w:w="1126" w:type="dxa"/>
            <w:tcBorders>
              <w:top w:val="nil"/>
              <w:left w:val="nil"/>
              <w:bottom w:val="nil"/>
              <w:right w:val="nil"/>
            </w:tcBorders>
            <w:shd w:val="clear" w:color="000000" w:fill="D9D9D9"/>
            <w:noWrap/>
            <w:vAlign w:val="center"/>
            <w:hideMark/>
          </w:tcPr>
          <w:p w14:paraId="773C166C" w14:textId="29333DB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56.8</w:t>
            </w:r>
            <w:r>
              <w:rPr>
                <w:rFonts w:ascii="Calibri" w:eastAsia="Times New Roman" w:hAnsi="Calibri" w:cs="Calibri"/>
                <w:color w:val="000000"/>
                <w:sz w:val="24"/>
                <w:szCs w:val="24"/>
              </w:rPr>
              <w:t>%</w:t>
            </w:r>
          </w:p>
        </w:tc>
      </w:tr>
      <w:tr w:rsidR="001D0907" w:rsidRPr="002B546D" w14:paraId="21E16F9C" w14:textId="77777777" w:rsidTr="00FD42DD">
        <w:trPr>
          <w:trHeight w:val="316"/>
        </w:trPr>
        <w:tc>
          <w:tcPr>
            <w:tcW w:w="1273" w:type="dxa"/>
            <w:tcBorders>
              <w:top w:val="nil"/>
              <w:left w:val="nil"/>
              <w:bottom w:val="nil"/>
              <w:right w:val="nil"/>
            </w:tcBorders>
            <w:shd w:val="clear" w:color="auto" w:fill="auto"/>
            <w:noWrap/>
            <w:vAlign w:val="center"/>
            <w:hideMark/>
          </w:tcPr>
          <w:p w14:paraId="2C1A6A83"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0C74DF6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3,052/3,880</w:t>
            </w:r>
          </w:p>
        </w:tc>
        <w:tc>
          <w:tcPr>
            <w:tcW w:w="1121" w:type="dxa"/>
            <w:tcBorders>
              <w:top w:val="nil"/>
              <w:left w:val="nil"/>
              <w:bottom w:val="nil"/>
              <w:right w:val="nil"/>
            </w:tcBorders>
            <w:shd w:val="clear" w:color="auto" w:fill="auto"/>
            <w:noWrap/>
            <w:vAlign w:val="center"/>
            <w:hideMark/>
          </w:tcPr>
          <w:p w14:paraId="7AAA8A7D" w14:textId="4A0E311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78.7</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7B8FE015"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59947D70"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3,499/4,548</w:t>
            </w:r>
          </w:p>
        </w:tc>
        <w:tc>
          <w:tcPr>
            <w:tcW w:w="1121" w:type="dxa"/>
            <w:tcBorders>
              <w:top w:val="nil"/>
              <w:left w:val="nil"/>
              <w:bottom w:val="nil"/>
              <w:right w:val="nil"/>
            </w:tcBorders>
            <w:shd w:val="clear" w:color="auto" w:fill="auto"/>
            <w:noWrap/>
            <w:vAlign w:val="center"/>
            <w:hideMark/>
          </w:tcPr>
          <w:p w14:paraId="309D1C9D" w14:textId="6183728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165F6E3B"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661493F0"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3,993/5,416</w:t>
            </w:r>
          </w:p>
        </w:tc>
        <w:tc>
          <w:tcPr>
            <w:tcW w:w="1121" w:type="dxa"/>
            <w:tcBorders>
              <w:top w:val="nil"/>
              <w:left w:val="nil"/>
              <w:bottom w:val="nil"/>
              <w:right w:val="nil"/>
            </w:tcBorders>
            <w:shd w:val="clear" w:color="auto" w:fill="auto"/>
            <w:noWrap/>
            <w:vAlign w:val="center"/>
            <w:hideMark/>
          </w:tcPr>
          <w:p w14:paraId="3E7C5B78" w14:textId="0B5255B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73.7</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43CDD90B"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4B0C5BA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5,331/7,289</w:t>
            </w:r>
          </w:p>
        </w:tc>
        <w:tc>
          <w:tcPr>
            <w:tcW w:w="1270" w:type="dxa"/>
            <w:tcBorders>
              <w:top w:val="nil"/>
              <w:left w:val="nil"/>
              <w:bottom w:val="nil"/>
              <w:right w:val="nil"/>
            </w:tcBorders>
            <w:shd w:val="clear" w:color="auto" w:fill="auto"/>
            <w:noWrap/>
            <w:vAlign w:val="center"/>
            <w:hideMark/>
          </w:tcPr>
          <w:p w14:paraId="3424FBA5" w14:textId="7584F84C"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73.1</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09D6CAF4"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1034963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5,755/7,801</w:t>
            </w:r>
          </w:p>
        </w:tc>
        <w:tc>
          <w:tcPr>
            <w:tcW w:w="1126" w:type="dxa"/>
            <w:tcBorders>
              <w:top w:val="nil"/>
              <w:left w:val="nil"/>
              <w:bottom w:val="nil"/>
              <w:right w:val="nil"/>
            </w:tcBorders>
            <w:shd w:val="clear" w:color="auto" w:fill="auto"/>
            <w:noWrap/>
            <w:vAlign w:val="center"/>
            <w:hideMark/>
          </w:tcPr>
          <w:p w14:paraId="4C7439FD" w14:textId="0975351B"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73.8</w:t>
            </w:r>
            <w:r>
              <w:rPr>
                <w:rFonts w:ascii="Calibri" w:eastAsia="Times New Roman" w:hAnsi="Calibri" w:cs="Calibri"/>
                <w:color w:val="000000"/>
                <w:sz w:val="24"/>
                <w:szCs w:val="24"/>
              </w:rPr>
              <w:t>%</w:t>
            </w:r>
          </w:p>
        </w:tc>
      </w:tr>
      <w:tr w:rsidR="001D0907" w:rsidRPr="002B546D" w14:paraId="42D4EE3B" w14:textId="77777777" w:rsidTr="00FD42DD">
        <w:trPr>
          <w:trHeight w:val="316"/>
        </w:trPr>
        <w:tc>
          <w:tcPr>
            <w:tcW w:w="1273" w:type="dxa"/>
            <w:tcBorders>
              <w:top w:val="nil"/>
              <w:left w:val="nil"/>
              <w:bottom w:val="nil"/>
              <w:right w:val="nil"/>
            </w:tcBorders>
            <w:shd w:val="clear" w:color="000000" w:fill="D9D9D9"/>
            <w:noWrap/>
            <w:vAlign w:val="center"/>
            <w:hideMark/>
          </w:tcPr>
          <w:p w14:paraId="60837F33"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nil"/>
              <w:right w:val="nil"/>
            </w:tcBorders>
            <w:shd w:val="clear" w:color="000000" w:fill="D9D9D9"/>
            <w:noWrap/>
            <w:vAlign w:val="center"/>
            <w:hideMark/>
          </w:tcPr>
          <w:p w14:paraId="2FB3A4F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12,855/16,155</w:t>
            </w:r>
          </w:p>
        </w:tc>
        <w:tc>
          <w:tcPr>
            <w:tcW w:w="1121" w:type="dxa"/>
            <w:tcBorders>
              <w:top w:val="nil"/>
              <w:left w:val="nil"/>
              <w:bottom w:val="nil"/>
              <w:right w:val="nil"/>
            </w:tcBorders>
            <w:shd w:val="clear" w:color="000000" w:fill="D9D9D9"/>
            <w:noWrap/>
            <w:vAlign w:val="center"/>
            <w:hideMark/>
          </w:tcPr>
          <w:p w14:paraId="19CC5E9E" w14:textId="6F6942C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5056806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189DC2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14,049/17,736</w:t>
            </w:r>
          </w:p>
        </w:tc>
        <w:tc>
          <w:tcPr>
            <w:tcW w:w="1121" w:type="dxa"/>
            <w:tcBorders>
              <w:top w:val="nil"/>
              <w:left w:val="nil"/>
              <w:bottom w:val="nil"/>
              <w:right w:val="nil"/>
            </w:tcBorders>
            <w:shd w:val="clear" w:color="000000" w:fill="D9D9D9"/>
            <w:noWrap/>
            <w:vAlign w:val="center"/>
            <w:hideMark/>
          </w:tcPr>
          <w:p w14:paraId="40D04027" w14:textId="2A93463F"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79.2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039EC8A"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93431D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14,363/18,760</w:t>
            </w:r>
          </w:p>
        </w:tc>
        <w:tc>
          <w:tcPr>
            <w:tcW w:w="1121" w:type="dxa"/>
            <w:tcBorders>
              <w:top w:val="nil"/>
              <w:left w:val="nil"/>
              <w:bottom w:val="nil"/>
              <w:right w:val="nil"/>
            </w:tcBorders>
            <w:shd w:val="clear" w:color="000000" w:fill="D9D9D9"/>
            <w:noWrap/>
            <w:vAlign w:val="center"/>
            <w:hideMark/>
          </w:tcPr>
          <w:p w14:paraId="0268D86E" w14:textId="201B10F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0B43A6D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D64466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13,028/18,381</w:t>
            </w:r>
          </w:p>
        </w:tc>
        <w:tc>
          <w:tcPr>
            <w:tcW w:w="1270" w:type="dxa"/>
            <w:tcBorders>
              <w:top w:val="nil"/>
              <w:left w:val="nil"/>
              <w:bottom w:val="nil"/>
              <w:right w:val="nil"/>
            </w:tcBorders>
            <w:shd w:val="clear" w:color="000000" w:fill="D9D9D9"/>
            <w:noWrap/>
            <w:vAlign w:val="center"/>
            <w:hideMark/>
          </w:tcPr>
          <w:p w14:paraId="4AED7BAE" w14:textId="6630D8DA"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70.9</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3AE9B74"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C8E716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12,550/17,968</w:t>
            </w:r>
          </w:p>
        </w:tc>
        <w:tc>
          <w:tcPr>
            <w:tcW w:w="1126" w:type="dxa"/>
            <w:tcBorders>
              <w:top w:val="nil"/>
              <w:left w:val="nil"/>
              <w:bottom w:val="nil"/>
              <w:right w:val="nil"/>
            </w:tcBorders>
            <w:shd w:val="clear" w:color="000000" w:fill="D9D9D9"/>
            <w:noWrap/>
            <w:vAlign w:val="center"/>
            <w:hideMark/>
          </w:tcPr>
          <w:p w14:paraId="6FA25CF4" w14:textId="3437A52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69.8</w:t>
            </w:r>
            <w:r>
              <w:rPr>
                <w:rFonts w:ascii="Calibri" w:eastAsia="Times New Roman" w:hAnsi="Calibri" w:cs="Calibri"/>
                <w:color w:val="000000"/>
                <w:sz w:val="24"/>
                <w:szCs w:val="24"/>
              </w:rPr>
              <w:t>%</w:t>
            </w:r>
          </w:p>
        </w:tc>
      </w:tr>
      <w:tr w:rsidR="001D0907" w:rsidRPr="002B546D" w14:paraId="27DAF0D6" w14:textId="77777777" w:rsidTr="004269FE">
        <w:trPr>
          <w:trHeight w:val="87"/>
        </w:trPr>
        <w:tc>
          <w:tcPr>
            <w:tcW w:w="1273" w:type="dxa"/>
            <w:tcBorders>
              <w:top w:val="nil"/>
              <w:left w:val="nil"/>
              <w:bottom w:val="nil"/>
              <w:right w:val="nil"/>
            </w:tcBorders>
            <w:shd w:val="clear" w:color="auto" w:fill="auto"/>
            <w:noWrap/>
            <w:vAlign w:val="center"/>
            <w:hideMark/>
          </w:tcPr>
          <w:p w14:paraId="7DC4355B" w14:textId="77777777" w:rsidR="001D0907" w:rsidRPr="002B546D" w:rsidRDefault="001D0907" w:rsidP="001D0907">
            <w:pPr>
              <w:spacing w:after="0" w:line="240" w:lineRule="auto"/>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6B3FE1C9" w14:textId="77777777" w:rsidR="001D0907" w:rsidRPr="002B546D" w:rsidRDefault="001D0907" w:rsidP="001D0907">
            <w:pPr>
              <w:spacing w:after="0" w:line="240" w:lineRule="auto"/>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0CC5D46F"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1C7355E8"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0FB365DF"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7057E584"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770CDA0F"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43165AE0" w14:textId="77777777" w:rsidR="001D0907" w:rsidRPr="002B546D" w:rsidRDefault="001D0907" w:rsidP="001D0907">
            <w:pPr>
              <w:spacing w:after="0" w:line="240" w:lineRule="auto"/>
              <w:jc w:val="center"/>
              <w:rPr>
                <w:rFonts w:eastAsia="Times New Roman" w:cstheme="minorHAnsi"/>
                <w:sz w:val="10"/>
                <w:szCs w:val="10"/>
              </w:rPr>
            </w:pPr>
          </w:p>
        </w:tc>
        <w:tc>
          <w:tcPr>
            <w:tcW w:w="1121" w:type="dxa"/>
            <w:tcBorders>
              <w:top w:val="nil"/>
              <w:left w:val="nil"/>
              <w:bottom w:val="nil"/>
              <w:right w:val="nil"/>
            </w:tcBorders>
            <w:shd w:val="clear" w:color="auto" w:fill="auto"/>
            <w:noWrap/>
            <w:vAlign w:val="center"/>
            <w:hideMark/>
          </w:tcPr>
          <w:p w14:paraId="4BA90CBB"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2F5A351B"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32B4181D" w14:textId="77777777" w:rsidR="001D0907" w:rsidRPr="002B546D" w:rsidRDefault="001D0907" w:rsidP="001D0907">
            <w:pPr>
              <w:spacing w:after="0" w:line="240" w:lineRule="auto"/>
              <w:jc w:val="center"/>
              <w:rPr>
                <w:rFonts w:eastAsia="Times New Roman" w:cstheme="minorHAnsi"/>
                <w:sz w:val="10"/>
                <w:szCs w:val="10"/>
              </w:rPr>
            </w:pPr>
          </w:p>
        </w:tc>
        <w:tc>
          <w:tcPr>
            <w:tcW w:w="1270" w:type="dxa"/>
            <w:tcBorders>
              <w:top w:val="nil"/>
              <w:left w:val="nil"/>
              <w:bottom w:val="nil"/>
              <w:right w:val="nil"/>
            </w:tcBorders>
            <w:shd w:val="clear" w:color="auto" w:fill="auto"/>
            <w:noWrap/>
            <w:vAlign w:val="center"/>
            <w:hideMark/>
          </w:tcPr>
          <w:p w14:paraId="420DD911" w14:textId="77777777" w:rsidR="001D0907" w:rsidRPr="002B546D" w:rsidRDefault="001D0907" w:rsidP="001D0907">
            <w:pPr>
              <w:spacing w:after="0" w:line="240" w:lineRule="auto"/>
              <w:jc w:val="center"/>
              <w:rPr>
                <w:rFonts w:eastAsia="Times New Roman" w:cstheme="minorHAnsi"/>
                <w:sz w:val="10"/>
                <w:szCs w:val="10"/>
              </w:rPr>
            </w:pPr>
          </w:p>
        </w:tc>
        <w:tc>
          <w:tcPr>
            <w:tcW w:w="307" w:type="dxa"/>
            <w:tcBorders>
              <w:top w:val="nil"/>
              <w:left w:val="nil"/>
              <w:bottom w:val="nil"/>
              <w:right w:val="nil"/>
            </w:tcBorders>
            <w:shd w:val="clear" w:color="auto" w:fill="auto"/>
            <w:vAlign w:val="center"/>
            <w:hideMark/>
          </w:tcPr>
          <w:p w14:paraId="284D346C" w14:textId="77777777" w:rsidR="001D0907" w:rsidRPr="002B546D" w:rsidRDefault="001D0907" w:rsidP="001D0907">
            <w:pPr>
              <w:spacing w:after="0" w:line="240" w:lineRule="auto"/>
              <w:jc w:val="center"/>
              <w:rPr>
                <w:rFonts w:eastAsia="Times New Roman" w:cstheme="minorHAnsi"/>
                <w:sz w:val="10"/>
                <w:szCs w:val="10"/>
              </w:rPr>
            </w:pPr>
          </w:p>
        </w:tc>
        <w:tc>
          <w:tcPr>
            <w:tcW w:w="1864" w:type="dxa"/>
            <w:tcBorders>
              <w:top w:val="nil"/>
              <w:left w:val="nil"/>
              <w:bottom w:val="nil"/>
              <w:right w:val="nil"/>
            </w:tcBorders>
            <w:shd w:val="clear" w:color="auto" w:fill="auto"/>
            <w:noWrap/>
            <w:vAlign w:val="center"/>
            <w:hideMark/>
          </w:tcPr>
          <w:p w14:paraId="34E0E582" w14:textId="77777777" w:rsidR="001D0907" w:rsidRPr="002B546D" w:rsidRDefault="001D0907" w:rsidP="001D0907">
            <w:pPr>
              <w:spacing w:after="0" w:line="240" w:lineRule="auto"/>
              <w:jc w:val="center"/>
              <w:rPr>
                <w:rFonts w:eastAsia="Times New Roman" w:cstheme="minorHAnsi"/>
                <w:sz w:val="10"/>
                <w:szCs w:val="10"/>
              </w:rPr>
            </w:pPr>
          </w:p>
        </w:tc>
        <w:tc>
          <w:tcPr>
            <w:tcW w:w="1126" w:type="dxa"/>
            <w:tcBorders>
              <w:top w:val="nil"/>
              <w:left w:val="nil"/>
              <w:bottom w:val="nil"/>
              <w:right w:val="nil"/>
            </w:tcBorders>
            <w:shd w:val="clear" w:color="auto" w:fill="auto"/>
            <w:noWrap/>
            <w:vAlign w:val="center"/>
            <w:hideMark/>
          </w:tcPr>
          <w:p w14:paraId="32D170A3" w14:textId="77777777" w:rsidR="001D0907" w:rsidRPr="002B546D" w:rsidRDefault="001D0907" w:rsidP="001D0907">
            <w:pPr>
              <w:spacing w:after="0" w:line="240" w:lineRule="auto"/>
              <w:jc w:val="center"/>
              <w:rPr>
                <w:rFonts w:eastAsia="Times New Roman" w:cstheme="minorHAnsi"/>
                <w:sz w:val="10"/>
                <w:szCs w:val="10"/>
              </w:rPr>
            </w:pPr>
          </w:p>
        </w:tc>
      </w:tr>
      <w:tr w:rsidR="001D0907" w:rsidRPr="002B546D" w14:paraId="22396A1E" w14:textId="77777777" w:rsidTr="00FD42DD">
        <w:trPr>
          <w:trHeight w:val="316"/>
        </w:trPr>
        <w:tc>
          <w:tcPr>
            <w:tcW w:w="17580" w:type="dxa"/>
            <w:gridSpan w:val="15"/>
            <w:tcBorders>
              <w:top w:val="nil"/>
              <w:left w:val="nil"/>
              <w:bottom w:val="nil"/>
              <w:right w:val="nil"/>
            </w:tcBorders>
            <w:shd w:val="clear" w:color="auto" w:fill="auto"/>
            <w:noWrap/>
            <w:vAlign w:val="center"/>
            <w:hideMark/>
          </w:tcPr>
          <w:p w14:paraId="692742C5" w14:textId="1982D41F" w:rsidR="001D0907" w:rsidRPr="002B546D" w:rsidRDefault="001D0907" w:rsidP="001D0907">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Sex with an MSM</w:t>
            </w:r>
          </w:p>
        </w:tc>
      </w:tr>
      <w:tr w:rsidR="001D0907" w:rsidRPr="002B546D" w14:paraId="767113DB" w14:textId="77777777" w:rsidTr="00FD42DD">
        <w:trPr>
          <w:trHeight w:val="316"/>
        </w:trPr>
        <w:tc>
          <w:tcPr>
            <w:tcW w:w="1273" w:type="dxa"/>
            <w:tcBorders>
              <w:top w:val="nil"/>
              <w:left w:val="nil"/>
              <w:bottom w:val="nil"/>
              <w:right w:val="nil"/>
            </w:tcBorders>
            <w:shd w:val="clear" w:color="000000" w:fill="D9D9D9"/>
            <w:noWrap/>
            <w:vAlign w:val="center"/>
            <w:hideMark/>
          </w:tcPr>
          <w:p w14:paraId="0FA8BF9E"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57CBC52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2,139/3,049</w:t>
            </w:r>
          </w:p>
        </w:tc>
        <w:tc>
          <w:tcPr>
            <w:tcW w:w="1121" w:type="dxa"/>
            <w:tcBorders>
              <w:top w:val="nil"/>
              <w:left w:val="nil"/>
              <w:bottom w:val="nil"/>
              <w:right w:val="nil"/>
            </w:tcBorders>
            <w:shd w:val="clear" w:color="000000" w:fill="D9D9D9"/>
            <w:noWrap/>
            <w:vAlign w:val="center"/>
            <w:hideMark/>
          </w:tcPr>
          <w:p w14:paraId="3F5717D9" w14:textId="3F1C9E2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70.2</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0B3ABFE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67E0626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2,495/3,722</w:t>
            </w:r>
          </w:p>
        </w:tc>
        <w:tc>
          <w:tcPr>
            <w:tcW w:w="1121" w:type="dxa"/>
            <w:tcBorders>
              <w:top w:val="nil"/>
              <w:left w:val="nil"/>
              <w:bottom w:val="nil"/>
              <w:right w:val="nil"/>
            </w:tcBorders>
            <w:shd w:val="clear" w:color="000000" w:fill="D9D9D9"/>
            <w:noWrap/>
            <w:vAlign w:val="center"/>
            <w:hideMark/>
          </w:tcPr>
          <w:p w14:paraId="262CA5D9" w14:textId="6C306E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67.0</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9E33CC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D9FEBB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3,174/4,995</w:t>
            </w:r>
          </w:p>
        </w:tc>
        <w:tc>
          <w:tcPr>
            <w:tcW w:w="1121" w:type="dxa"/>
            <w:tcBorders>
              <w:top w:val="nil"/>
              <w:left w:val="nil"/>
              <w:bottom w:val="nil"/>
              <w:right w:val="nil"/>
            </w:tcBorders>
            <w:shd w:val="clear" w:color="000000" w:fill="D9D9D9"/>
            <w:noWrap/>
            <w:vAlign w:val="center"/>
            <w:hideMark/>
          </w:tcPr>
          <w:p w14:paraId="3B23DA79" w14:textId="4D5C3C62"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63.5</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698136DC"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D228D23"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3,803/6,493</w:t>
            </w:r>
          </w:p>
        </w:tc>
        <w:tc>
          <w:tcPr>
            <w:tcW w:w="1270" w:type="dxa"/>
            <w:tcBorders>
              <w:top w:val="nil"/>
              <w:left w:val="nil"/>
              <w:bottom w:val="nil"/>
              <w:right w:val="nil"/>
            </w:tcBorders>
            <w:shd w:val="clear" w:color="000000" w:fill="D9D9D9"/>
            <w:noWrap/>
            <w:vAlign w:val="center"/>
            <w:hideMark/>
          </w:tcPr>
          <w:p w14:paraId="518D2AD1" w14:textId="239EC81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58.6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FB0691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1DBD91E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4,275/7,901</w:t>
            </w:r>
          </w:p>
        </w:tc>
        <w:tc>
          <w:tcPr>
            <w:tcW w:w="1126" w:type="dxa"/>
            <w:tcBorders>
              <w:top w:val="nil"/>
              <w:left w:val="nil"/>
              <w:bottom w:val="nil"/>
              <w:right w:val="nil"/>
            </w:tcBorders>
            <w:shd w:val="clear" w:color="000000" w:fill="D9D9D9"/>
            <w:noWrap/>
            <w:vAlign w:val="center"/>
            <w:hideMark/>
          </w:tcPr>
          <w:p w14:paraId="0C92CA8C" w14:textId="180FD4E0"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54.1</w:t>
            </w:r>
            <w:r>
              <w:rPr>
                <w:rFonts w:ascii="Calibri" w:eastAsia="Times New Roman" w:hAnsi="Calibri" w:cs="Calibri"/>
                <w:color w:val="000000"/>
                <w:sz w:val="24"/>
                <w:szCs w:val="24"/>
              </w:rPr>
              <w:t>%</w:t>
            </w:r>
          </w:p>
        </w:tc>
      </w:tr>
      <w:tr w:rsidR="001D0907" w:rsidRPr="002B546D" w14:paraId="45CC66F9" w14:textId="77777777" w:rsidTr="004269FE">
        <w:trPr>
          <w:trHeight w:val="87"/>
        </w:trPr>
        <w:tc>
          <w:tcPr>
            <w:tcW w:w="1273" w:type="dxa"/>
            <w:tcBorders>
              <w:top w:val="nil"/>
              <w:left w:val="nil"/>
              <w:bottom w:val="nil"/>
              <w:right w:val="nil"/>
            </w:tcBorders>
            <w:shd w:val="clear" w:color="auto" w:fill="auto"/>
            <w:noWrap/>
            <w:vAlign w:val="center"/>
            <w:hideMark/>
          </w:tcPr>
          <w:p w14:paraId="6B139ED5" w14:textId="77777777" w:rsidR="001D0907" w:rsidRPr="002B546D" w:rsidRDefault="001D0907" w:rsidP="001D0907">
            <w:pPr>
              <w:spacing w:after="0" w:line="240" w:lineRule="auto"/>
              <w:rPr>
                <w:rFonts w:asciiTheme="majorHAnsi" w:eastAsia="Times New Roman" w:hAnsiTheme="majorHAnsi" w:cstheme="majorHAnsi"/>
                <w:sz w:val="10"/>
                <w:szCs w:val="10"/>
              </w:rPr>
            </w:pPr>
          </w:p>
        </w:tc>
        <w:tc>
          <w:tcPr>
            <w:tcW w:w="1864" w:type="dxa"/>
            <w:tcBorders>
              <w:top w:val="nil"/>
              <w:left w:val="nil"/>
              <w:bottom w:val="nil"/>
              <w:right w:val="nil"/>
            </w:tcBorders>
            <w:shd w:val="clear" w:color="auto" w:fill="auto"/>
            <w:noWrap/>
            <w:vAlign w:val="center"/>
            <w:hideMark/>
          </w:tcPr>
          <w:p w14:paraId="6AC14F55" w14:textId="77777777" w:rsidR="001D0907" w:rsidRPr="002B546D" w:rsidRDefault="001D0907" w:rsidP="001D0907">
            <w:pPr>
              <w:spacing w:after="0" w:line="240" w:lineRule="auto"/>
              <w:rPr>
                <w:rFonts w:asciiTheme="majorHAnsi" w:eastAsia="Times New Roman" w:hAnsiTheme="majorHAnsi" w:cstheme="majorHAnsi"/>
                <w:sz w:val="10"/>
                <w:szCs w:val="10"/>
              </w:rPr>
            </w:pPr>
          </w:p>
        </w:tc>
        <w:tc>
          <w:tcPr>
            <w:tcW w:w="1121" w:type="dxa"/>
            <w:tcBorders>
              <w:top w:val="nil"/>
              <w:left w:val="nil"/>
              <w:bottom w:val="nil"/>
              <w:right w:val="nil"/>
            </w:tcBorders>
            <w:shd w:val="clear" w:color="auto" w:fill="auto"/>
            <w:noWrap/>
            <w:vAlign w:val="center"/>
            <w:hideMark/>
          </w:tcPr>
          <w:p w14:paraId="150D56C2"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307" w:type="dxa"/>
            <w:tcBorders>
              <w:top w:val="nil"/>
              <w:left w:val="nil"/>
              <w:bottom w:val="nil"/>
              <w:right w:val="nil"/>
            </w:tcBorders>
            <w:shd w:val="clear" w:color="auto" w:fill="auto"/>
            <w:vAlign w:val="center"/>
            <w:hideMark/>
          </w:tcPr>
          <w:p w14:paraId="3BC61303"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864" w:type="dxa"/>
            <w:tcBorders>
              <w:top w:val="nil"/>
              <w:left w:val="nil"/>
              <w:bottom w:val="nil"/>
              <w:right w:val="nil"/>
            </w:tcBorders>
            <w:shd w:val="clear" w:color="auto" w:fill="auto"/>
            <w:noWrap/>
            <w:vAlign w:val="center"/>
            <w:hideMark/>
          </w:tcPr>
          <w:p w14:paraId="38D43F52"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121" w:type="dxa"/>
            <w:tcBorders>
              <w:top w:val="nil"/>
              <w:left w:val="nil"/>
              <w:bottom w:val="nil"/>
              <w:right w:val="nil"/>
            </w:tcBorders>
            <w:shd w:val="clear" w:color="auto" w:fill="auto"/>
            <w:noWrap/>
            <w:vAlign w:val="center"/>
            <w:hideMark/>
          </w:tcPr>
          <w:p w14:paraId="418DEF7A"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307" w:type="dxa"/>
            <w:tcBorders>
              <w:top w:val="nil"/>
              <w:left w:val="nil"/>
              <w:bottom w:val="nil"/>
              <w:right w:val="nil"/>
            </w:tcBorders>
            <w:shd w:val="clear" w:color="auto" w:fill="auto"/>
            <w:vAlign w:val="center"/>
            <w:hideMark/>
          </w:tcPr>
          <w:p w14:paraId="7D28E81E"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864" w:type="dxa"/>
            <w:tcBorders>
              <w:top w:val="nil"/>
              <w:left w:val="nil"/>
              <w:bottom w:val="nil"/>
              <w:right w:val="nil"/>
            </w:tcBorders>
            <w:shd w:val="clear" w:color="auto" w:fill="auto"/>
            <w:noWrap/>
            <w:vAlign w:val="center"/>
            <w:hideMark/>
          </w:tcPr>
          <w:p w14:paraId="255DCE12"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121" w:type="dxa"/>
            <w:tcBorders>
              <w:top w:val="nil"/>
              <w:left w:val="nil"/>
              <w:bottom w:val="nil"/>
              <w:right w:val="nil"/>
            </w:tcBorders>
            <w:shd w:val="clear" w:color="auto" w:fill="auto"/>
            <w:noWrap/>
            <w:vAlign w:val="center"/>
            <w:hideMark/>
          </w:tcPr>
          <w:p w14:paraId="1AB75618"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307" w:type="dxa"/>
            <w:tcBorders>
              <w:top w:val="nil"/>
              <w:left w:val="nil"/>
              <w:bottom w:val="nil"/>
              <w:right w:val="nil"/>
            </w:tcBorders>
            <w:shd w:val="clear" w:color="auto" w:fill="auto"/>
            <w:vAlign w:val="center"/>
            <w:hideMark/>
          </w:tcPr>
          <w:p w14:paraId="066E8A20"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864" w:type="dxa"/>
            <w:tcBorders>
              <w:top w:val="nil"/>
              <w:left w:val="nil"/>
              <w:bottom w:val="nil"/>
              <w:right w:val="nil"/>
            </w:tcBorders>
            <w:shd w:val="clear" w:color="auto" w:fill="auto"/>
            <w:noWrap/>
            <w:vAlign w:val="center"/>
            <w:hideMark/>
          </w:tcPr>
          <w:p w14:paraId="59B591F7"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270" w:type="dxa"/>
            <w:tcBorders>
              <w:top w:val="nil"/>
              <w:left w:val="nil"/>
              <w:bottom w:val="nil"/>
              <w:right w:val="nil"/>
            </w:tcBorders>
            <w:shd w:val="clear" w:color="auto" w:fill="auto"/>
            <w:noWrap/>
            <w:vAlign w:val="center"/>
            <w:hideMark/>
          </w:tcPr>
          <w:p w14:paraId="25AD8E3E"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307" w:type="dxa"/>
            <w:tcBorders>
              <w:top w:val="nil"/>
              <w:left w:val="nil"/>
              <w:bottom w:val="nil"/>
              <w:right w:val="nil"/>
            </w:tcBorders>
            <w:shd w:val="clear" w:color="auto" w:fill="auto"/>
            <w:vAlign w:val="center"/>
            <w:hideMark/>
          </w:tcPr>
          <w:p w14:paraId="0E36AE61"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864" w:type="dxa"/>
            <w:tcBorders>
              <w:top w:val="nil"/>
              <w:left w:val="nil"/>
              <w:bottom w:val="nil"/>
              <w:right w:val="nil"/>
            </w:tcBorders>
            <w:shd w:val="clear" w:color="auto" w:fill="auto"/>
            <w:noWrap/>
            <w:vAlign w:val="center"/>
            <w:hideMark/>
          </w:tcPr>
          <w:p w14:paraId="62CC6826"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c>
          <w:tcPr>
            <w:tcW w:w="1126" w:type="dxa"/>
            <w:tcBorders>
              <w:top w:val="nil"/>
              <w:left w:val="nil"/>
              <w:bottom w:val="nil"/>
              <w:right w:val="nil"/>
            </w:tcBorders>
            <w:shd w:val="clear" w:color="auto" w:fill="auto"/>
            <w:noWrap/>
            <w:vAlign w:val="center"/>
            <w:hideMark/>
          </w:tcPr>
          <w:p w14:paraId="56C45A63" w14:textId="77777777" w:rsidR="001D0907" w:rsidRPr="002B546D" w:rsidRDefault="001D0907" w:rsidP="001D0907">
            <w:pPr>
              <w:spacing w:after="0" w:line="240" w:lineRule="auto"/>
              <w:jc w:val="center"/>
              <w:rPr>
                <w:rFonts w:asciiTheme="majorHAnsi" w:eastAsia="Times New Roman" w:hAnsiTheme="majorHAnsi" w:cstheme="majorHAnsi"/>
                <w:sz w:val="10"/>
                <w:szCs w:val="10"/>
              </w:rPr>
            </w:pPr>
          </w:p>
        </w:tc>
      </w:tr>
      <w:tr w:rsidR="001D0907" w:rsidRPr="002B546D" w14:paraId="51EE92A7" w14:textId="77777777" w:rsidTr="00FD42DD">
        <w:trPr>
          <w:trHeight w:val="316"/>
        </w:trPr>
        <w:tc>
          <w:tcPr>
            <w:tcW w:w="17580" w:type="dxa"/>
            <w:gridSpan w:val="15"/>
            <w:tcBorders>
              <w:top w:val="nil"/>
              <w:left w:val="nil"/>
              <w:bottom w:val="nil"/>
              <w:right w:val="nil"/>
            </w:tcBorders>
            <w:shd w:val="clear" w:color="auto" w:fill="auto"/>
            <w:noWrap/>
            <w:vAlign w:val="center"/>
            <w:hideMark/>
          </w:tcPr>
          <w:p w14:paraId="1FA9D8CA" w14:textId="7124E343" w:rsidR="001D0907" w:rsidRPr="002B546D" w:rsidRDefault="001D0907" w:rsidP="001D0907">
            <w:pPr>
              <w:spacing w:after="0" w:line="240" w:lineRule="auto"/>
              <w:rPr>
                <w:rFonts w:ascii="Times New Roman" w:eastAsia="Times New Roman" w:hAnsi="Times New Roman" w:cs="Times New Roman"/>
                <w:sz w:val="20"/>
                <w:szCs w:val="20"/>
              </w:rPr>
            </w:pPr>
            <w:r w:rsidRPr="002B546D">
              <w:rPr>
                <w:rFonts w:ascii="Calibri" w:eastAsia="Times New Roman" w:hAnsi="Calibri" w:cs="Calibri"/>
                <w:b/>
                <w:bCs/>
                <w:color w:val="000000"/>
                <w:sz w:val="24"/>
                <w:szCs w:val="24"/>
              </w:rPr>
              <w:t>Incarceration history</w:t>
            </w:r>
          </w:p>
        </w:tc>
      </w:tr>
      <w:tr w:rsidR="001D0907" w:rsidRPr="002B546D" w14:paraId="10635DF8" w14:textId="77777777" w:rsidTr="00FD42DD">
        <w:trPr>
          <w:trHeight w:val="316"/>
        </w:trPr>
        <w:tc>
          <w:tcPr>
            <w:tcW w:w="1273" w:type="dxa"/>
            <w:tcBorders>
              <w:top w:val="nil"/>
              <w:left w:val="nil"/>
              <w:bottom w:val="nil"/>
              <w:right w:val="nil"/>
            </w:tcBorders>
            <w:shd w:val="clear" w:color="000000" w:fill="D9D9D9"/>
            <w:noWrap/>
            <w:vAlign w:val="center"/>
            <w:hideMark/>
          </w:tcPr>
          <w:p w14:paraId="487CDF44"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Women</w:t>
            </w:r>
          </w:p>
        </w:tc>
        <w:tc>
          <w:tcPr>
            <w:tcW w:w="1864" w:type="dxa"/>
            <w:tcBorders>
              <w:top w:val="nil"/>
              <w:left w:val="nil"/>
              <w:bottom w:val="nil"/>
              <w:right w:val="nil"/>
            </w:tcBorders>
            <w:shd w:val="clear" w:color="000000" w:fill="D9D9D9"/>
            <w:noWrap/>
            <w:vAlign w:val="center"/>
            <w:hideMark/>
          </w:tcPr>
          <w:p w14:paraId="798E224B"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2,398/3,049</w:t>
            </w:r>
          </w:p>
        </w:tc>
        <w:tc>
          <w:tcPr>
            <w:tcW w:w="1121" w:type="dxa"/>
            <w:tcBorders>
              <w:top w:val="nil"/>
              <w:left w:val="nil"/>
              <w:bottom w:val="nil"/>
              <w:right w:val="nil"/>
            </w:tcBorders>
            <w:shd w:val="clear" w:color="000000" w:fill="D9D9D9"/>
            <w:noWrap/>
            <w:vAlign w:val="center"/>
            <w:hideMark/>
          </w:tcPr>
          <w:p w14:paraId="5CC69B58" w14:textId="19C63C3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78.6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4A4261CD"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6FAEBF5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2,840/3,722</w:t>
            </w:r>
          </w:p>
        </w:tc>
        <w:tc>
          <w:tcPr>
            <w:tcW w:w="1121" w:type="dxa"/>
            <w:tcBorders>
              <w:top w:val="nil"/>
              <w:left w:val="nil"/>
              <w:bottom w:val="nil"/>
              <w:right w:val="nil"/>
            </w:tcBorders>
            <w:shd w:val="clear" w:color="000000" w:fill="D9D9D9"/>
            <w:noWrap/>
            <w:vAlign w:val="center"/>
            <w:hideMark/>
          </w:tcPr>
          <w:p w14:paraId="1DEFBD48" w14:textId="5BBDF571"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76.3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113D480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7701ECD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3,614/4,995</w:t>
            </w:r>
          </w:p>
        </w:tc>
        <w:tc>
          <w:tcPr>
            <w:tcW w:w="1121" w:type="dxa"/>
            <w:tcBorders>
              <w:top w:val="nil"/>
              <w:left w:val="nil"/>
              <w:bottom w:val="nil"/>
              <w:right w:val="nil"/>
            </w:tcBorders>
            <w:shd w:val="clear" w:color="000000" w:fill="D9D9D9"/>
            <w:noWrap/>
            <w:vAlign w:val="center"/>
            <w:hideMark/>
          </w:tcPr>
          <w:p w14:paraId="1FE7F74F" w14:textId="747D018E"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72.4</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107474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2F461D6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4,199/6,493</w:t>
            </w:r>
          </w:p>
        </w:tc>
        <w:tc>
          <w:tcPr>
            <w:tcW w:w="1270" w:type="dxa"/>
            <w:tcBorders>
              <w:top w:val="nil"/>
              <w:left w:val="nil"/>
              <w:bottom w:val="nil"/>
              <w:right w:val="nil"/>
            </w:tcBorders>
            <w:shd w:val="clear" w:color="000000" w:fill="D9D9D9"/>
            <w:noWrap/>
            <w:vAlign w:val="center"/>
            <w:hideMark/>
          </w:tcPr>
          <w:p w14:paraId="2FE2AB25" w14:textId="08E9AF24"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64.7</w:t>
            </w:r>
            <w:r>
              <w:rPr>
                <w:rFonts w:ascii="Calibri" w:eastAsia="Times New Roman" w:hAnsi="Calibri" w:cs="Calibri"/>
                <w:color w:val="000000"/>
                <w:sz w:val="24"/>
                <w:szCs w:val="24"/>
              </w:rPr>
              <w:t>%</w:t>
            </w:r>
          </w:p>
        </w:tc>
        <w:tc>
          <w:tcPr>
            <w:tcW w:w="307" w:type="dxa"/>
            <w:tcBorders>
              <w:top w:val="nil"/>
              <w:left w:val="nil"/>
              <w:bottom w:val="nil"/>
              <w:right w:val="nil"/>
            </w:tcBorders>
            <w:shd w:val="clear" w:color="000000" w:fill="D9D9D9"/>
            <w:vAlign w:val="center"/>
            <w:hideMark/>
          </w:tcPr>
          <w:p w14:paraId="25CC832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nil"/>
              <w:right w:val="nil"/>
            </w:tcBorders>
            <w:shd w:val="clear" w:color="000000" w:fill="D9D9D9"/>
            <w:noWrap/>
            <w:vAlign w:val="center"/>
            <w:hideMark/>
          </w:tcPr>
          <w:p w14:paraId="31D071C5"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4,779/7,901</w:t>
            </w:r>
          </w:p>
        </w:tc>
        <w:tc>
          <w:tcPr>
            <w:tcW w:w="1126" w:type="dxa"/>
            <w:tcBorders>
              <w:top w:val="nil"/>
              <w:left w:val="nil"/>
              <w:bottom w:val="nil"/>
              <w:right w:val="nil"/>
            </w:tcBorders>
            <w:shd w:val="clear" w:color="000000" w:fill="D9D9D9"/>
            <w:noWrap/>
            <w:vAlign w:val="center"/>
            <w:hideMark/>
          </w:tcPr>
          <w:p w14:paraId="24A95D0C" w14:textId="36B8BAD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60.5</w:t>
            </w:r>
            <w:r>
              <w:rPr>
                <w:rFonts w:ascii="Calibri" w:eastAsia="Times New Roman" w:hAnsi="Calibri" w:cs="Calibri"/>
                <w:color w:val="000000"/>
                <w:sz w:val="24"/>
                <w:szCs w:val="24"/>
              </w:rPr>
              <w:t>%</w:t>
            </w:r>
          </w:p>
        </w:tc>
      </w:tr>
      <w:tr w:rsidR="001D0907" w:rsidRPr="002B546D" w14:paraId="40034F9E" w14:textId="77777777" w:rsidTr="00FD42DD">
        <w:trPr>
          <w:trHeight w:val="316"/>
        </w:trPr>
        <w:tc>
          <w:tcPr>
            <w:tcW w:w="1273" w:type="dxa"/>
            <w:tcBorders>
              <w:top w:val="nil"/>
              <w:left w:val="nil"/>
              <w:bottom w:val="nil"/>
              <w:right w:val="nil"/>
            </w:tcBorders>
            <w:shd w:val="clear" w:color="auto" w:fill="auto"/>
            <w:noWrap/>
            <w:vAlign w:val="center"/>
            <w:hideMark/>
          </w:tcPr>
          <w:p w14:paraId="4F18A6F2"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MSW</w:t>
            </w:r>
          </w:p>
        </w:tc>
        <w:tc>
          <w:tcPr>
            <w:tcW w:w="1864" w:type="dxa"/>
            <w:tcBorders>
              <w:top w:val="nil"/>
              <w:left w:val="nil"/>
              <w:bottom w:val="nil"/>
              <w:right w:val="nil"/>
            </w:tcBorders>
            <w:shd w:val="clear" w:color="auto" w:fill="auto"/>
            <w:noWrap/>
            <w:vAlign w:val="center"/>
            <w:hideMark/>
          </w:tcPr>
          <w:p w14:paraId="7FC96010"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3,348/3,880</w:t>
            </w:r>
          </w:p>
        </w:tc>
        <w:tc>
          <w:tcPr>
            <w:tcW w:w="1121" w:type="dxa"/>
            <w:tcBorders>
              <w:top w:val="nil"/>
              <w:left w:val="nil"/>
              <w:bottom w:val="nil"/>
              <w:right w:val="nil"/>
            </w:tcBorders>
            <w:shd w:val="clear" w:color="auto" w:fill="auto"/>
            <w:noWrap/>
            <w:vAlign w:val="center"/>
            <w:hideMark/>
          </w:tcPr>
          <w:p w14:paraId="6B7730F5" w14:textId="4FFB4151"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86.3</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569E1D9D"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0AE2FE8F"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3,894/4,548</w:t>
            </w:r>
          </w:p>
        </w:tc>
        <w:tc>
          <w:tcPr>
            <w:tcW w:w="1121" w:type="dxa"/>
            <w:tcBorders>
              <w:top w:val="nil"/>
              <w:left w:val="nil"/>
              <w:bottom w:val="nil"/>
              <w:right w:val="nil"/>
            </w:tcBorders>
            <w:shd w:val="clear" w:color="auto" w:fill="auto"/>
            <w:noWrap/>
            <w:vAlign w:val="center"/>
            <w:hideMark/>
          </w:tcPr>
          <w:p w14:paraId="414C645A" w14:textId="75ADD55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2AB2B793"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253944F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4,482/5,416</w:t>
            </w:r>
          </w:p>
        </w:tc>
        <w:tc>
          <w:tcPr>
            <w:tcW w:w="1121" w:type="dxa"/>
            <w:tcBorders>
              <w:top w:val="nil"/>
              <w:left w:val="nil"/>
              <w:bottom w:val="nil"/>
              <w:right w:val="nil"/>
            </w:tcBorders>
            <w:shd w:val="clear" w:color="auto" w:fill="auto"/>
            <w:noWrap/>
            <w:vAlign w:val="center"/>
            <w:hideMark/>
          </w:tcPr>
          <w:p w14:paraId="2116906B" w14:textId="6D6B4F6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82.8</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79AF1B8E"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4DC109C0"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5,655/7,289</w:t>
            </w:r>
          </w:p>
        </w:tc>
        <w:tc>
          <w:tcPr>
            <w:tcW w:w="1270" w:type="dxa"/>
            <w:tcBorders>
              <w:top w:val="nil"/>
              <w:left w:val="nil"/>
              <w:bottom w:val="nil"/>
              <w:right w:val="nil"/>
            </w:tcBorders>
            <w:shd w:val="clear" w:color="auto" w:fill="auto"/>
            <w:noWrap/>
            <w:vAlign w:val="center"/>
            <w:hideMark/>
          </w:tcPr>
          <w:p w14:paraId="019FEBA3" w14:textId="43CB79F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77.6</w:t>
            </w:r>
            <w:r>
              <w:rPr>
                <w:rFonts w:ascii="Calibri" w:eastAsia="Times New Roman" w:hAnsi="Calibri" w:cs="Calibri"/>
                <w:color w:val="000000"/>
                <w:sz w:val="24"/>
                <w:szCs w:val="24"/>
              </w:rPr>
              <w:t>%</w:t>
            </w:r>
          </w:p>
        </w:tc>
        <w:tc>
          <w:tcPr>
            <w:tcW w:w="307" w:type="dxa"/>
            <w:tcBorders>
              <w:top w:val="nil"/>
              <w:left w:val="nil"/>
              <w:bottom w:val="nil"/>
              <w:right w:val="nil"/>
            </w:tcBorders>
            <w:shd w:val="clear" w:color="auto" w:fill="auto"/>
            <w:vAlign w:val="center"/>
            <w:hideMark/>
          </w:tcPr>
          <w:p w14:paraId="6F1F7A5E" w14:textId="77777777" w:rsidR="001D0907" w:rsidRPr="002B546D" w:rsidRDefault="001D0907" w:rsidP="001D0907">
            <w:pPr>
              <w:spacing w:after="0" w:line="240" w:lineRule="auto"/>
              <w:jc w:val="center"/>
              <w:rPr>
                <w:rFonts w:ascii="Calibri" w:eastAsia="Times New Roman" w:hAnsi="Calibri" w:cs="Calibri"/>
                <w:color w:val="000000"/>
                <w:sz w:val="24"/>
                <w:szCs w:val="24"/>
              </w:rPr>
            </w:pPr>
          </w:p>
        </w:tc>
        <w:tc>
          <w:tcPr>
            <w:tcW w:w="1864" w:type="dxa"/>
            <w:tcBorders>
              <w:top w:val="nil"/>
              <w:left w:val="nil"/>
              <w:bottom w:val="nil"/>
              <w:right w:val="nil"/>
            </w:tcBorders>
            <w:shd w:val="clear" w:color="auto" w:fill="auto"/>
            <w:noWrap/>
            <w:vAlign w:val="center"/>
            <w:hideMark/>
          </w:tcPr>
          <w:p w14:paraId="25A6642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6,021/7,801</w:t>
            </w:r>
          </w:p>
        </w:tc>
        <w:tc>
          <w:tcPr>
            <w:tcW w:w="1126" w:type="dxa"/>
            <w:tcBorders>
              <w:top w:val="nil"/>
              <w:left w:val="nil"/>
              <w:bottom w:val="nil"/>
              <w:right w:val="nil"/>
            </w:tcBorders>
            <w:shd w:val="clear" w:color="auto" w:fill="auto"/>
            <w:noWrap/>
            <w:vAlign w:val="center"/>
            <w:hideMark/>
          </w:tcPr>
          <w:p w14:paraId="7B5D2938" w14:textId="06AD1F7F"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77.2</w:t>
            </w:r>
            <w:r>
              <w:rPr>
                <w:rFonts w:ascii="Calibri" w:eastAsia="Times New Roman" w:hAnsi="Calibri" w:cs="Calibri"/>
                <w:color w:val="000000"/>
                <w:sz w:val="24"/>
                <w:szCs w:val="24"/>
              </w:rPr>
              <w:t>%</w:t>
            </w:r>
          </w:p>
        </w:tc>
      </w:tr>
      <w:tr w:rsidR="001D0907" w:rsidRPr="002B546D" w14:paraId="01E620B6" w14:textId="77777777" w:rsidTr="001D0907">
        <w:trPr>
          <w:trHeight w:val="332"/>
        </w:trPr>
        <w:tc>
          <w:tcPr>
            <w:tcW w:w="1273" w:type="dxa"/>
            <w:tcBorders>
              <w:top w:val="nil"/>
              <w:left w:val="nil"/>
              <w:bottom w:val="single" w:sz="12" w:space="0" w:color="auto"/>
              <w:right w:val="nil"/>
            </w:tcBorders>
            <w:shd w:val="clear" w:color="000000" w:fill="D9D9D9"/>
            <w:noWrap/>
            <w:vAlign w:val="center"/>
            <w:hideMark/>
          </w:tcPr>
          <w:p w14:paraId="5A12270E" w14:textId="77777777" w:rsidR="001D0907" w:rsidRPr="002B546D" w:rsidRDefault="001D0907" w:rsidP="001D0907">
            <w:pPr>
              <w:spacing w:after="0" w:line="240" w:lineRule="auto"/>
              <w:rPr>
                <w:rFonts w:ascii="Calibri" w:eastAsia="Times New Roman" w:hAnsi="Calibri" w:cs="Calibri"/>
                <w:color w:val="000000"/>
                <w:sz w:val="24"/>
                <w:szCs w:val="24"/>
              </w:rPr>
            </w:pPr>
            <w:r w:rsidRPr="002B546D">
              <w:rPr>
                <w:rFonts w:ascii="Calibri" w:eastAsia="Times New Roman" w:hAnsi="Calibri" w:cs="Calibri"/>
                <w:color w:val="000000"/>
                <w:sz w:val="24"/>
                <w:szCs w:val="24"/>
              </w:rPr>
              <w:t xml:space="preserve">   MSM</w:t>
            </w:r>
          </w:p>
        </w:tc>
        <w:tc>
          <w:tcPr>
            <w:tcW w:w="1864" w:type="dxa"/>
            <w:tcBorders>
              <w:top w:val="nil"/>
              <w:left w:val="nil"/>
              <w:bottom w:val="single" w:sz="12" w:space="0" w:color="auto"/>
              <w:right w:val="nil"/>
            </w:tcBorders>
            <w:shd w:val="clear" w:color="000000" w:fill="D9D9D9"/>
            <w:noWrap/>
            <w:vAlign w:val="center"/>
            <w:hideMark/>
          </w:tcPr>
          <w:p w14:paraId="057128F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13,870/16,155</w:t>
            </w:r>
          </w:p>
        </w:tc>
        <w:tc>
          <w:tcPr>
            <w:tcW w:w="1121" w:type="dxa"/>
            <w:tcBorders>
              <w:top w:val="nil"/>
              <w:left w:val="nil"/>
              <w:bottom w:val="single" w:sz="12" w:space="0" w:color="auto"/>
              <w:right w:val="nil"/>
            </w:tcBorders>
            <w:shd w:val="clear" w:color="000000" w:fill="D9D9D9"/>
            <w:noWrap/>
            <w:vAlign w:val="center"/>
            <w:hideMark/>
          </w:tcPr>
          <w:p w14:paraId="613C6BC2" w14:textId="59E76296"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85.9</w:t>
            </w:r>
            <w:r>
              <w:rPr>
                <w:rFonts w:ascii="Calibri" w:eastAsia="Times New Roman" w:hAnsi="Calibri" w:cs="Calibri"/>
                <w:color w:val="000000"/>
                <w:sz w:val="24"/>
                <w:szCs w:val="24"/>
              </w:rPr>
              <w:t>%</w:t>
            </w:r>
          </w:p>
        </w:tc>
        <w:tc>
          <w:tcPr>
            <w:tcW w:w="307" w:type="dxa"/>
            <w:tcBorders>
              <w:top w:val="nil"/>
              <w:left w:val="nil"/>
              <w:bottom w:val="single" w:sz="12" w:space="0" w:color="auto"/>
              <w:right w:val="nil"/>
            </w:tcBorders>
            <w:shd w:val="clear" w:color="000000" w:fill="D9D9D9"/>
            <w:vAlign w:val="center"/>
            <w:hideMark/>
          </w:tcPr>
          <w:p w14:paraId="65FED2E2"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000000" w:fill="D9D9D9"/>
            <w:noWrap/>
            <w:vAlign w:val="center"/>
            <w:hideMark/>
          </w:tcPr>
          <w:p w14:paraId="7BED0708"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14,820/17,736</w:t>
            </w:r>
          </w:p>
        </w:tc>
        <w:tc>
          <w:tcPr>
            <w:tcW w:w="1121" w:type="dxa"/>
            <w:tcBorders>
              <w:top w:val="nil"/>
              <w:left w:val="nil"/>
              <w:bottom w:val="single" w:sz="12" w:space="0" w:color="auto"/>
              <w:right w:val="nil"/>
            </w:tcBorders>
            <w:shd w:val="clear" w:color="000000" w:fill="D9D9D9"/>
            <w:noWrap/>
            <w:vAlign w:val="center"/>
            <w:hideMark/>
          </w:tcPr>
          <w:p w14:paraId="4F33C36E" w14:textId="3EA37695"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83.6</w:t>
            </w:r>
            <w:r>
              <w:rPr>
                <w:rFonts w:ascii="Calibri" w:eastAsia="Times New Roman" w:hAnsi="Calibri" w:cs="Calibri"/>
                <w:color w:val="000000"/>
                <w:sz w:val="24"/>
                <w:szCs w:val="24"/>
              </w:rPr>
              <w:t>%</w:t>
            </w:r>
          </w:p>
        </w:tc>
        <w:tc>
          <w:tcPr>
            <w:tcW w:w="307" w:type="dxa"/>
            <w:tcBorders>
              <w:top w:val="nil"/>
              <w:left w:val="nil"/>
              <w:bottom w:val="single" w:sz="12" w:space="0" w:color="auto"/>
              <w:right w:val="nil"/>
            </w:tcBorders>
            <w:shd w:val="clear" w:color="000000" w:fill="D9D9D9"/>
            <w:vAlign w:val="center"/>
            <w:hideMark/>
          </w:tcPr>
          <w:p w14:paraId="0FDD20D1"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000000" w:fill="D9D9D9"/>
            <w:noWrap/>
            <w:vAlign w:val="center"/>
            <w:hideMark/>
          </w:tcPr>
          <w:p w14:paraId="31409AD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15,322/18,760</w:t>
            </w:r>
          </w:p>
        </w:tc>
        <w:tc>
          <w:tcPr>
            <w:tcW w:w="1121" w:type="dxa"/>
            <w:tcBorders>
              <w:top w:val="nil"/>
              <w:left w:val="nil"/>
              <w:bottom w:val="single" w:sz="12" w:space="0" w:color="auto"/>
              <w:right w:val="nil"/>
            </w:tcBorders>
            <w:shd w:val="clear" w:color="000000" w:fill="D9D9D9"/>
            <w:noWrap/>
            <w:vAlign w:val="center"/>
            <w:hideMark/>
          </w:tcPr>
          <w:p w14:paraId="1680E454" w14:textId="18562129"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81.7</w:t>
            </w:r>
            <w:r>
              <w:rPr>
                <w:rFonts w:ascii="Calibri" w:eastAsia="Times New Roman" w:hAnsi="Calibri" w:cs="Calibri"/>
                <w:color w:val="000000"/>
                <w:sz w:val="24"/>
                <w:szCs w:val="24"/>
              </w:rPr>
              <w:t>%</w:t>
            </w:r>
          </w:p>
        </w:tc>
        <w:tc>
          <w:tcPr>
            <w:tcW w:w="307" w:type="dxa"/>
            <w:tcBorders>
              <w:top w:val="nil"/>
              <w:left w:val="nil"/>
              <w:bottom w:val="single" w:sz="12" w:space="0" w:color="auto"/>
              <w:right w:val="nil"/>
            </w:tcBorders>
            <w:shd w:val="clear" w:color="000000" w:fill="D9D9D9"/>
            <w:vAlign w:val="center"/>
            <w:hideMark/>
          </w:tcPr>
          <w:p w14:paraId="69C42329"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000000" w:fill="D9D9D9"/>
            <w:noWrap/>
            <w:vAlign w:val="center"/>
            <w:hideMark/>
          </w:tcPr>
          <w:p w14:paraId="2485C206"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13,804/18,381</w:t>
            </w:r>
          </w:p>
        </w:tc>
        <w:tc>
          <w:tcPr>
            <w:tcW w:w="1270" w:type="dxa"/>
            <w:tcBorders>
              <w:top w:val="nil"/>
              <w:left w:val="nil"/>
              <w:bottom w:val="single" w:sz="12" w:space="0" w:color="auto"/>
              <w:right w:val="nil"/>
            </w:tcBorders>
            <w:shd w:val="clear" w:color="000000" w:fill="D9D9D9"/>
            <w:noWrap/>
            <w:vAlign w:val="center"/>
            <w:hideMark/>
          </w:tcPr>
          <w:p w14:paraId="3A7129C3" w14:textId="12223F98"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75.1</w:t>
            </w:r>
            <w:r>
              <w:rPr>
                <w:rFonts w:ascii="Calibri" w:eastAsia="Times New Roman" w:hAnsi="Calibri" w:cs="Calibri"/>
                <w:color w:val="000000"/>
                <w:sz w:val="24"/>
                <w:szCs w:val="24"/>
              </w:rPr>
              <w:t>%</w:t>
            </w:r>
          </w:p>
        </w:tc>
        <w:tc>
          <w:tcPr>
            <w:tcW w:w="307" w:type="dxa"/>
            <w:tcBorders>
              <w:top w:val="nil"/>
              <w:left w:val="nil"/>
              <w:bottom w:val="single" w:sz="12" w:space="0" w:color="auto"/>
              <w:right w:val="nil"/>
            </w:tcBorders>
            <w:shd w:val="clear" w:color="000000" w:fill="D9D9D9"/>
            <w:vAlign w:val="center"/>
            <w:hideMark/>
          </w:tcPr>
          <w:p w14:paraId="225BDF8E"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 </w:t>
            </w:r>
          </w:p>
        </w:tc>
        <w:tc>
          <w:tcPr>
            <w:tcW w:w="1864" w:type="dxa"/>
            <w:tcBorders>
              <w:top w:val="nil"/>
              <w:left w:val="nil"/>
              <w:bottom w:val="single" w:sz="12" w:space="0" w:color="auto"/>
              <w:right w:val="nil"/>
            </w:tcBorders>
            <w:shd w:val="clear" w:color="000000" w:fill="D9D9D9"/>
            <w:noWrap/>
            <w:vAlign w:val="center"/>
            <w:hideMark/>
          </w:tcPr>
          <w:p w14:paraId="399C0987" w14:textId="77777777"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13,487/17,968</w:t>
            </w:r>
          </w:p>
        </w:tc>
        <w:tc>
          <w:tcPr>
            <w:tcW w:w="1126" w:type="dxa"/>
            <w:tcBorders>
              <w:top w:val="nil"/>
              <w:left w:val="nil"/>
              <w:bottom w:val="single" w:sz="12" w:space="0" w:color="auto"/>
              <w:right w:val="nil"/>
            </w:tcBorders>
            <w:shd w:val="clear" w:color="000000" w:fill="D9D9D9"/>
            <w:noWrap/>
            <w:vAlign w:val="center"/>
            <w:hideMark/>
          </w:tcPr>
          <w:p w14:paraId="322649B3" w14:textId="442DE913" w:rsidR="001D0907" w:rsidRPr="002B546D" w:rsidRDefault="001D0907" w:rsidP="001D0907">
            <w:pPr>
              <w:spacing w:after="0" w:line="240" w:lineRule="auto"/>
              <w:jc w:val="center"/>
              <w:rPr>
                <w:rFonts w:ascii="Calibri" w:eastAsia="Times New Roman" w:hAnsi="Calibri" w:cs="Calibri"/>
                <w:color w:val="000000"/>
                <w:sz w:val="24"/>
                <w:szCs w:val="24"/>
              </w:rPr>
            </w:pPr>
            <w:r w:rsidRPr="002B546D">
              <w:rPr>
                <w:rFonts w:ascii="Calibri" w:eastAsia="Times New Roman" w:hAnsi="Calibri" w:cs="Calibri"/>
                <w:color w:val="000000"/>
                <w:sz w:val="24"/>
                <w:szCs w:val="24"/>
              </w:rPr>
              <w:t>75.1</w:t>
            </w:r>
            <w:r>
              <w:rPr>
                <w:rFonts w:ascii="Calibri" w:eastAsia="Times New Roman" w:hAnsi="Calibri" w:cs="Calibri"/>
                <w:color w:val="000000"/>
                <w:sz w:val="24"/>
                <w:szCs w:val="24"/>
              </w:rPr>
              <w:t>%</w:t>
            </w:r>
          </w:p>
        </w:tc>
      </w:tr>
      <w:tr w:rsidR="001D0907" w:rsidRPr="002B546D" w14:paraId="6B256DBD" w14:textId="77777777" w:rsidTr="001D0907">
        <w:trPr>
          <w:trHeight w:val="332"/>
        </w:trPr>
        <w:tc>
          <w:tcPr>
            <w:tcW w:w="17580" w:type="dxa"/>
            <w:gridSpan w:val="15"/>
            <w:tcBorders>
              <w:top w:val="single" w:sz="12" w:space="0" w:color="auto"/>
              <w:left w:val="nil"/>
              <w:right w:val="nil"/>
            </w:tcBorders>
            <w:shd w:val="clear" w:color="auto" w:fill="FFFFFF" w:themeFill="background1"/>
            <w:noWrap/>
            <w:vAlign w:val="center"/>
          </w:tcPr>
          <w:p w14:paraId="2D15999E" w14:textId="77777777" w:rsidR="001D0907" w:rsidRPr="001D0907" w:rsidRDefault="001D0907" w:rsidP="001D0907">
            <w:pPr>
              <w:spacing w:after="0" w:line="240" w:lineRule="auto"/>
              <w:rPr>
                <w:rFonts w:ascii="Calibri" w:eastAsia="Times New Roman" w:hAnsi="Calibri" w:cs="Calibri"/>
                <w:sz w:val="20"/>
                <w:szCs w:val="20"/>
              </w:rPr>
            </w:pPr>
            <w:r w:rsidRPr="001D0907">
              <w:rPr>
                <w:rFonts w:ascii="Calibri" w:eastAsia="Times New Roman" w:hAnsi="Calibri" w:cs="Calibri"/>
                <w:sz w:val="20"/>
                <w:szCs w:val="20"/>
              </w:rPr>
              <w:t>*Within the past 12 months</w:t>
            </w:r>
          </w:p>
          <w:p w14:paraId="118D0C81" w14:textId="30B2FD12" w:rsidR="001D0907" w:rsidRPr="001D0907" w:rsidRDefault="001D0907" w:rsidP="001D0907">
            <w:pPr>
              <w:spacing w:after="0" w:line="240" w:lineRule="auto"/>
              <w:rPr>
                <w:rFonts w:ascii="Calibri" w:eastAsia="Times New Roman" w:hAnsi="Calibri" w:cs="Calibri"/>
                <w:color w:val="000000"/>
                <w:sz w:val="20"/>
                <w:szCs w:val="20"/>
              </w:rPr>
            </w:pPr>
            <w:r w:rsidRPr="001D0907">
              <w:rPr>
                <w:rFonts w:ascii="Calibri" w:eastAsia="Times New Roman" w:hAnsi="Calibri" w:cs="Calibri"/>
                <w:b/>
                <w:bCs/>
                <w:sz w:val="20"/>
                <w:szCs w:val="20"/>
              </w:rPr>
              <w:t>ACRONYMS:</w:t>
            </w:r>
            <w:r w:rsidRPr="001D0907">
              <w:rPr>
                <w:rFonts w:ascii="Calibri" w:eastAsia="Times New Roman" w:hAnsi="Calibri" w:cs="Calibri"/>
                <w:sz w:val="20"/>
                <w:szCs w:val="20"/>
              </w:rPr>
              <w:t xml:space="preserve"> MSM = Gay, bisexual, and other men who have sex with men; MSW = Men who have sex with women only</w:t>
            </w:r>
          </w:p>
        </w:tc>
      </w:tr>
    </w:tbl>
    <w:p w14:paraId="21DDC86B" w14:textId="40E186A9" w:rsidR="004841EC" w:rsidRPr="001E014C" w:rsidRDefault="004841EC" w:rsidP="00253EDB">
      <w:pPr>
        <w:jc w:val="both"/>
        <w:rPr>
          <w:sz w:val="24"/>
          <w:szCs w:val="24"/>
          <w:u w:val="single"/>
        </w:rPr>
      </w:pPr>
    </w:p>
    <w:sectPr w:rsidR="004841EC" w:rsidRPr="001E014C" w:rsidSect="001D0907">
      <w:pgSz w:w="20160" w:h="12240" w:orient="landscape" w:code="5"/>
      <w:pgMar w:top="100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D43B" w14:textId="77777777" w:rsidR="00580528" w:rsidRDefault="00580528" w:rsidP="00FE2105">
      <w:pPr>
        <w:spacing w:after="0" w:line="240" w:lineRule="auto"/>
      </w:pPr>
      <w:r>
        <w:separator/>
      </w:r>
    </w:p>
  </w:endnote>
  <w:endnote w:type="continuationSeparator" w:id="0">
    <w:p w14:paraId="2B0ECDC6" w14:textId="77777777" w:rsidR="00580528" w:rsidRDefault="00580528" w:rsidP="00FE2105">
      <w:pPr>
        <w:spacing w:after="0" w:line="240" w:lineRule="auto"/>
      </w:pPr>
      <w:r>
        <w:continuationSeparator/>
      </w:r>
    </w:p>
  </w:endnote>
  <w:endnote w:type="continuationNotice" w:id="1">
    <w:p w14:paraId="78A3199D" w14:textId="77777777" w:rsidR="00580528" w:rsidRDefault="00580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opperplate">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CB49" w14:textId="77777777" w:rsidR="00242901" w:rsidRDefault="0024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77095"/>
      <w:docPartObj>
        <w:docPartGallery w:val="Page Numbers (Bottom of Page)"/>
        <w:docPartUnique/>
      </w:docPartObj>
    </w:sdtPr>
    <w:sdtEndPr>
      <w:rPr>
        <w:noProof/>
      </w:rPr>
    </w:sdtEndPr>
    <w:sdtContent>
      <w:p w14:paraId="5E13AA45" w14:textId="104B17CD" w:rsidR="00792814" w:rsidRDefault="00792814">
        <w:pPr>
          <w:pStyle w:val="Footer"/>
          <w:jc w:val="right"/>
        </w:pPr>
        <w:r>
          <w:fldChar w:fldCharType="begin"/>
        </w:r>
        <w:r>
          <w:instrText xml:space="preserve"> PAGE   \* MERGEFORMAT </w:instrText>
        </w:r>
        <w:r>
          <w:fldChar w:fldCharType="separate"/>
        </w:r>
        <w:r w:rsidR="008F096C">
          <w:rPr>
            <w:noProof/>
          </w:rPr>
          <w:t>20</w:t>
        </w:r>
        <w:r>
          <w:rPr>
            <w:noProof/>
          </w:rPr>
          <w:fldChar w:fldCharType="end"/>
        </w:r>
      </w:p>
    </w:sdtContent>
  </w:sdt>
  <w:p w14:paraId="39A3C3AC" w14:textId="77777777" w:rsidR="00792814" w:rsidRDefault="00792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199E" w14:textId="71E4EF9D" w:rsidR="00792814" w:rsidRDefault="00792814">
    <w:pPr>
      <w:pStyle w:val="Footer"/>
      <w:jc w:val="right"/>
    </w:pPr>
  </w:p>
  <w:p w14:paraId="4E3CC6F2" w14:textId="77777777" w:rsidR="00792814" w:rsidRDefault="0079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16AB" w14:textId="77777777" w:rsidR="00580528" w:rsidRDefault="00580528" w:rsidP="00FE2105">
      <w:pPr>
        <w:spacing w:after="0" w:line="240" w:lineRule="auto"/>
      </w:pPr>
      <w:r>
        <w:separator/>
      </w:r>
    </w:p>
  </w:footnote>
  <w:footnote w:type="continuationSeparator" w:id="0">
    <w:p w14:paraId="02A3C2EF" w14:textId="77777777" w:rsidR="00580528" w:rsidRDefault="00580528" w:rsidP="00FE2105">
      <w:pPr>
        <w:spacing w:after="0" w:line="240" w:lineRule="auto"/>
      </w:pPr>
      <w:r>
        <w:continuationSeparator/>
      </w:r>
    </w:p>
  </w:footnote>
  <w:footnote w:type="continuationNotice" w:id="1">
    <w:p w14:paraId="670C36E9" w14:textId="77777777" w:rsidR="00580528" w:rsidRDefault="00580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82A0" w14:textId="77777777" w:rsidR="00242901" w:rsidRDefault="00242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98CE" w14:textId="77777777" w:rsidR="00242901" w:rsidRDefault="00242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EC34" w14:textId="77777777" w:rsidR="00242901" w:rsidRDefault="0024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491"/>
    <w:multiLevelType w:val="hybridMultilevel"/>
    <w:tmpl w:val="D63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17AF"/>
    <w:multiLevelType w:val="hybridMultilevel"/>
    <w:tmpl w:val="1A58168A"/>
    <w:lvl w:ilvl="0" w:tplc="38A814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49E3"/>
    <w:multiLevelType w:val="hybridMultilevel"/>
    <w:tmpl w:val="D2520D00"/>
    <w:lvl w:ilvl="0" w:tplc="CA0A6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53D0B"/>
    <w:multiLevelType w:val="hybridMultilevel"/>
    <w:tmpl w:val="21B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A0D05"/>
    <w:multiLevelType w:val="hybridMultilevel"/>
    <w:tmpl w:val="FDD67FFC"/>
    <w:lvl w:ilvl="0" w:tplc="CB367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jEzMTQ2NTO1tDBW0lEKTi0uzszPAykwrAUA9rTPXywAAAA="/>
  </w:docVars>
  <w:rsids>
    <w:rsidRoot w:val="0089034E"/>
    <w:rsid w:val="0000448E"/>
    <w:rsid w:val="0000469F"/>
    <w:rsid w:val="000053FD"/>
    <w:rsid w:val="0000667C"/>
    <w:rsid w:val="00007D32"/>
    <w:rsid w:val="00020DAA"/>
    <w:rsid w:val="00021A6B"/>
    <w:rsid w:val="00025856"/>
    <w:rsid w:val="000304C0"/>
    <w:rsid w:val="00030609"/>
    <w:rsid w:val="0003116C"/>
    <w:rsid w:val="000331C6"/>
    <w:rsid w:val="000348A0"/>
    <w:rsid w:val="00036A59"/>
    <w:rsid w:val="000407AF"/>
    <w:rsid w:val="000427D0"/>
    <w:rsid w:val="00047698"/>
    <w:rsid w:val="0005215E"/>
    <w:rsid w:val="00054D38"/>
    <w:rsid w:val="0005523B"/>
    <w:rsid w:val="00055905"/>
    <w:rsid w:val="000562DC"/>
    <w:rsid w:val="000574CE"/>
    <w:rsid w:val="000578EB"/>
    <w:rsid w:val="00057FC9"/>
    <w:rsid w:val="00061659"/>
    <w:rsid w:val="000646D7"/>
    <w:rsid w:val="00066FC1"/>
    <w:rsid w:val="00067991"/>
    <w:rsid w:val="00067B07"/>
    <w:rsid w:val="00070DBC"/>
    <w:rsid w:val="000725A3"/>
    <w:rsid w:val="00082085"/>
    <w:rsid w:val="00082CBD"/>
    <w:rsid w:val="000846FE"/>
    <w:rsid w:val="000869DB"/>
    <w:rsid w:val="000935DB"/>
    <w:rsid w:val="0009427A"/>
    <w:rsid w:val="00095374"/>
    <w:rsid w:val="00096EA2"/>
    <w:rsid w:val="000A141E"/>
    <w:rsid w:val="000A275C"/>
    <w:rsid w:val="000A4D38"/>
    <w:rsid w:val="000A6754"/>
    <w:rsid w:val="000A78DE"/>
    <w:rsid w:val="000B6F7E"/>
    <w:rsid w:val="000B7037"/>
    <w:rsid w:val="000B7B86"/>
    <w:rsid w:val="000C37A1"/>
    <w:rsid w:val="000C3AC2"/>
    <w:rsid w:val="000C436B"/>
    <w:rsid w:val="000C4BF1"/>
    <w:rsid w:val="000C53FD"/>
    <w:rsid w:val="000C5495"/>
    <w:rsid w:val="000C7266"/>
    <w:rsid w:val="000C796A"/>
    <w:rsid w:val="000D24DC"/>
    <w:rsid w:val="000D33C7"/>
    <w:rsid w:val="000D724B"/>
    <w:rsid w:val="000E164C"/>
    <w:rsid w:val="000E60F2"/>
    <w:rsid w:val="000E6C03"/>
    <w:rsid w:val="000F02A9"/>
    <w:rsid w:val="000F2223"/>
    <w:rsid w:val="000F48D3"/>
    <w:rsid w:val="000F72E4"/>
    <w:rsid w:val="0010177E"/>
    <w:rsid w:val="001042D4"/>
    <w:rsid w:val="0010787B"/>
    <w:rsid w:val="00107E8D"/>
    <w:rsid w:val="0011101F"/>
    <w:rsid w:val="00114368"/>
    <w:rsid w:val="0012298D"/>
    <w:rsid w:val="001257C7"/>
    <w:rsid w:val="0012742B"/>
    <w:rsid w:val="00133601"/>
    <w:rsid w:val="00133B9F"/>
    <w:rsid w:val="00134973"/>
    <w:rsid w:val="001402AA"/>
    <w:rsid w:val="00143236"/>
    <w:rsid w:val="00143D55"/>
    <w:rsid w:val="0014615E"/>
    <w:rsid w:val="00153136"/>
    <w:rsid w:val="00154A16"/>
    <w:rsid w:val="00161D37"/>
    <w:rsid w:val="00163D25"/>
    <w:rsid w:val="00164491"/>
    <w:rsid w:val="0016529C"/>
    <w:rsid w:val="00166BF2"/>
    <w:rsid w:val="00172687"/>
    <w:rsid w:val="00183C2C"/>
    <w:rsid w:val="00187319"/>
    <w:rsid w:val="00195A80"/>
    <w:rsid w:val="001961D1"/>
    <w:rsid w:val="001A333D"/>
    <w:rsid w:val="001A61DB"/>
    <w:rsid w:val="001B52C2"/>
    <w:rsid w:val="001B718A"/>
    <w:rsid w:val="001D07E2"/>
    <w:rsid w:val="001D0907"/>
    <w:rsid w:val="001D0F9B"/>
    <w:rsid w:val="001D6B30"/>
    <w:rsid w:val="001E014C"/>
    <w:rsid w:val="001E096A"/>
    <w:rsid w:val="001E4023"/>
    <w:rsid w:val="001E5CE1"/>
    <w:rsid w:val="001E63D8"/>
    <w:rsid w:val="001F0DF5"/>
    <w:rsid w:val="001F1ABE"/>
    <w:rsid w:val="001F211A"/>
    <w:rsid w:val="001F6777"/>
    <w:rsid w:val="00202907"/>
    <w:rsid w:val="0020508D"/>
    <w:rsid w:val="00215167"/>
    <w:rsid w:val="0022037A"/>
    <w:rsid w:val="002224FE"/>
    <w:rsid w:val="00224682"/>
    <w:rsid w:val="00231CA9"/>
    <w:rsid w:val="002346FA"/>
    <w:rsid w:val="002349E2"/>
    <w:rsid w:val="00234BD2"/>
    <w:rsid w:val="00237EAD"/>
    <w:rsid w:val="00241660"/>
    <w:rsid w:val="00242901"/>
    <w:rsid w:val="00253EDB"/>
    <w:rsid w:val="002601B8"/>
    <w:rsid w:val="0026435D"/>
    <w:rsid w:val="00266BB5"/>
    <w:rsid w:val="00267360"/>
    <w:rsid w:val="00271C1A"/>
    <w:rsid w:val="0027331E"/>
    <w:rsid w:val="002743F1"/>
    <w:rsid w:val="002747DB"/>
    <w:rsid w:val="00277239"/>
    <w:rsid w:val="002817B0"/>
    <w:rsid w:val="00282E1B"/>
    <w:rsid w:val="00283E74"/>
    <w:rsid w:val="00285BA0"/>
    <w:rsid w:val="00292E21"/>
    <w:rsid w:val="00295C5A"/>
    <w:rsid w:val="00296D0F"/>
    <w:rsid w:val="002A0C78"/>
    <w:rsid w:val="002A1A08"/>
    <w:rsid w:val="002B06BF"/>
    <w:rsid w:val="002B0A99"/>
    <w:rsid w:val="002B2091"/>
    <w:rsid w:val="002B3AFC"/>
    <w:rsid w:val="002B3C16"/>
    <w:rsid w:val="002B49D7"/>
    <w:rsid w:val="002B546D"/>
    <w:rsid w:val="002B6D7F"/>
    <w:rsid w:val="002C27F4"/>
    <w:rsid w:val="002C2A0B"/>
    <w:rsid w:val="002C5A10"/>
    <w:rsid w:val="002D209C"/>
    <w:rsid w:val="002D2978"/>
    <w:rsid w:val="002D45D1"/>
    <w:rsid w:val="002D4DBB"/>
    <w:rsid w:val="002E02A5"/>
    <w:rsid w:val="002E2BEB"/>
    <w:rsid w:val="002E3B97"/>
    <w:rsid w:val="002E4141"/>
    <w:rsid w:val="002E46B6"/>
    <w:rsid w:val="002F07C4"/>
    <w:rsid w:val="002F5BAF"/>
    <w:rsid w:val="003012F1"/>
    <w:rsid w:val="003027CE"/>
    <w:rsid w:val="003078CD"/>
    <w:rsid w:val="00307E74"/>
    <w:rsid w:val="00315A96"/>
    <w:rsid w:val="003177AA"/>
    <w:rsid w:val="003279D8"/>
    <w:rsid w:val="00331635"/>
    <w:rsid w:val="00331695"/>
    <w:rsid w:val="00331E69"/>
    <w:rsid w:val="00337764"/>
    <w:rsid w:val="00341FB2"/>
    <w:rsid w:val="00343134"/>
    <w:rsid w:val="00346916"/>
    <w:rsid w:val="00347EC2"/>
    <w:rsid w:val="003514E7"/>
    <w:rsid w:val="003531EB"/>
    <w:rsid w:val="00353B26"/>
    <w:rsid w:val="00375360"/>
    <w:rsid w:val="00380BA7"/>
    <w:rsid w:val="00385501"/>
    <w:rsid w:val="003867D8"/>
    <w:rsid w:val="00392B33"/>
    <w:rsid w:val="003C16D1"/>
    <w:rsid w:val="003C25CE"/>
    <w:rsid w:val="003D038F"/>
    <w:rsid w:val="003D2E5D"/>
    <w:rsid w:val="003D5642"/>
    <w:rsid w:val="003E2273"/>
    <w:rsid w:val="003E4B6D"/>
    <w:rsid w:val="003E53C2"/>
    <w:rsid w:val="003E5AE3"/>
    <w:rsid w:val="003E5F06"/>
    <w:rsid w:val="003E67B6"/>
    <w:rsid w:val="003F272F"/>
    <w:rsid w:val="003F3E7E"/>
    <w:rsid w:val="003F584D"/>
    <w:rsid w:val="004032D3"/>
    <w:rsid w:val="004128EC"/>
    <w:rsid w:val="00413282"/>
    <w:rsid w:val="00415484"/>
    <w:rsid w:val="00423A07"/>
    <w:rsid w:val="00423D67"/>
    <w:rsid w:val="004269FE"/>
    <w:rsid w:val="004275E2"/>
    <w:rsid w:val="00435727"/>
    <w:rsid w:val="00437B47"/>
    <w:rsid w:val="0044039C"/>
    <w:rsid w:val="00446AC6"/>
    <w:rsid w:val="00451B6E"/>
    <w:rsid w:val="00452FD7"/>
    <w:rsid w:val="00453F51"/>
    <w:rsid w:val="004630F7"/>
    <w:rsid w:val="00463A77"/>
    <w:rsid w:val="00465CDD"/>
    <w:rsid w:val="00465FA3"/>
    <w:rsid w:val="00477FF4"/>
    <w:rsid w:val="00481CB5"/>
    <w:rsid w:val="004823D0"/>
    <w:rsid w:val="004841EC"/>
    <w:rsid w:val="00485EEB"/>
    <w:rsid w:val="00491A14"/>
    <w:rsid w:val="00496A3F"/>
    <w:rsid w:val="00496DD8"/>
    <w:rsid w:val="004976BE"/>
    <w:rsid w:val="004A4E54"/>
    <w:rsid w:val="004B18BE"/>
    <w:rsid w:val="004B24A0"/>
    <w:rsid w:val="004B464F"/>
    <w:rsid w:val="004B63F8"/>
    <w:rsid w:val="004B758D"/>
    <w:rsid w:val="004D08DD"/>
    <w:rsid w:val="004E06DD"/>
    <w:rsid w:val="004E33E1"/>
    <w:rsid w:val="004E354F"/>
    <w:rsid w:val="004E48ED"/>
    <w:rsid w:val="004F147A"/>
    <w:rsid w:val="004F2BAE"/>
    <w:rsid w:val="004F565C"/>
    <w:rsid w:val="004F75E6"/>
    <w:rsid w:val="00500B0D"/>
    <w:rsid w:val="00504548"/>
    <w:rsid w:val="00511A44"/>
    <w:rsid w:val="0052075B"/>
    <w:rsid w:val="00523AA6"/>
    <w:rsid w:val="00523BBF"/>
    <w:rsid w:val="00531A6B"/>
    <w:rsid w:val="00531DA2"/>
    <w:rsid w:val="00532104"/>
    <w:rsid w:val="005326B6"/>
    <w:rsid w:val="005407B2"/>
    <w:rsid w:val="005438A3"/>
    <w:rsid w:val="00547BC5"/>
    <w:rsid w:val="00550C5C"/>
    <w:rsid w:val="00552878"/>
    <w:rsid w:val="0056048A"/>
    <w:rsid w:val="005614EA"/>
    <w:rsid w:val="00566DEE"/>
    <w:rsid w:val="005701E2"/>
    <w:rsid w:val="00576997"/>
    <w:rsid w:val="00580528"/>
    <w:rsid w:val="00580F76"/>
    <w:rsid w:val="0058165C"/>
    <w:rsid w:val="00582A7D"/>
    <w:rsid w:val="0058364F"/>
    <w:rsid w:val="00585DA0"/>
    <w:rsid w:val="00593C5C"/>
    <w:rsid w:val="00593D0A"/>
    <w:rsid w:val="005A1469"/>
    <w:rsid w:val="005A1D21"/>
    <w:rsid w:val="005B0B7F"/>
    <w:rsid w:val="005C329D"/>
    <w:rsid w:val="005C5D6C"/>
    <w:rsid w:val="005D5E38"/>
    <w:rsid w:val="005E0A78"/>
    <w:rsid w:val="005E2FF9"/>
    <w:rsid w:val="005E3373"/>
    <w:rsid w:val="005E53E9"/>
    <w:rsid w:val="005E70A3"/>
    <w:rsid w:val="005F0AF5"/>
    <w:rsid w:val="005F2ED5"/>
    <w:rsid w:val="005F6C65"/>
    <w:rsid w:val="005F7803"/>
    <w:rsid w:val="005F7ABD"/>
    <w:rsid w:val="005F7B35"/>
    <w:rsid w:val="00602D62"/>
    <w:rsid w:val="00603401"/>
    <w:rsid w:val="00604518"/>
    <w:rsid w:val="00607255"/>
    <w:rsid w:val="00607F41"/>
    <w:rsid w:val="00611F6E"/>
    <w:rsid w:val="00615F74"/>
    <w:rsid w:val="00621E02"/>
    <w:rsid w:val="006239E1"/>
    <w:rsid w:val="00623F96"/>
    <w:rsid w:val="006268FA"/>
    <w:rsid w:val="006348AA"/>
    <w:rsid w:val="006368C7"/>
    <w:rsid w:val="006410CC"/>
    <w:rsid w:val="00644819"/>
    <w:rsid w:val="006531E5"/>
    <w:rsid w:val="00653D70"/>
    <w:rsid w:val="00655D92"/>
    <w:rsid w:val="00670D11"/>
    <w:rsid w:val="00673B26"/>
    <w:rsid w:val="00673E37"/>
    <w:rsid w:val="00673F8D"/>
    <w:rsid w:val="00674CCB"/>
    <w:rsid w:val="00674DCF"/>
    <w:rsid w:val="00680930"/>
    <w:rsid w:val="00680D73"/>
    <w:rsid w:val="00683AF3"/>
    <w:rsid w:val="006921B4"/>
    <w:rsid w:val="00693F8E"/>
    <w:rsid w:val="006A1D9C"/>
    <w:rsid w:val="006A7228"/>
    <w:rsid w:val="006B17FD"/>
    <w:rsid w:val="006B264F"/>
    <w:rsid w:val="006B3CF4"/>
    <w:rsid w:val="006B7709"/>
    <w:rsid w:val="006B771A"/>
    <w:rsid w:val="006C033E"/>
    <w:rsid w:val="006C2640"/>
    <w:rsid w:val="006C342F"/>
    <w:rsid w:val="006E0A8A"/>
    <w:rsid w:val="006E3A09"/>
    <w:rsid w:val="006E44EA"/>
    <w:rsid w:val="006E4BE6"/>
    <w:rsid w:val="006E692F"/>
    <w:rsid w:val="006F0385"/>
    <w:rsid w:val="006F078B"/>
    <w:rsid w:val="006F4981"/>
    <w:rsid w:val="006F6606"/>
    <w:rsid w:val="006F7FC0"/>
    <w:rsid w:val="00700271"/>
    <w:rsid w:val="00701683"/>
    <w:rsid w:val="0070257A"/>
    <w:rsid w:val="00702B20"/>
    <w:rsid w:val="007063FA"/>
    <w:rsid w:val="007073C4"/>
    <w:rsid w:val="0071091C"/>
    <w:rsid w:val="00713DB4"/>
    <w:rsid w:val="00714EA6"/>
    <w:rsid w:val="00717EC2"/>
    <w:rsid w:val="007319EF"/>
    <w:rsid w:val="00733665"/>
    <w:rsid w:val="007336F8"/>
    <w:rsid w:val="007360CB"/>
    <w:rsid w:val="00742C83"/>
    <w:rsid w:val="00747B1F"/>
    <w:rsid w:val="007548D2"/>
    <w:rsid w:val="00755517"/>
    <w:rsid w:val="007577A4"/>
    <w:rsid w:val="007579E8"/>
    <w:rsid w:val="00757DB7"/>
    <w:rsid w:val="007662BC"/>
    <w:rsid w:val="0077761E"/>
    <w:rsid w:val="00783035"/>
    <w:rsid w:val="00783ED0"/>
    <w:rsid w:val="007856ED"/>
    <w:rsid w:val="00786C53"/>
    <w:rsid w:val="007872B4"/>
    <w:rsid w:val="00792814"/>
    <w:rsid w:val="00794B2F"/>
    <w:rsid w:val="00796C89"/>
    <w:rsid w:val="00796D72"/>
    <w:rsid w:val="00796E17"/>
    <w:rsid w:val="007A3133"/>
    <w:rsid w:val="007A5313"/>
    <w:rsid w:val="007A7BEF"/>
    <w:rsid w:val="007A7F4F"/>
    <w:rsid w:val="007B0A5E"/>
    <w:rsid w:val="007B115A"/>
    <w:rsid w:val="007B19DB"/>
    <w:rsid w:val="007B4FED"/>
    <w:rsid w:val="007B6301"/>
    <w:rsid w:val="007C3EA9"/>
    <w:rsid w:val="007C49C6"/>
    <w:rsid w:val="007C4C1C"/>
    <w:rsid w:val="007D51F5"/>
    <w:rsid w:val="007D7831"/>
    <w:rsid w:val="007E299D"/>
    <w:rsid w:val="007E31F5"/>
    <w:rsid w:val="007E4CD4"/>
    <w:rsid w:val="007E5AE9"/>
    <w:rsid w:val="007E6B3D"/>
    <w:rsid w:val="007E757F"/>
    <w:rsid w:val="007F052B"/>
    <w:rsid w:val="007F0B73"/>
    <w:rsid w:val="007F1116"/>
    <w:rsid w:val="007F29A5"/>
    <w:rsid w:val="007F3889"/>
    <w:rsid w:val="007F612D"/>
    <w:rsid w:val="00803C7B"/>
    <w:rsid w:val="00805520"/>
    <w:rsid w:val="008055CC"/>
    <w:rsid w:val="00805F70"/>
    <w:rsid w:val="00810C09"/>
    <w:rsid w:val="00811203"/>
    <w:rsid w:val="00812926"/>
    <w:rsid w:val="00812B49"/>
    <w:rsid w:val="00814010"/>
    <w:rsid w:val="00814B96"/>
    <w:rsid w:val="00815016"/>
    <w:rsid w:val="00815D37"/>
    <w:rsid w:val="00823185"/>
    <w:rsid w:val="008254F3"/>
    <w:rsid w:val="008269B1"/>
    <w:rsid w:val="00827CB3"/>
    <w:rsid w:val="00833DA3"/>
    <w:rsid w:val="008366D1"/>
    <w:rsid w:val="0084288F"/>
    <w:rsid w:val="00845C66"/>
    <w:rsid w:val="0084784C"/>
    <w:rsid w:val="00852FE4"/>
    <w:rsid w:val="00854040"/>
    <w:rsid w:val="00854F47"/>
    <w:rsid w:val="00862A68"/>
    <w:rsid w:val="00864A42"/>
    <w:rsid w:val="00867144"/>
    <w:rsid w:val="00867461"/>
    <w:rsid w:val="0086796A"/>
    <w:rsid w:val="00873227"/>
    <w:rsid w:val="008740E0"/>
    <w:rsid w:val="008841F4"/>
    <w:rsid w:val="0089034E"/>
    <w:rsid w:val="00890F12"/>
    <w:rsid w:val="00891200"/>
    <w:rsid w:val="008A326C"/>
    <w:rsid w:val="008B4D22"/>
    <w:rsid w:val="008B4DCE"/>
    <w:rsid w:val="008B563E"/>
    <w:rsid w:val="008B7052"/>
    <w:rsid w:val="008B7BBE"/>
    <w:rsid w:val="008C0C70"/>
    <w:rsid w:val="008C1D0F"/>
    <w:rsid w:val="008C37B5"/>
    <w:rsid w:val="008C5C48"/>
    <w:rsid w:val="008D63C4"/>
    <w:rsid w:val="008E04C4"/>
    <w:rsid w:val="008E50CB"/>
    <w:rsid w:val="008E7901"/>
    <w:rsid w:val="008F096C"/>
    <w:rsid w:val="008F0C01"/>
    <w:rsid w:val="008F19A3"/>
    <w:rsid w:val="008F2361"/>
    <w:rsid w:val="008F2B2C"/>
    <w:rsid w:val="00902DC3"/>
    <w:rsid w:val="009035CF"/>
    <w:rsid w:val="0090683F"/>
    <w:rsid w:val="00917D4A"/>
    <w:rsid w:val="00925F0D"/>
    <w:rsid w:val="00927319"/>
    <w:rsid w:val="0092769A"/>
    <w:rsid w:val="0093077C"/>
    <w:rsid w:val="00933E3F"/>
    <w:rsid w:val="00951883"/>
    <w:rsid w:val="00954DFC"/>
    <w:rsid w:val="00954FC1"/>
    <w:rsid w:val="00955C88"/>
    <w:rsid w:val="00957F59"/>
    <w:rsid w:val="0096486C"/>
    <w:rsid w:val="0096492C"/>
    <w:rsid w:val="00971A8E"/>
    <w:rsid w:val="009724F2"/>
    <w:rsid w:val="00972F8F"/>
    <w:rsid w:val="00973B81"/>
    <w:rsid w:val="00976DEB"/>
    <w:rsid w:val="00982934"/>
    <w:rsid w:val="00982FBC"/>
    <w:rsid w:val="00985F3D"/>
    <w:rsid w:val="00986422"/>
    <w:rsid w:val="009923A0"/>
    <w:rsid w:val="0099246E"/>
    <w:rsid w:val="009924DE"/>
    <w:rsid w:val="00993068"/>
    <w:rsid w:val="00994F78"/>
    <w:rsid w:val="00995EA1"/>
    <w:rsid w:val="009A012B"/>
    <w:rsid w:val="009A187C"/>
    <w:rsid w:val="009A266C"/>
    <w:rsid w:val="009D3A88"/>
    <w:rsid w:val="009D6C29"/>
    <w:rsid w:val="009E1D09"/>
    <w:rsid w:val="009E2755"/>
    <w:rsid w:val="009E730E"/>
    <w:rsid w:val="009F2E73"/>
    <w:rsid w:val="009F461A"/>
    <w:rsid w:val="009F46BE"/>
    <w:rsid w:val="009F46C7"/>
    <w:rsid w:val="00A01FD1"/>
    <w:rsid w:val="00A03A9B"/>
    <w:rsid w:val="00A049C6"/>
    <w:rsid w:val="00A114E8"/>
    <w:rsid w:val="00A1436D"/>
    <w:rsid w:val="00A17B62"/>
    <w:rsid w:val="00A20865"/>
    <w:rsid w:val="00A233BB"/>
    <w:rsid w:val="00A23576"/>
    <w:rsid w:val="00A253D5"/>
    <w:rsid w:val="00A27A25"/>
    <w:rsid w:val="00A3757F"/>
    <w:rsid w:val="00A415D7"/>
    <w:rsid w:val="00A43572"/>
    <w:rsid w:val="00A43F23"/>
    <w:rsid w:val="00A5227E"/>
    <w:rsid w:val="00A6174E"/>
    <w:rsid w:val="00A62AB7"/>
    <w:rsid w:val="00A65A55"/>
    <w:rsid w:val="00A67891"/>
    <w:rsid w:val="00A7725B"/>
    <w:rsid w:val="00A80A80"/>
    <w:rsid w:val="00A82BB0"/>
    <w:rsid w:val="00A8794A"/>
    <w:rsid w:val="00A912C1"/>
    <w:rsid w:val="00A93223"/>
    <w:rsid w:val="00A95631"/>
    <w:rsid w:val="00A95D14"/>
    <w:rsid w:val="00AA05AF"/>
    <w:rsid w:val="00AA466C"/>
    <w:rsid w:val="00AA7D9F"/>
    <w:rsid w:val="00AB0934"/>
    <w:rsid w:val="00AB4B48"/>
    <w:rsid w:val="00AC43EE"/>
    <w:rsid w:val="00AC56F7"/>
    <w:rsid w:val="00AC6ACC"/>
    <w:rsid w:val="00AD5766"/>
    <w:rsid w:val="00AD68C2"/>
    <w:rsid w:val="00AD6EED"/>
    <w:rsid w:val="00AE49C8"/>
    <w:rsid w:val="00AE6E58"/>
    <w:rsid w:val="00AF01BE"/>
    <w:rsid w:val="00AF3F7D"/>
    <w:rsid w:val="00AF5B3C"/>
    <w:rsid w:val="00B00142"/>
    <w:rsid w:val="00B01F08"/>
    <w:rsid w:val="00B104B2"/>
    <w:rsid w:val="00B14C16"/>
    <w:rsid w:val="00B17997"/>
    <w:rsid w:val="00B203C8"/>
    <w:rsid w:val="00B24C05"/>
    <w:rsid w:val="00B273CA"/>
    <w:rsid w:val="00B4655F"/>
    <w:rsid w:val="00B52247"/>
    <w:rsid w:val="00B5335A"/>
    <w:rsid w:val="00B5501C"/>
    <w:rsid w:val="00B665C3"/>
    <w:rsid w:val="00B7091F"/>
    <w:rsid w:val="00B73391"/>
    <w:rsid w:val="00B7474F"/>
    <w:rsid w:val="00B77387"/>
    <w:rsid w:val="00B7793D"/>
    <w:rsid w:val="00B82FE4"/>
    <w:rsid w:val="00B840FA"/>
    <w:rsid w:val="00B84D48"/>
    <w:rsid w:val="00B90380"/>
    <w:rsid w:val="00B90AFF"/>
    <w:rsid w:val="00B9446C"/>
    <w:rsid w:val="00B94E96"/>
    <w:rsid w:val="00BA282C"/>
    <w:rsid w:val="00BB45A0"/>
    <w:rsid w:val="00BC7372"/>
    <w:rsid w:val="00BD2BCD"/>
    <w:rsid w:val="00BD3AA7"/>
    <w:rsid w:val="00BD3CB8"/>
    <w:rsid w:val="00BD3F21"/>
    <w:rsid w:val="00BD5904"/>
    <w:rsid w:val="00BE509A"/>
    <w:rsid w:val="00BE5C79"/>
    <w:rsid w:val="00BF40F4"/>
    <w:rsid w:val="00BF7705"/>
    <w:rsid w:val="00BF7953"/>
    <w:rsid w:val="00C00E0E"/>
    <w:rsid w:val="00C017FE"/>
    <w:rsid w:val="00C01F65"/>
    <w:rsid w:val="00C023CC"/>
    <w:rsid w:val="00C02FCC"/>
    <w:rsid w:val="00C06EC6"/>
    <w:rsid w:val="00C078C2"/>
    <w:rsid w:val="00C2020D"/>
    <w:rsid w:val="00C22D30"/>
    <w:rsid w:val="00C260D2"/>
    <w:rsid w:val="00C265E4"/>
    <w:rsid w:val="00C27D72"/>
    <w:rsid w:val="00C36EBE"/>
    <w:rsid w:val="00C4166D"/>
    <w:rsid w:val="00C41D4C"/>
    <w:rsid w:val="00C439CC"/>
    <w:rsid w:val="00C47F90"/>
    <w:rsid w:val="00C51C8E"/>
    <w:rsid w:val="00C52E16"/>
    <w:rsid w:val="00C602BB"/>
    <w:rsid w:val="00C62534"/>
    <w:rsid w:val="00C67B49"/>
    <w:rsid w:val="00C70202"/>
    <w:rsid w:val="00C71105"/>
    <w:rsid w:val="00C71DD9"/>
    <w:rsid w:val="00C73854"/>
    <w:rsid w:val="00C75C11"/>
    <w:rsid w:val="00C7774F"/>
    <w:rsid w:val="00C8247C"/>
    <w:rsid w:val="00C903DE"/>
    <w:rsid w:val="00C91067"/>
    <w:rsid w:val="00C93D14"/>
    <w:rsid w:val="00C97CEF"/>
    <w:rsid w:val="00CB2058"/>
    <w:rsid w:val="00CB42AA"/>
    <w:rsid w:val="00CB5DC2"/>
    <w:rsid w:val="00CB7749"/>
    <w:rsid w:val="00CC325E"/>
    <w:rsid w:val="00CD03C8"/>
    <w:rsid w:val="00CD1E6A"/>
    <w:rsid w:val="00CD5E80"/>
    <w:rsid w:val="00CD66ED"/>
    <w:rsid w:val="00CE58E4"/>
    <w:rsid w:val="00CF050C"/>
    <w:rsid w:val="00CF0609"/>
    <w:rsid w:val="00CF0D0B"/>
    <w:rsid w:val="00CF16E4"/>
    <w:rsid w:val="00CF2D86"/>
    <w:rsid w:val="00CF74AF"/>
    <w:rsid w:val="00D01358"/>
    <w:rsid w:val="00D044B6"/>
    <w:rsid w:val="00D10CAE"/>
    <w:rsid w:val="00D15596"/>
    <w:rsid w:val="00D210F4"/>
    <w:rsid w:val="00D2118B"/>
    <w:rsid w:val="00D23EAA"/>
    <w:rsid w:val="00D24A5F"/>
    <w:rsid w:val="00D24EC4"/>
    <w:rsid w:val="00D272A0"/>
    <w:rsid w:val="00D27BA2"/>
    <w:rsid w:val="00D40320"/>
    <w:rsid w:val="00D40EBE"/>
    <w:rsid w:val="00D41841"/>
    <w:rsid w:val="00D4600D"/>
    <w:rsid w:val="00D47E98"/>
    <w:rsid w:val="00D5192F"/>
    <w:rsid w:val="00D520FB"/>
    <w:rsid w:val="00D66DDA"/>
    <w:rsid w:val="00D70952"/>
    <w:rsid w:val="00D733CE"/>
    <w:rsid w:val="00D73725"/>
    <w:rsid w:val="00D73FB3"/>
    <w:rsid w:val="00D7673B"/>
    <w:rsid w:val="00D815AD"/>
    <w:rsid w:val="00D81854"/>
    <w:rsid w:val="00D82E87"/>
    <w:rsid w:val="00D848F8"/>
    <w:rsid w:val="00D85A52"/>
    <w:rsid w:val="00D92033"/>
    <w:rsid w:val="00D94241"/>
    <w:rsid w:val="00D95262"/>
    <w:rsid w:val="00D95AEF"/>
    <w:rsid w:val="00D960A8"/>
    <w:rsid w:val="00DA1519"/>
    <w:rsid w:val="00DA4767"/>
    <w:rsid w:val="00DA609D"/>
    <w:rsid w:val="00DA6C52"/>
    <w:rsid w:val="00DA7C39"/>
    <w:rsid w:val="00DB1951"/>
    <w:rsid w:val="00DB5054"/>
    <w:rsid w:val="00DB5F27"/>
    <w:rsid w:val="00DC0AF8"/>
    <w:rsid w:val="00DC120E"/>
    <w:rsid w:val="00DC46DE"/>
    <w:rsid w:val="00DD3D10"/>
    <w:rsid w:val="00DD4A97"/>
    <w:rsid w:val="00DD50A4"/>
    <w:rsid w:val="00DD66D9"/>
    <w:rsid w:val="00DE1E22"/>
    <w:rsid w:val="00DE24C7"/>
    <w:rsid w:val="00DE362F"/>
    <w:rsid w:val="00DE5513"/>
    <w:rsid w:val="00DF005C"/>
    <w:rsid w:val="00DF0412"/>
    <w:rsid w:val="00DF09F4"/>
    <w:rsid w:val="00DF2155"/>
    <w:rsid w:val="00DF2581"/>
    <w:rsid w:val="00DF4CC2"/>
    <w:rsid w:val="00DF5F7A"/>
    <w:rsid w:val="00DF69E9"/>
    <w:rsid w:val="00E05871"/>
    <w:rsid w:val="00E05FD1"/>
    <w:rsid w:val="00E1415B"/>
    <w:rsid w:val="00E153C0"/>
    <w:rsid w:val="00E209D9"/>
    <w:rsid w:val="00E260FE"/>
    <w:rsid w:val="00E447F3"/>
    <w:rsid w:val="00E44864"/>
    <w:rsid w:val="00E4581B"/>
    <w:rsid w:val="00E45B95"/>
    <w:rsid w:val="00E52415"/>
    <w:rsid w:val="00E5685A"/>
    <w:rsid w:val="00E56BE7"/>
    <w:rsid w:val="00E57A47"/>
    <w:rsid w:val="00E60D3D"/>
    <w:rsid w:val="00E63CDE"/>
    <w:rsid w:val="00E664B0"/>
    <w:rsid w:val="00E66B26"/>
    <w:rsid w:val="00E67395"/>
    <w:rsid w:val="00E67632"/>
    <w:rsid w:val="00E67F56"/>
    <w:rsid w:val="00E72EC5"/>
    <w:rsid w:val="00E73A96"/>
    <w:rsid w:val="00E73FE9"/>
    <w:rsid w:val="00E7796A"/>
    <w:rsid w:val="00E808EF"/>
    <w:rsid w:val="00E83069"/>
    <w:rsid w:val="00E84BE1"/>
    <w:rsid w:val="00E92E06"/>
    <w:rsid w:val="00EA5A37"/>
    <w:rsid w:val="00EA6455"/>
    <w:rsid w:val="00EA67B8"/>
    <w:rsid w:val="00EA6DAE"/>
    <w:rsid w:val="00EB1083"/>
    <w:rsid w:val="00EB22B5"/>
    <w:rsid w:val="00EB525A"/>
    <w:rsid w:val="00EB52D2"/>
    <w:rsid w:val="00EB5B1E"/>
    <w:rsid w:val="00EC0E0D"/>
    <w:rsid w:val="00EC2BBC"/>
    <w:rsid w:val="00EC4412"/>
    <w:rsid w:val="00EC66F8"/>
    <w:rsid w:val="00ED3CC0"/>
    <w:rsid w:val="00ED5724"/>
    <w:rsid w:val="00ED58B3"/>
    <w:rsid w:val="00EE08A4"/>
    <w:rsid w:val="00EE4E47"/>
    <w:rsid w:val="00F00934"/>
    <w:rsid w:val="00F14AF6"/>
    <w:rsid w:val="00F17F49"/>
    <w:rsid w:val="00F21055"/>
    <w:rsid w:val="00F24943"/>
    <w:rsid w:val="00F26E61"/>
    <w:rsid w:val="00F317CE"/>
    <w:rsid w:val="00F356CC"/>
    <w:rsid w:val="00F40DAE"/>
    <w:rsid w:val="00F41F0B"/>
    <w:rsid w:val="00F45445"/>
    <w:rsid w:val="00F46FDD"/>
    <w:rsid w:val="00F4740D"/>
    <w:rsid w:val="00F51924"/>
    <w:rsid w:val="00F5252E"/>
    <w:rsid w:val="00F52A02"/>
    <w:rsid w:val="00F54AEE"/>
    <w:rsid w:val="00F56AB3"/>
    <w:rsid w:val="00F5713A"/>
    <w:rsid w:val="00F63FEA"/>
    <w:rsid w:val="00F653BF"/>
    <w:rsid w:val="00F6603F"/>
    <w:rsid w:val="00F70C6A"/>
    <w:rsid w:val="00F71629"/>
    <w:rsid w:val="00F770AD"/>
    <w:rsid w:val="00F921F0"/>
    <w:rsid w:val="00F9599D"/>
    <w:rsid w:val="00F95D61"/>
    <w:rsid w:val="00FA1C70"/>
    <w:rsid w:val="00FA6A1A"/>
    <w:rsid w:val="00FB14BC"/>
    <w:rsid w:val="00FB155D"/>
    <w:rsid w:val="00FB2D59"/>
    <w:rsid w:val="00FC1CF5"/>
    <w:rsid w:val="00FC2ED9"/>
    <w:rsid w:val="00FC3A6B"/>
    <w:rsid w:val="00FC3DD7"/>
    <w:rsid w:val="00FC3F6B"/>
    <w:rsid w:val="00FC6744"/>
    <w:rsid w:val="00FC797A"/>
    <w:rsid w:val="00FD1962"/>
    <w:rsid w:val="00FD42DD"/>
    <w:rsid w:val="00FE0E20"/>
    <w:rsid w:val="00FE2105"/>
    <w:rsid w:val="00FE6EE7"/>
    <w:rsid w:val="00FE75BD"/>
    <w:rsid w:val="00FE7D6B"/>
    <w:rsid w:val="00FE7F03"/>
    <w:rsid w:val="00FF41A0"/>
    <w:rsid w:val="140F6E0A"/>
    <w:rsid w:val="4E6ED0B5"/>
    <w:rsid w:val="69857F9D"/>
    <w:rsid w:val="69C0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28FE"/>
  <w15:chartTrackingRefBased/>
  <w15:docId w15:val="{841A23BF-393A-48FA-9E1B-A0EB7C53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6C"/>
  </w:style>
  <w:style w:type="paragraph" w:styleId="Heading1">
    <w:name w:val="heading 1"/>
    <w:basedOn w:val="Normal"/>
    <w:next w:val="Normal"/>
    <w:link w:val="Heading1Char"/>
    <w:uiPriority w:val="9"/>
    <w:qFormat/>
    <w:rsid w:val="00215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7D"/>
    <w:pPr>
      <w:ind w:left="720"/>
      <w:contextualSpacing/>
    </w:pPr>
  </w:style>
  <w:style w:type="paragraph" w:styleId="BalloonText">
    <w:name w:val="Balloon Text"/>
    <w:basedOn w:val="Normal"/>
    <w:link w:val="BalloonTextChar"/>
    <w:uiPriority w:val="99"/>
    <w:semiHidden/>
    <w:unhideWhenUsed/>
    <w:rsid w:val="0062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FA"/>
    <w:rPr>
      <w:rFonts w:ascii="Segoe UI" w:hAnsi="Segoe UI" w:cs="Segoe UI"/>
      <w:sz w:val="18"/>
      <w:szCs w:val="18"/>
    </w:rPr>
  </w:style>
  <w:style w:type="character" w:styleId="Hyperlink">
    <w:name w:val="Hyperlink"/>
    <w:basedOn w:val="DefaultParagraphFont"/>
    <w:uiPriority w:val="99"/>
    <w:unhideWhenUsed/>
    <w:rsid w:val="002D2978"/>
    <w:rPr>
      <w:color w:val="0563C1" w:themeColor="hyperlink"/>
      <w:u w:val="single"/>
    </w:rPr>
  </w:style>
  <w:style w:type="paragraph" w:styleId="Header">
    <w:name w:val="header"/>
    <w:basedOn w:val="Normal"/>
    <w:link w:val="HeaderChar"/>
    <w:uiPriority w:val="99"/>
    <w:unhideWhenUsed/>
    <w:rsid w:val="00FE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05"/>
  </w:style>
  <w:style w:type="paragraph" w:styleId="Footer">
    <w:name w:val="footer"/>
    <w:basedOn w:val="Normal"/>
    <w:link w:val="FooterChar"/>
    <w:uiPriority w:val="99"/>
    <w:unhideWhenUsed/>
    <w:rsid w:val="00FE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5"/>
  </w:style>
  <w:style w:type="character" w:styleId="CommentReference">
    <w:name w:val="annotation reference"/>
    <w:basedOn w:val="DefaultParagraphFont"/>
    <w:uiPriority w:val="99"/>
    <w:semiHidden/>
    <w:unhideWhenUsed/>
    <w:rsid w:val="000F2223"/>
    <w:rPr>
      <w:sz w:val="16"/>
      <w:szCs w:val="16"/>
    </w:rPr>
  </w:style>
  <w:style w:type="paragraph" w:styleId="CommentText">
    <w:name w:val="annotation text"/>
    <w:basedOn w:val="Normal"/>
    <w:link w:val="CommentTextChar"/>
    <w:uiPriority w:val="99"/>
    <w:semiHidden/>
    <w:unhideWhenUsed/>
    <w:rsid w:val="000F2223"/>
    <w:pPr>
      <w:spacing w:line="240" w:lineRule="auto"/>
    </w:pPr>
    <w:rPr>
      <w:sz w:val="20"/>
      <w:szCs w:val="20"/>
    </w:rPr>
  </w:style>
  <w:style w:type="character" w:customStyle="1" w:styleId="CommentTextChar">
    <w:name w:val="Comment Text Char"/>
    <w:basedOn w:val="DefaultParagraphFont"/>
    <w:link w:val="CommentText"/>
    <w:uiPriority w:val="99"/>
    <w:semiHidden/>
    <w:rsid w:val="000F2223"/>
    <w:rPr>
      <w:sz w:val="20"/>
      <w:szCs w:val="20"/>
    </w:rPr>
  </w:style>
  <w:style w:type="paragraph" w:styleId="CommentSubject">
    <w:name w:val="annotation subject"/>
    <w:basedOn w:val="CommentText"/>
    <w:next w:val="CommentText"/>
    <w:link w:val="CommentSubjectChar"/>
    <w:uiPriority w:val="99"/>
    <w:semiHidden/>
    <w:unhideWhenUsed/>
    <w:rsid w:val="000F2223"/>
    <w:rPr>
      <w:b/>
      <w:bCs/>
    </w:rPr>
  </w:style>
  <w:style w:type="character" w:customStyle="1" w:styleId="CommentSubjectChar">
    <w:name w:val="Comment Subject Char"/>
    <w:basedOn w:val="CommentTextChar"/>
    <w:link w:val="CommentSubject"/>
    <w:uiPriority w:val="99"/>
    <w:semiHidden/>
    <w:rsid w:val="000F2223"/>
    <w:rPr>
      <w:b/>
      <w:bCs/>
      <w:sz w:val="20"/>
      <w:szCs w:val="20"/>
    </w:rPr>
  </w:style>
  <w:style w:type="paragraph" w:customStyle="1" w:styleId="Default">
    <w:name w:val="Default"/>
    <w:rsid w:val="00195A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2782">
    <w:name w:val="SC2782"/>
    <w:uiPriority w:val="99"/>
    <w:rsid w:val="00195A80"/>
    <w:rPr>
      <w:color w:val="000000"/>
    </w:rPr>
  </w:style>
  <w:style w:type="paragraph" w:customStyle="1" w:styleId="SP151553">
    <w:name w:val="SP151553"/>
    <w:basedOn w:val="Default"/>
    <w:next w:val="Default"/>
    <w:uiPriority w:val="99"/>
    <w:rsid w:val="00195A80"/>
    <w:rPr>
      <w:color w:val="auto"/>
    </w:rPr>
  </w:style>
  <w:style w:type="paragraph" w:customStyle="1" w:styleId="SP151747">
    <w:name w:val="SP151747"/>
    <w:basedOn w:val="Default"/>
    <w:next w:val="Default"/>
    <w:uiPriority w:val="99"/>
    <w:rsid w:val="00195A80"/>
    <w:rPr>
      <w:color w:val="auto"/>
    </w:rPr>
  </w:style>
  <w:style w:type="paragraph" w:customStyle="1" w:styleId="SP151896">
    <w:name w:val="SP151896"/>
    <w:basedOn w:val="Default"/>
    <w:next w:val="Default"/>
    <w:uiPriority w:val="99"/>
    <w:rsid w:val="00195A80"/>
    <w:rPr>
      <w:color w:val="auto"/>
    </w:rPr>
  </w:style>
  <w:style w:type="paragraph" w:customStyle="1" w:styleId="Pa4">
    <w:name w:val="Pa4"/>
    <w:basedOn w:val="Default"/>
    <w:next w:val="Default"/>
    <w:uiPriority w:val="99"/>
    <w:rsid w:val="00195A80"/>
    <w:pPr>
      <w:spacing w:line="221" w:lineRule="atLeast"/>
    </w:pPr>
    <w:rPr>
      <w:color w:val="auto"/>
    </w:rPr>
  </w:style>
  <w:style w:type="character" w:customStyle="1" w:styleId="A1">
    <w:name w:val="A1"/>
    <w:uiPriority w:val="99"/>
    <w:rsid w:val="00195A80"/>
    <w:rPr>
      <w:color w:val="000000"/>
    </w:rPr>
  </w:style>
  <w:style w:type="character" w:customStyle="1" w:styleId="A4">
    <w:name w:val="A4"/>
    <w:uiPriority w:val="99"/>
    <w:rsid w:val="00195A80"/>
    <w:rPr>
      <w:b/>
      <w:bCs/>
      <w:color w:val="000000"/>
      <w:sz w:val="28"/>
      <w:szCs w:val="28"/>
    </w:rPr>
  </w:style>
  <w:style w:type="paragraph" w:customStyle="1" w:styleId="Pa7">
    <w:name w:val="Pa7"/>
    <w:basedOn w:val="Default"/>
    <w:next w:val="Default"/>
    <w:uiPriority w:val="99"/>
    <w:rsid w:val="006F6606"/>
    <w:pPr>
      <w:spacing w:line="241" w:lineRule="atLeast"/>
    </w:pPr>
    <w:rPr>
      <w:rFonts w:ascii="Tahoma" w:hAnsi="Tahoma" w:cs="Tahoma"/>
      <w:color w:val="auto"/>
    </w:rPr>
  </w:style>
  <w:style w:type="character" w:customStyle="1" w:styleId="A7">
    <w:name w:val="A7"/>
    <w:uiPriority w:val="99"/>
    <w:rsid w:val="006F6606"/>
    <w:rPr>
      <w:rFonts w:ascii="Times New Roman" w:hAnsi="Times New Roman" w:cs="Times New Roman"/>
      <w:color w:val="000000"/>
      <w:sz w:val="22"/>
      <w:szCs w:val="22"/>
      <w:u w:val="single"/>
    </w:rPr>
  </w:style>
  <w:style w:type="character" w:styleId="FollowedHyperlink">
    <w:name w:val="FollowedHyperlink"/>
    <w:basedOn w:val="DefaultParagraphFont"/>
    <w:uiPriority w:val="99"/>
    <w:semiHidden/>
    <w:unhideWhenUsed/>
    <w:rsid w:val="003E67B6"/>
    <w:rPr>
      <w:color w:val="954F72" w:themeColor="followedHyperlink"/>
      <w:u w:val="single"/>
    </w:rPr>
  </w:style>
  <w:style w:type="character" w:customStyle="1" w:styleId="Heading1Char">
    <w:name w:val="Heading 1 Char"/>
    <w:basedOn w:val="DefaultParagraphFont"/>
    <w:link w:val="Heading1"/>
    <w:uiPriority w:val="9"/>
    <w:rsid w:val="002151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5167"/>
    <w:pPr>
      <w:outlineLvl w:val="9"/>
    </w:pPr>
  </w:style>
  <w:style w:type="paragraph" w:styleId="TOC1">
    <w:name w:val="toc 1"/>
    <w:basedOn w:val="Normal"/>
    <w:next w:val="Normal"/>
    <w:autoRedefine/>
    <w:uiPriority w:val="39"/>
    <w:unhideWhenUsed/>
    <w:rsid w:val="00215167"/>
    <w:pPr>
      <w:spacing w:after="100"/>
    </w:pPr>
  </w:style>
  <w:style w:type="numbering" w:customStyle="1" w:styleId="NoList1">
    <w:name w:val="No List1"/>
    <w:next w:val="NoList"/>
    <w:uiPriority w:val="99"/>
    <w:semiHidden/>
    <w:unhideWhenUsed/>
    <w:rsid w:val="00F40DAE"/>
  </w:style>
  <w:style w:type="paragraph" w:customStyle="1" w:styleId="msonormal0">
    <w:name w:val="msonormal"/>
    <w:basedOn w:val="Normal"/>
    <w:rsid w:val="00F4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F40DA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F40DAE"/>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F40DA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F40DAE"/>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F40DA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F40DA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F40DA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F40DA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F40DAE"/>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F40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40DA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F40DA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Normal"/>
    <w:rsid w:val="00F40DA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F40DA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F40DA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F40DA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F40DA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F40D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40D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vi">
    <w:name w:val="Style_vi"/>
    <w:basedOn w:val="TableNormal"/>
    <w:uiPriority w:val="99"/>
    <w:rsid w:val="00F40DAE"/>
    <w:pPr>
      <w:spacing w:after="0" w:line="240" w:lineRule="auto"/>
    </w:pPr>
    <w:rPr>
      <w:sz w:val="18"/>
    </w:rPr>
    <w:tblPr/>
  </w:style>
  <w:style w:type="paragraph" w:customStyle="1" w:styleId="Paragraphtitle">
    <w:name w:val="Paragraph title"/>
    <w:basedOn w:val="Normal"/>
    <w:uiPriority w:val="99"/>
    <w:rsid w:val="00CD5E80"/>
    <w:pPr>
      <w:suppressAutoHyphens/>
      <w:autoSpaceDE w:val="0"/>
      <w:autoSpaceDN w:val="0"/>
      <w:adjustRightInd w:val="0"/>
      <w:spacing w:after="0" w:line="288" w:lineRule="auto"/>
      <w:jc w:val="center"/>
      <w:textAlignment w:val="center"/>
    </w:pPr>
    <w:rPr>
      <w:rFonts w:ascii="Myriad Pro" w:hAnsi="Myriad Pro" w:cs="Myriad Pro"/>
      <w:b/>
      <w:bCs/>
      <w:color w:val="000000"/>
      <w:sz w:val="72"/>
      <w:szCs w:val="72"/>
    </w:rPr>
  </w:style>
  <w:style w:type="paragraph" w:customStyle="1" w:styleId="ParagraphCDCinfo">
    <w:name w:val="Paragraph CDC info"/>
    <w:basedOn w:val="Normal"/>
    <w:uiPriority w:val="99"/>
    <w:rsid w:val="00CD5E80"/>
    <w:pPr>
      <w:autoSpaceDE w:val="0"/>
      <w:autoSpaceDN w:val="0"/>
      <w:adjustRightInd w:val="0"/>
      <w:spacing w:after="0" w:line="288" w:lineRule="auto"/>
      <w:jc w:val="center"/>
      <w:textAlignment w:val="center"/>
    </w:pPr>
    <w:rPr>
      <w:rFonts w:ascii="Copperplate" w:hAnsi="Copperplate" w:cs="Copperplate"/>
      <w:color w:val="000000"/>
      <w:sz w:val="24"/>
      <w:szCs w:val="24"/>
    </w:rPr>
  </w:style>
  <w:style w:type="character" w:styleId="UnresolvedMention">
    <w:name w:val="Unresolved Mention"/>
    <w:basedOn w:val="DefaultParagraphFont"/>
    <w:uiPriority w:val="99"/>
    <w:semiHidden/>
    <w:unhideWhenUsed/>
    <w:rsid w:val="006239E1"/>
    <w:rPr>
      <w:color w:val="605E5C"/>
      <w:shd w:val="clear" w:color="auto" w:fill="E1DFDD"/>
    </w:rPr>
  </w:style>
  <w:style w:type="character" w:customStyle="1" w:styleId="normaltextrun1">
    <w:name w:val="normaltextrun1"/>
    <w:basedOn w:val="DefaultParagraphFont"/>
    <w:rsid w:val="00E44864"/>
  </w:style>
  <w:style w:type="paragraph" w:customStyle="1" w:styleId="paragraph">
    <w:name w:val="paragraph"/>
    <w:basedOn w:val="Normal"/>
    <w:rsid w:val="00A43F23"/>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A43F23"/>
  </w:style>
  <w:style w:type="paragraph" w:styleId="NormalWeb">
    <w:name w:val="Normal (Web)"/>
    <w:basedOn w:val="Normal"/>
    <w:uiPriority w:val="99"/>
    <w:unhideWhenUsed/>
    <w:rsid w:val="00DF5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240">
      <w:bodyDiv w:val="1"/>
      <w:marLeft w:val="0"/>
      <w:marRight w:val="0"/>
      <w:marTop w:val="0"/>
      <w:marBottom w:val="0"/>
      <w:divBdr>
        <w:top w:val="none" w:sz="0" w:space="0" w:color="auto"/>
        <w:left w:val="none" w:sz="0" w:space="0" w:color="auto"/>
        <w:bottom w:val="none" w:sz="0" w:space="0" w:color="auto"/>
        <w:right w:val="none" w:sz="0" w:space="0" w:color="auto"/>
      </w:divBdr>
    </w:div>
    <w:div w:id="183637593">
      <w:bodyDiv w:val="1"/>
      <w:marLeft w:val="0"/>
      <w:marRight w:val="0"/>
      <w:marTop w:val="0"/>
      <w:marBottom w:val="0"/>
      <w:divBdr>
        <w:top w:val="none" w:sz="0" w:space="0" w:color="auto"/>
        <w:left w:val="none" w:sz="0" w:space="0" w:color="auto"/>
        <w:bottom w:val="none" w:sz="0" w:space="0" w:color="auto"/>
        <w:right w:val="none" w:sz="0" w:space="0" w:color="auto"/>
      </w:divBdr>
    </w:div>
    <w:div w:id="631444582">
      <w:bodyDiv w:val="1"/>
      <w:marLeft w:val="0"/>
      <w:marRight w:val="0"/>
      <w:marTop w:val="0"/>
      <w:marBottom w:val="0"/>
      <w:divBdr>
        <w:top w:val="none" w:sz="0" w:space="0" w:color="auto"/>
        <w:left w:val="none" w:sz="0" w:space="0" w:color="auto"/>
        <w:bottom w:val="none" w:sz="0" w:space="0" w:color="auto"/>
        <w:right w:val="none" w:sz="0" w:space="0" w:color="auto"/>
      </w:divBdr>
    </w:div>
    <w:div w:id="883326495">
      <w:bodyDiv w:val="1"/>
      <w:marLeft w:val="0"/>
      <w:marRight w:val="0"/>
      <w:marTop w:val="0"/>
      <w:marBottom w:val="0"/>
      <w:divBdr>
        <w:top w:val="none" w:sz="0" w:space="0" w:color="auto"/>
        <w:left w:val="none" w:sz="0" w:space="0" w:color="auto"/>
        <w:bottom w:val="none" w:sz="0" w:space="0" w:color="auto"/>
        <w:right w:val="none" w:sz="0" w:space="0" w:color="auto"/>
      </w:divBdr>
    </w:div>
    <w:div w:id="1245724787">
      <w:bodyDiv w:val="1"/>
      <w:marLeft w:val="0"/>
      <w:marRight w:val="0"/>
      <w:marTop w:val="0"/>
      <w:marBottom w:val="0"/>
      <w:divBdr>
        <w:top w:val="none" w:sz="0" w:space="0" w:color="auto"/>
        <w:left w:val="none" w:sz="0" w:space="0" w:color="auto"/>
        <w:bottom w:val="none" w:sz="0" w:space="0" w:color="auto"/>
        <w:right w:val="none" w:sz="0" w:space="0" w:color="auto"/>
      </w:divBdr>
    </w:div>
    <w:div w:id="1390346848">
      <w:bodyDiv w:val="1"/>
      <w:marLeft w:val="0"/>
      <w:marRight w:val="0"/>
      <w:marTop w:val="0"/>
      <w:marBottom w:val="0"/>
      <w:divBdr>
        <w:top w:val="none" w:sz="0" w:space="0" w:color="auto"/>
        <w:left w:val="none" w:sz="0" w:space="0" w:color="auto"/>
        <w:bottom w:val="none" w:sz="0" w:space="0" w:color="auto"/>
        <w:right w:val="none" w:sz="0" w:space="0" w:color="auto"/>
      </w:divBdr>
    </w:div>
    <w:div w:id="1552379088">
      <w:bodyDiv w:val="1"/>
      <w:marLeft w:val="0"/>
      <w:marRight w:val="0"/>
      <w:marTop w:val="0"/>
      <w:marBottom w:val="0"/>
      <w:divBdr>
        <w:top w:val="none" w:sz="0" w:space="0" w:color="auto"/>
        <w:left w:val="none" w:sz="0" w:space="0" w:color="auto"/>
        <w:bottom w:val="none" w:sz="0" w:space="0" w:color="auto"/>
        <w:right w:val="none" w:sz="0" w:space="0" w:color="auto"/>
      </w:divBdr>
    </w:div>
    <w:div w:id="1646621366">
      <w:bodyDiv w:val="1"/>
      <w:marLeft w:val="0"/>
      <w:marRight w:val="0"/>
      <w:marTop w:val="0"/>
      <w:marBottom w:val="0"/>
      <w:divBdr>
        <w:top w:val="none" w:sz="0" w:space="0" w:color="auto"/>
        <w:left w:val="none" w:sz="0" w:space="0" w:color="auto"/>
        <w:bottom w:val="none" w:sz="0" w:space="0" w:color="auto"/>
        <w:right w:val="none" w:sz="0" w:space="0" w:color="auto"/>
      </w:divBdr>
    </w:div>
    <w:div w:id="212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c.gov/std/statistics/syphilis-supplement/defaul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std/statistics/2020/default.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std/statistics/2020/default.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std/statistics/2020/impac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dc.gov/nndss/conditions/syphilis/case-definition/2018/"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cdc.gov/nndss/" TargetMode="External"/><Relationship Id="rId10" Type="http://schemas.openxmlformats.org/officeDocument/2006/relationships/endnotes" Target="endnotes.xml"/><Relationship Id="rId19" Type="http://schemas.openxmlformats.org/officeDocument/2006/relationships/hyperlink" Target="https://www.cdc.gov/std/statistics/2020/technical-not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nchhstp/atl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EA135D25CF64DBAD3A1A74C69F504" ma:contentTypeVersion="14" ma:contentTypeDescription="Create a new document." ma:contentTypeScope="" ma:versionID="8922d8c3e5e86848c6a37e7de7417799">
  <xsd:schema xmlns:xsd="http://www.w3.org/2001/XMLSchema" xmlns:xs="http://www.w3.org/2001/XMLSchema" xmlns:p="http://schemas.microsoft.com/office/2006/metadata/properties" xmlns:ns2="0f2f2caf-3a4a-447c-86c4-8e3cd1184a01" xmlns:ns3="c786cd31-8fca-4574-9903-686ddf9dd225" targetNamespace="http://schemas.microsoft.com/office/2006/metadata/properties" ma:root="true" ma:fieldsID="a73172f183f62f36d3e5a39792dad236" ns2:_="" ns3:_="">
    <xsd:import namespace="0f2f2caf-3a4a-447c-86c4-8e3cd1184a01"/>
    <xsd:import namespace="c786cd31-8fca-4574-9903-686ddf9dd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hecked" minOccurs="0"/>
                <xsd:element ref="ns2:Checked2"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f2caf-3a4a-447c-86c4-8e3cd1184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Checked" ma:index="17" nillable="true" ma:displayName="Checked" ma:default="0" ma:format="Dropdown" ma:internalName="Checked">
      <xsd:simpleType>
        <xsd:restriction base="dms:Boolean"/>
      </xsd:simpleType>
    </xsd:element>
    <xsd:element name="Checked2" ma:index="18" nillable="true" ma:displayName="Checked2" ma:format="Dropdown" ma:internalName="Checked2">
      <xsd:simpleType>
        <xsd:restriction base="dms:Choice">
          <xsd:enumeration value="No"/>
          <xsd:enumeration value="Yes"/>
          <xsd:enumeration value="Choice 3"/>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6cd31-8fca-4574-9903-686ddf9dd2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ad641b7-cabf-4c2f-8a2e-3187e7bdd1d1}" ma:internalName="TaxCatchAll" ma:showField="CatchAllData" ma:web="c786cd31-8fca-4574-9903-686ddf9dd2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ecked xmlns="0f2f2caf-3a4a-447c-86c4-8e3cd1184a01">false</Checked>
    <TaxCatchAll xmlns="c786cd31-8fca-4574-9903-686ddf9dd225" xsi:nil="true"/>
    <Checked2 xmlns="0f2f2caf-3a4a-447c-86c4-8e3cd1184a01" xsi:nil="true"/>
    <lcf76f155ced4ddcb4097134ff3c332f xmlns="0f2f2caf-3a4a-447c-86c4-8e3cd1184a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939915-D84C-473F-B8E8-F20D3E6C8F34}">
  <ds:schemaRefs>
    <ds:schemaRef ds:uri="http://schemas.microsoft.com/sharepoint/v3/contenttype/forms"/>
  </ds:schemaRefs>
</ds:datastoreItem>
</file>

<file path=customXml/itemProps2.xml><?xml version="1.0" encoding="utf-8"?>
<ds:datastoreItem xmlns:ds="http://schemas.openxmlformats.org/officeDocument/2006/customXml" ds:itemID="{C738AE24-FCC6-4F4A-ABC5-B8EA6980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f2caf-3a4a-447c-86c4-8e3cd1184a01"/>
    <ds:schemaRef ds:uri="c786cd31-8fca-4574-9903-686ddf9dd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52809-821A-4FF8-BAAD-BD28975A1A54}">
  <ds:schemaRefs>
    <ds:schemaRef ds:uri="http://schemas.openxmlformats.org/officeDocument/2006/bibliography"/>
  </ds:schemaRefs>
</ds:datastoreItem>
</file>

<file path=customXml/itemProps4.xml><?xml version="1.0" encoding="utf-8"?>
<ds:datastoreItem xmlns:ds="http://schemas.openxmlformats.org/officeDocument/2006/customXml" ds:itemID="{70BBE2CC-B16C-4AF1-948B-4DB92AF6A31F}">
  <ds:schemaRefs>
    <ds:schemaRef ds:uri="http://schemas.microsoft.com/office/2006/metadata/properties"/>
    <ds:schemaRef ds:uri="http://schemas.microsoft.com/office/infopath/2007/PartnerControls"/>
    <ds:schemaRef ds:uri="0f2f2caf-3a4a-447c-86c4-8e3cd1184a01"/>
    <ds:schemaRef ds:uri="c786cd31-8fca-4574-9903-686ddf9dd22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2918</Words>
  <Characters>16633</Characters>
  <Application>Microsoft Office Word</Application>
  <DocSecurity>0</DocSecurity>
  <Lines>138</Lines>
  <Paragraphs>39</Paragraphs>
  <ScaleCrop>false</ScaleCrop>
  <Company>Centers for Disease Control and Prevention</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Kidd</dc:creator>
  <cp:keywords/>
  <dc:description/>
  <cp:lastModifiedBy>Torrone, Elizabeth</cp:lastModifiedBy>
  <cp:revision>4</cp:revision>
  <cp:lastPrinted>2021-07-06T16:33:00Z</cp:lastPrinted>
  <dcterms:created xsi:type="dcterms:W3CDTF">2022-09-26T12:25:00Z</dcterms:created>
  <dcterms:modified xsi:type="dcterms:W3CDTF">2022-10-08T16:05:00Z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2021-05-29T12:30:15Z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48bbcaca-da3e-4575-9a7a-1a8ded367980</vt:lpwstr>
  </property>
  <property fmtid="{D5CDD505-2E9C-101B-9397-08002B2CF9AE}" pid="8" name="MSIP_Label_7b94a7b8-f06c-4dfe-bdcc-9b548fd58c31_ContentBits">
    <vt:lpwstr>0</vt:lpwstr>
  </property>
  <property fmtid="{D5CDD505-2E9C-101B-9397-08002B2CF9AE}" pid="9" name="ContentTypeId">
    <vt:lpwstr>0x010100492EA135D25CF64DBAD3A1A74C69F504</vt:lpwstr>
  </property>
  <property fmtid="{D5CDD505-2E9C-101B-9397-08002B2CF9AE}" pid="10" name="MediaServiceImageTags">
    <vt:lpwstr/>
  </property>
</Properties>
</file>