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18C5B" w14:textId="716B070E" w:rsidR="009F1B94" w:rsidRPr="00096590" w:rsidRDefault="00C97B0A" w:rsidP="009A6C8A">
      <w:pPr>
        <w:pStyle w:val="Heading1"/>
      </w:pPr>
      <w:bookmarkStart w:id="0" w:name="_Toc69913314"/>
      <w:bookmarkStart w:id="1" w:name="_Toc69913438"/>
      <w:bookmarkStart w:id="2" w:name="_Toc69913718"/>
      <w:bookmarkStart w:id="3" w:name="_Toc69913981"/>
      <w:r w:rsidRPr="00096590">
        <w:t>CDC’s Division of STD Prevention</w:t>
      </w:r>
      <w:bookmarkEnd w:id="0"/>
      <w:bookmarkEnd w:id="1"/>
      <w:bookmarkEnd w:id="2"/>
      <w:bookmarkEnd w:id="3"/>
    </w:p>
    <w:p w14:paraId="77026E1B" w14:textId="34E5F1FD" w:rsidR="00295864" w:rsidRPr="009F1B94" w:rsidRDefault="00AD7CFC" w:rsidP="009A6C8A">
      <w:pPr>
        <w:pStyle w:val="Heading1"/>
      </w:pPr>
      <w:bookmarkStart w:id="4" w:name="_Toc69913315"/>
      <w:bookmarkStart w:id="5" w:name="_Toc69913439"/>
      <w:bookmarkStart w:id="6" w:name="_Toc69913719"/>
      <w:bookmarkStart w:id="7" w:name="_Toc69913982"/>
      <w:r w:rsidRPr="009F1B94">
        <w:t>Antibiotic</w:t>
      </w:r>
      <w:r w:rsidR="004B3A67">
        <w:t>-</w:t>
      </w:r>
      <w:r w:rsidRPr="009F1B94">
        <w:t>Resistant Gonorrhea Tabletop Exercise</w:t>
      </w:r>
      <w:bookmarkEnd w:id="4"/>
      <w:bookmarkEnd w:id="5"/>
      <w:bookmarkEnd w:id="6"/>
      <w:bookmarkEnd w:id="7"/>
    </w:p>
    <w:p w14:paraId="33470921" w14:textId="77777777" w:rsidR="00082198" w:rsidRPr="00082198" w:rsidRDefault="00082198" w:rsidP="009A6C8A">
      <w:pPr>
        <w:pStyle w:val="BodyText"/>
      </w:pPr>
    </w:p>
    <w:p w14:paraId="473612A0" w14:textId="77777777" w:rsidR="00B274D1" w:rsidRPr="00B274D1" w:rsidRDefault="00B274D1" w:rsidP="009A6C8A">
      <w:pPr>
        <w:pStyle w:val="BodyText"/>
      </w:pPr>
    </w:p>
    <w:p w14:paraId="01CABFB1" w14:textId="77777777" w:rsidR="00A30E75" w:rsidRDefault="00A30E75" w:rsidP="009A6C8A">
      <w:pPr>
        <w:pStyle w:val="Heading2"/>
        <w:rPr>
          <w:noProof/>
        </w:rPr>
      </w:pPr>
    </w:p>
    <w:p w14:paraId="623BB9AA" w14:textId="77777777" w:rsidR="00A30E75" w:rsidRDefault="00A30E75" w:rsidP="009A6C8A">
      <w:pPr>
        <w:pStyle w:val="Heading2"/>
        <w:rPr>
          <w:noProof/>
        </w:rPr>
      </w:pPr>
    </w:p>
    <w:p w14:paraId="2EE9D8CF" w14:textId="1CC23B40" w:rsidR="00F35C73" w:rsidRPr="00662627" w:rsidRDefault="009E75F4" w:rsidP="009A6C8A">
      <w:pPr>
        <w:pStyle w:val="Heading2"/>
        <w:jc w:val="center"/>
        <w:rPr>
          <w:noProof/>
        </w:rPr>
      </w:pPr>
      <w:bookmarkStart w:id="8" w:name="_Toc69913316"/>
      <w:bookmarkStart w:id="9" w:name="_Toc69913440"/>
      <w:bookmarkStart w:id="10" w:name="_Toc69913720"/>
      <w:bookmarkStart w:id="11" w:name="_Toc69913983"/>
      <w:r>
        <w:rPr>
          <w:noProof/>
        </w:rPr>
        <w:t>Facilitation Guide</w:t>
      </w:r>
      <w:bookmarkEnd w:id="8"/>
      <w:bookmarkEnd w:id="9"/>
      <w:bookmarkEnd w:id="10"/>
      <w:bookmarkEnd w:id="11"/>
    </w:p>
    <w:p w14:paraId="327A34B4" w14:textId="0E631BDF" w:rsidR="00295864" w:rsidRPr="0006045E" w:rsidRDefault="00295864" w:rsidP="009A6C8A"/>
    <w:p w14:paraId="1544B49C" w14:textId="77777777" w:rsidR="00295864" w:rsidRDefault="00295864" w:rsidP="009A6C8A"/>
    <w:p w14:paraId="65156EDF" w14:textId="77777777" w:rsidR="00295864" w:rsidRDefault="00295864" w:rsidP="009A6C8A"/>
    <w:p w14:paraId="024B4814" w14:textId="77777777" w:rsidR="00295864" w:rsidRDefault="00295864" w:rsidP="009A6C8A"/>
    <w:p w14:paraId="1D18E802" w14:textId="77777777" w:rsidR="00082198" w:rsidRDefault="00082198" w:rsidP="009A6C8A"/>
    <w:p w14:paraId="5F8945CE" w14:textId="77777777" w:rsidR="00295864" w:rsidRDefault="00295864" w:rsidP="009A6C8A"/>
    <w:p w14:paraId="3047DFB5" w14:textId="75EF2A3C" w:rsidR="000369F5" w:rsidRPr="00771CF7" w:rsidRDefault="00295864" w:rsidP="009A6C8A">
      <w:pPr>
        <w:jc w:val="center"/>
        <w:rPr>
          <w:b/>
          <w:bCs/>
          <w:sz w:val="28"/>
          <w:szCs w:val="28"/>
        </w:rPr>
      </w:pPr>
      <w:r w:rsidRPr="00771CF7">
        <w:rPr>
          <w:b/>
          <w:bCs/>
          <w:sz w:val="28"/>
          <w:szCs w:val="28"/>
        </w:rPr>
        <w:t>Exercise Date:</w:t>
      </w:r>
    </w:p>
    <w:p w14:paraId="73342FA9" w14:textId="77777777" w:rsidR="000369F5" w:rsidRDefault="000369F5" w:rsidP="009A6C8A">
      <w:r>
        <w:br w:type="page"/>
      </w:r>
    </w:p>
    <w:p w14:paraId="2367A3A6" w14:textId="77777777" w:rsidR="00771CF7" w:rsidRDefault="00771CF7" w:rsidP="009A6C8A"/>
    <w:p w14:paraId="72D78C28" w14:textId="7B9522DE" w:rsidR="00D02218" w:rsidRPr="009A6C8A" w:rsidRDefault="00D02218" w:rsidP="009A6C8A">
      <w:r w:rsidRPr="009A6C8A">
        <w:t>We would like to thank the following people and organizations that contributed to the development of this document.</w:t>
      </w:r>
    </w:p>
    <w:p w14:paraId="5228D424" w14:textId="77777777" w:rsidR="00D02218" w:rsidRDefault="00D02218" w:rsidP="00D02218">
      <w:pPr>
        <w:pStyle w:val="DPPParas"/>
        <w:tabs>
          <w:tab w:val="center" w:pos="5130"/>
        </w:tabs>
        <w:spacing w:after="120"/>
        <w:jc w:val="left"/>
        <w:rPr>
          <w:rFonts w:ascii="Arial" w:hAnsi="Arial" w:cs="Arial"/>
          <w:sz w:val="28"/>
          <w:szCs w:val="28"/>
        </w:rPr>
      </w:pPr>
    </w:p>
    <w:p w14:paraId="1B1F5B79" w14:textId="534A2B4F" w:rsidR="00D02218" w:rsidRPr="006716DD" w:rsidRDefault="006716DD" w:rsidP="009A6C8A">
      <w:pPr>
        <w:pStyle w:val="Heading2"/>
      </w:pPr>
      <w:bookmarkStart w:id="12" w:name="_Toc69913317"/>
      <w:bookmarkStart w:id="13" w:name="_Toc69913441"/>
      <w:bookmarkStart w:id="14" w:name="_Toc69913721"/>
      <w:bookmarkStart w:id="15" w:name="_Toc69913984"/>
      <w:r w:rsidRPr="006716DD">
        <w:t>Authors</w:t>
      </w:r>
      <w:bookmarkEnd w:id="12"/>
      <w:bookmarkEnd w:id="13"/>
      <w:bookmarkEnd w:id="14"/>
      <w:bookmarkEnd w:id="15"/>
    </w:p>
    <w:p w14:paraId="21FCADC0" w14:textId="0A3A1D06" w:rsidR="00D02218" w:rsidRDefault="00D02218" w:rsidP="009A6C8A">
      <w:r w:rsidRPr="00D02218">
        <w:t>Robert</w:t>
      </w:r>
      <w:r>
        <w:t xml:space="preserve"> Kirkcaldy, Division of STD Prevention, CDC</w:t>
      </w:r>
    </w:p>
    <w:p w14:paraId="60C1C2E5" w14:textId="77777777" w:rsidR="00D02218" w:rsidRDefault="00D02218" w:rsidP="009A6C8A">
      <w:r>
        <w:t>Alison Ridpath,</w:t>
      </w:r>
      <w:r w:rsidRPr="00D02218">
        <w:t xml:space="preserve"> </w:t>
      </w:r>
      <w:r>
        <w:t>Division of STD Prevention, CDC</w:t>
      </w:r>
    </w:p>
    <w:p w14:paraId="46A3C244" w14:textId="2ADA4C0E" w:rsidR="00D02218" w:rsidRDefault="00D02218" w:rsidP="009A6C8A">
      <w:r>
        <w:t>Karen Schlanger, Division of STD Prevention, CDC</w:t>
      </w:r>
    </w:p>
    <w:p w14:paraId="3B927321" w14:textId="77777777" w:rsidR="00D02218" w:rsidRDefault="00D02218" w:rsidP="009A6C8A"/>
    <w:p w14:paraId="035F3B6E" w14:textId="779F7683" w:rsidR="00D02218" w:rsidRPr="004D0416" w:rsidRDefault="00D02218" w:rsidP="009A6C8A">
      <w:pPr>
        <w:pStyle w:val="Heading2"/>
      </w:pPr>
      <w:bookmarkStart w:id="16" w:name="_Toc69913318"/>
      <w:bookmarkStart w:id="17" w:name="_Toc69913442"/>
      <w:bookmarkStart w:id="18" w:name="_Toc69913722"/>
      <w:bookmarkStart w:id="19" w:name="_Toc69913985"/>
      <w:r w:rsidRPr="004D0416">
        <w:t>Contributors</w:t>
      </w:r>
      <w:bookmarkEnd w:id="16"/>
      <w:bookmarkEnd w:id="17"/>
      <w:bookmarkEnd w:id="18"/>
      <w:bookmarkEnd w:id="19"/>
    </w:p>
    <w:p w14:paraId="433BBA3D" w14:textId="48FEE96D" w:rsidR="00D02218" w:rsidRDefault="00D02218" w:rsidP="009A6C8A">
      <w:r>
        <w:t>Cau Pham, Division of STD Prevention, CDC</w:t>
      </w:r>
    </w:p>
    <w:p w14:paraId="1C66BF5D" w14:textId="0E607BF7" w:rsidR="00D02218" w:rsidRDefault="00D02218" w:rsidP="009A6C8A">
      <w:r>
        <w:t>Harold (Bo) Hardrick, Center for Preparedness and Response, CDC</w:t>
      </w:r>
    </w:p>
    <w:p w14:paraId="2CC81FBD" w14:textId="445DC9EE" w:rsidR="00D02218" w:rsidRDefault="00D02218" w:rsidP="009A6C8A">
      <w:pPr>
        <w:rPr>
          <w:b/>
          <w:caps/>
          <w:color w:val="0B3D91"/>
        </w:rPr>
      </w:pPr>
      <w:r>
        <w:t>George (Bill) Howard, Center for Preparedness and Response, CDC</w:t>
      </w:r>
    </w:p>
    <w:p w14:paraId="77778FF9" w14:textId="58800B3B" w:rsidR="00D02218" w:rsidRDefault="00D02218" w:rsidP="009A6C8A">
      <w:r>
        <w:t>Indiana State Department of Health</w:t>
      </w:r>
    </w:p>
    <w:p w14:paraId="40DB3952" w14:textId="77777777" w:rsidR="00D02218" w:rsidRDefault="00D02218" w:rsidP="009A6C8A">
      <w:r>
        <w:t>Marion County (IN) Public Health Department</w:t>
      </w:r>
    </w:p>
    <w:p w14:paraId="3532CDFD" w14:textId="77777777" w:rsidR="00D02218" w:rsidRDefault="00D02218" w:rsidP="009A6C8A">
      <w:r>
        <w:t>Illinois Department of Public Health</w:t>
      </w:r>
    </w:p>
    <w:p w14:paraId="79153C85" w14:textId="77777777" w:rsidR="00D02218" w:rsidRDefault="00D02218" w:rsidP="009A6C8A">
      <w:r>
        <w:t xml:space="preserve">Champaign-Urbana (IL) Public Health District </w:t>
      </w:r>
    </w:p>
    <w:p w14:paraId="3EBFC3CF" w14:textId="77777777" w:rsidR="00D02218" w:rsidRDefault="00D02218" w:rsidP="009A6C8A">
      <w:r>
        <w:br w:type="page"/>
      </w:r>
    </w:p>
    <w:p w14:paraId="6D1C5436" w14:textId="536B5A9D" w:rsidR="00D02218" w:rsidRDefault="00D02218" w:rsidP="009A6C8A">
      <w:pPr>
        <w:pStyle w:val="Heading1"/>
        <w:sectPr w:rsidR="00D02218" w:rsidSect="00E1517F">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720" w:gutter="0"/>
          <w:pgNumType w:start="1"/>
          <w:cols w:space="720"/>
          <w:titlePg/>
          <w:docGrid w:linePitch="360"/>
        </w:sectPr>
      </w:pPr>
      <w:bookmarkStart w:id="20" w:name="_Toc187545862"/>
      <w:bookmarkStart w:id="21" w:name="_Toc318372454"/>
    </w:p>
    <w:p w14:paraId="1DF9C83C" w14:textId="5772E086" w:rsidR="000369F5" w:rsidRPr="00D819DF" w:rsidRDefault="000369F5" w:rsidP="009A6C8A">
      <w:pPr>
        <w:pStyle w:val="Heading2"/>
      </w:pPr>
      <w:bookmarkStart w:id="22" w:name="_Toc69913319"/>
      <w:bookmarkStart w:id="23" w:name="_Toc69913443"/>
      <w:bookmarkStart w:id="24" w:name="_Toc69913723"/>
      <w:bookmarkStart w:id="25" w:name="_Toc69913986"/>
      <w:r w:rsidRPr="00D819DF">
        <w:lastRenderedPageBreak/>
        <w:t>Preface</w:t>
      </w:r>
      <w:bookmarkEnd w:id="20"/>
      <w:bookmarkEnd w:id="21"/>
      <w:bookmarkEnd w:id="22"/>
      <w:bookmarkEnd w:id="23"/>
      <w:bookmarkEnd w:id="24"/>
      <w:bookmarkEnd w:id="25"/>
    </w:p>
    <w:p w14:paraId="12836723" w14:textId="27FA5FD4" w:rsidR="000369F5" w:rsidRPr="007F7836" w:rsidRDefault="000369F5" w:rsidP="00BC29E7">
      <w:pPr>
        <w:pStyle w:val="BodyText"/>
        <w:spacing w:after="200"/>
      </w:pPr>
      <w:r w:rsidRPr="007F7836">
        <w:t>The Antibiotic</w:t>
      </w:r>
      <w:r w:rsidR="004B3A67">
        <w:t>-</w:t>
      </w:r>
      <w:r w:rsidRPr="007F7836">
        <w:t>Resistant Gonorrhea (ARGC) Tabletop Exercise (TTX) is sponsored by the Centers for Disease Control and Prevention (CDC), National Center for HIV/AIDS, Viral Hepatitis, STD</w:t>
      </w:r>
      <w:r w:rsidR="00733C83">
        <w:t>,</w:t>
      </w:r>
      <w:r w:rsidRPr="007F7836">
        <w:t xml:space="preserve"> and TB Prevention (NCHHSTP).  This </w:t>
      </w:r>
      <w:r>
        <w:t>Situation Manual</w:t>
      </w:r>
      <w:r w:rsidRPr="007F7836">
        <w:t xml:space="preserve"> was produced with input, advice, and assistance from the CDC exercise planning team, following the guidance set forth in the Federal Emergency Management Agency (FEMA), Homeland Security Exercise and Evaluation Program (HSEEP).</w:t>
      </w:r>
    </w:p>
    <w:p w14:paraId="56186C2D" w14:textId="3227D455" w:rsidR="000369F5" w:rsidRPr="007F7836" w:rsidRDefault="000369F5" w:rsidP="00BC29E7">
      <w:pPr>
        <w:pStyle w:val="BodyText"/>
        <w:spacing w:after="200"/>
      </w:pPr>
      <w:r w:rsidRPr="007F7836">
        <w:t xml:space="preserve">Discussion-based exercises, such as this TTX, center on participant discussion. The purpose of a TTX is to test existing plans, policies, </w:t>
      </w:r>
      <w:r>
        <w:t>and</w:t>
      </w:r>
      <w:r w:rsidRPr="007F7836">
        <w:t xml:space="preserve"> procedures </w:t>
      </w:r>
      <w:r>
        <w:t>or develop new plans, policies</w:t>
      </w:r>
      <w:r w:rsidR="004B3A67">
        <w:t>,</w:t>
      </w:r>
      <w:r>
        <w:t xml:space="preserve"> and procedures </w:t>
      </w:r>
      <w:r w:rsidRPr="007F7836">
        <w:t>without incurring the costs associated with deploying resources</w:t>
      </w:r>
      <w:r>
        <w:t xml:space="preserve">.  </w:t>
      </w:r>
      <w:r w:rsidRPr="007F7836">
        <w:t>A TTX uses a hypothetical scenario to provide participating agencies the opportunity to practice group problem solving, familiarize senior officials with a situation, examine contingencies, assess interagency coordination</w:t>
      </w:r>
      <w:r>
        <w:t xml:space="preserve"> and collaboration</w:t>
      </w:r>
      <w:r w:rsidRPr="007F7836">
        <w:t>, etc.</w:t>
      </w:r>
      <w:r>
        <w:t xml:space="preserve">  The exercise </w:t>
      </w:r>
      <w:r w:rsidRPr="007F7836">
        <w:t>usually involves senior staff and key personnel in</w:t>
      </w:r>
      <w:r>
        <w:t xml:space="preserve"> an informal group discussion.</w:t>
      </w:r>
    </w:p>
    <w:p w14:paraId="01FAD89D" w14:textId="77777777" w:rsidR="000369F5" w:rsidRPr="007F7836" w:rsidRDefault="000369F5" w:rsidP="00BC29E7">
      <w:pPr>
        <w:pStyle w:val="BodyText"/>
        <w:spacing w:after="200"/>
      </w:pPr>
      <w:r w:rsidRPr="007F7836">
        <w:t xml:space="preserve">The </w:t>
      </w:r>
      <w:r>
        <w:t>ARGC Situation Manual</w:t>
      </w:r>
      <w:r w:rsidRPr="007F7836">
        <w:t xml:space="preserve"> provides exercise </w:t>
      </w:r>
      <w:r>
        <w:t>participants</w:t>
      </w:r>
      <w:r w:rsidRPr="007F7836">
        <w:t xml:space="preserve"> with all the tools necessary for their roles in the exercise.  It is tangible evidence of CDC’s commitment to ensure public health through collaborative partnerships that will prepare the CDC and state and local jurisdictions to respond to any emergency.</w:t>
      </w:r>
    </w:p>
    <w:p w14:paraId="0F549F7B" w14:textId="77777777" w:rsidR="000369F5" w:rsidRPr="007F7836" w:rsidRDefault="000369F5" w:rsidP="00BC29E7">
      <w:pPr>
        <w:pStyle w:val="BodyText"/>
        <w:spacing w:after="200"/>
      </w:pPr>
      <w:r w:rsidRPr="007F7836">
        <w:t xml:space="preserve">This TTX is an unclassified exercise.  Control of information is based more on public sensitivity regarding the nature of the exercise than on actual exercise content.  Some exercise material is intended for the exclusive use of exercise planners, facilitators, and evaluators, but players may view other materials deemed necessary to their performance.  The </w:t>
      </w:r>
      <w:r>
        <w:t>Situation Manual</w:t>
      </w:r>
      <w:r w:rsidRPr="007F7836">
        <w:t xml:space="preserve"> may be viewed by </w:t>
      </w:r>
      <w:r>
        <w:t xml:space="preserve">all </w:t>
      </w:r>
      <w:r w:rsidRPr="007F7836">
        <w:t>exercise p</w:t>
      </w:r>
      <w:r>
        <w:t>articipants</w:t>
      </w:r>
      <w:r w:rsidRPr="007F7836">
        <w:t>.</w:t>
      </w:r>
    </w:p>
    <w:p w14:paraId="3C76FE1D" w14:textId="77777777" w:rsidR="000369F5" w:rsidRPr="007F7836" w:rsidRDefault="000369F5" w:rsidP="00BC29E7">
      <w:pPr>
        <w:pStyle w:val="BodyText"/>
        <w:spacing w:after="200"/>
      </w:pPr>
      <w:r w:rsidRPr="007F7836">
        <w:t>All exercise participants should use appropriate guidelines to ensure the proper control of information within their areas of expertise and to protect this material in accordance with current jurisdictional directives.  Public release of exercise materials to third parties is at the discretion of the CDC exercise planning team.</w:t>
      </w:r>
    </w:p>
    <w:p w14:paraId="3BFF7381" w14:textId="77777777" w:rsidR="000369F5" w:rsidRDefault="000369F5" w:rsidP="009A6C8A"/>
    <w:p w14:paraId="0721840B" w14:textId="52109064" w:rsidR="008716E6" w:rsidRPr="008137E2" w:rsidRDefault="000369F5" w:rsidP="009A6C8A">
      <w:pPr>
        <w:rPr>
          <w:color w:val="000080"/>
          <w:kern w:val="32"/>
          <w:sz w:val="38"/>
          <w:szCs w:val="38"/>
        </w:rPr>
      </w:pPr>
      <w:bookmarkStart w:id="26" w:name="_Toc187545863"/>
      <w:bookmarkStart w:id="27" w:name="_Toc318372455"/>
      <w:r>
        <w:br w:type="page"/>
      </w:r>
      <w:bookmarkEnd w:id="26"/>
      <w:bookmarkEnd w:id="27"/>
    </w:p>
    <w:p w14:paraId="4EA4C86B" w14:textId="77777777" w:rsidR="00AC4D1F" w:rsidRPr="00B5092A" w:rsidRDefault="00AC4D1F" w:rsidP="009A6C8A"/>
    <w:p w14:paraId="4952C311" w14:textId="1F842850" w:rsidR="00753A32" w:rsidRDefault="00F22928" w:rsidP="009A6C8A">
      <w:pPr>
        <w:pStyle w:val="Heading2"/>
      </w:pPr>
      <w:bookmarkStart w:id="28" w:name="_Toc141515549"/>
      <w:bookmarkStart w:id="29" w:name="_Toc141523861"/>
      <w:bookmarkStart w:id="30" w:name="_Toc69913320"/>
      <w:bookmarkStart w:id="31" w:name="_Toc69913444"/>
      <w:bookmarkStart w:id="32" w:name="_Toc69913724"/>
      <w:bookmarkStart w:id="33" w:name="_Toc69913987"/>
      <w:r w:rsidRPr="00D819DF">
        <w:t>Contents</w:t>
      </w:r>
      <w:bookmarkEnd w:id="28"/>
      <w:bookmarkEnd w:id="29"/>
      <w:bookmarkEnd w:id="30"/>
      <w:bookmarkEnd w:id="31"/>
      <w:bookmarkEnd w:id="32"/>
      <w:bookmarkEnd w:id="33"/>
    </w:p>
    <w:sdt>
      <w:sdtPr>
        <w:rPr>
          <w:rFonts w:eastAsiaTheme="minorEastAsia" w:cs="Arial"/>
          <w:color w:val="auto"/>
          <w:sz w:val="22"/>
          <w:szCs w:val="22"/>
        </w:rPr>
        <w:id w:val="1392539833"/>
        <w:docPartObj>
          <w:docPartGallery w:val="Table of Contents"/>
          <w:docPartUnique/>
        </w:docPartObj>
      </w:sdtPr>
      <w:sdtEndPr>
        <w:rPr>
          <w:noProof/>
        </w:rPr>
      </w:sdtEndPr>
      <w:sdtContent>
        <w:p w14:paraId="3233B0EA" w14:textId="24C1EFE3" w:rsidR="008A0546" w:rsidRPr="00C12A43" w:rsidRDefault="008A0546" w:rsidP="009A6C8A">
          <w:pPr>
            <w:pStyle w:val="TOCHeading"/>
            <w:rPr>
              <w:rFonts w:cstheme="minorBidi"/>
              <w:noProof/>
            </w:rPr>
          </w:pPr>
          <w:r w:rsidRPr="00C12A43">
            <w:fldChar w:fldCharType="begin"/>
          </w:r>
          <w:r w:rsidRPr="00C12A43">
            <w:instrText xml:space="preserve"> TOC \o "1-3" \h \z \u </w:instrText>
          </w:r>
          <w:r w:rsidRPr="00C12A43">
            <w:fldChar w:fldCharType="separate"/>
          </w:r>
        </w:p>
        <w:p w14:paraId="0416BDDB" w14:textId="6AB0E683" w:rsidR="008A0546" w:rsidRPr="00C12A43" w:rsidRDefault="008F6F61" w:rsidP="00841A50">
          <w:pPr>
            <w:pStyle w:val="TOC2"/>
            <w:spacing w:line="360" w:lineRule="auto"/>
            <w:rPr>
              <w:rFonts w:cstheme="minorBidi"/>
              <w:noProof/>
            </w:rPr>
          </w:pPr>
          <w:hyperlink w:anchor="_Toc69913988" w:history="1">
            <w:r w:rsidR="008A0546" w:rsidRPr="00C12A43">
              <w:rPr>
                <w:rStyle w:val="Hyperlink"/>
                <w:rFonts w:ascii="Microsoft PhagsPa" w:hAnsi="Microsoft PhagsPa"/>
                <w:noProof/>
              </w:rPr>
              <w:t>Purpose</w:t>
            </w:r>
            <w:r w:rsidR="008A0546" w:rsidRPr="00C12A43">
              <w:rPr>
                <w:noProof/>
                <w:webHidden/>
              </w:rPr>
              <w:tab/>
            </w:r>
            <w:r w:rsidR="00E211C1" w:rsidRPr="00C12A43">
              <w:rPr>
                <w:noProof/>
                <w:webHidden/>
              </w:rPr>
              <w:tab/>
            </w:r>
            <w:r w:rsidR="008A0546" w:rsidRPr="00C12A43">
              <w:rPr>
                <w:noProof/>
                <w:webHidden/>
              </w:rPr>
              <w:fldChar w:fldCharType="begin"/>
            </w:r>
            <w:r w:rsidR="008A0546" w:rsidRPr="00C12A43">
              <w:rPr>
                <w:noProof/>
                <w:webHidden/>
              </w:rPr>
              <w:instrText xml:space="preserve"> PAGEREF _Toc69913988 \h </w:instrText>
            </w:r>
            <w:r w:rsidR="008A0546" w:rsidRPr="00C12A43">
              <w:rPr>
                <w:noProof/>
                <w:webHidden/>
              </w:rPr>
            </w:r>
            <w:r w:rsidR="008A0546" w:rsidRPr="00C12A43">
              <w:rPr>
                <w:noProof/>
                <w:webHidden/>
              </w:rPr>
              <w:fldChar w:fldCharType="separate"/>
            </w:r>
            <w:r w:rsidR="000D7CC7">
              <w:rPr>
                <w:noProof/>
                <w:webHidden/>
              </w:rPr>
              <w:t>1</w:t>
            </w:r>
            <w:r w:rsidR="008A0546" w:rsidRPr="00C12A43">
              <w:rPr>
                <w:noProof/>
                <w:webHidden/>
              </w:rPr>
              <w:fldChar w:fldCharType="end"/>
            </w:r>
          </w:hyperlink>
        </w:p>
        <w:p w14:paraId="777E1A8D" w14:textId="6E879796" w:rsidR="008A0546" w:rsidRPr="00C12A43" w:rsidRDefault="008F6F61" w:rsidP="00841A50">
          <w:pPr>
            <w:pStyle w:val="TOC2"/>
            <w:spacing w:line="360" w:lineRule="auto"/>
            <w:rPr>
              <w:rFonts w:cstheme="minorBidi"/>
              <w:noProof/>
            </w:rPr>
          </w:pPr>
          <w:hyperlink w:anchor="_Toc69913989" w:history="1">
            <w:r w:rsidR="008A0546" w:rsidRPr="00C12A43">
              <w:rPr>
                <w:rStyle w:val="Hyperlink"/>
                <w:rFonts w:ascii="Microsoft PhagsPa" w:hAnsi="Microsoft PhagsPa"/>
                <w:noProof/>
              </w:rPr>
              <w:t>Scope</w:t>
            </w:r>
            <w:r w:rsidR="008A0546" w:rsidRPr="00C12A43">
              <w:rPr>
                <w:noProof/>
                <w:webHidden/>
              </w:rPr>
              <w:tab/>
            </w:r>
            <w:r w:rsidR="00E211C1" w:rsidRPr="00C12A43">
              <w:rPr>
                <w:noProof/>
                <w:webHidden/>
              </w:rPr>
              <w:tab/>
            </w:r>
            <w:r w:rsidR="008A0546" w:rsidRPr="00C12A43">
              <w:rPr>
                <w:noProof/>
                <w:webHidden/>
              </w:rPr>
              <w:fldChar w:fldCharType="begin"/>
            </w:r>
            <w:r w:rsidR="008A0546" w:rsidRPr="00C12A43">
              <w:rPr>
                <w:noProof/>
                <w:webHidden/>
              </w:rPr>
              <w:instrText xml:space="preserve"> PAGEREF _Toc69913989 \h </w:instrText>
            </w:r>
            <w:r w:rsidR="008A0546" w:rsidRPr="00C12A43">
              <w:rPr>
                <w:noProof/>
                <w:webHidden/>
              </w:rPr>
            </w:r>
            <w:r w:rsidR="008A0546" w:rsidRPr="00C12A43">
              <w:rPr>
                <w:noProof/>
                <w:webHidden/>
              </w:rPr>
              <w:fldChar w:fldCharType="separate"/>
            </w:r>
            <w:r w:rsidR="000D7CC7">
              <w:rPr>
                <w:noProof/>
                <w:webHidden/>
              </w:rPr>
              <w:t>1</w:t>
            </w:r>
            <w:r w:rsidR="008A0546" w:rsidRPr="00C12A43">
              <w:rPr>
                <w:noProof/>
                <w:webHidden/>
              </w:rPr>
              <w:fldChar w:fldCharType="end"/>
            </w:r>
          </w:hyperlink>
        </w:p>
        <w:p w14:paraId="3BCD8291" w14:textId="318A3D0C" w:rsidR="008A0546" w:rsidRPr="00C12A43" w:rsidRDefault="008F6F61" w:rsidP="00841A50">
          <w:pPr>
            <w:pStyle w:val="TOC2"/>
            <w:spacing w:line="360" w:lineRule="auto"/>
            <w:rPr>
              <w:rFonts w:cstheme="minorBidi"/>
              <w:noProof/>
            </w:rPr>
          </w:pPr>
          <w:hyperlink w:anchor="_Toc69913990" w:history="1">
            <w:r w:rsidR="008A0546" w:rsidRPr="00C12A43">
              <w:rPr>
                <w:rStyle w:val="Hyperlink"/>
                <w:rFonts w:ascii="Microsoft PhagsPa" w:hAnsi="Microsoft PhagsPa"/>
                <w:noProof/>
              </w:rPr>
              <w:t>Public Health Emergency Preparedness and Response Capabilities</w:t>
            </w:r>
            <w:r w:rsidR="00E211C1" w:rsidRPr="00C12A43">
              <w:rPr>
                <w:noProof/>
                <w:webHidden/>
              </w:rPr>
              <w:tab/>
            </w:r>
            <w:r w:rsidR="008A0546" w:rsidRPr="00C12A43">
              <w:rPr>
                <w:noProof/>
                <w:webHidden/>
              </w:rPr>
              <w:fldChar w:fldCharType="begin"/>
            </w:r>
            <w:r w:rsidR="008A0546" w:rsidRPr="00C12A43">
              <w:rPr>
                <w:noProof/>
                <w:webHidden/>
              </w:rPr>
              <w:instrText xml:space="preserve"> PAGEREF _Toc69913990 \h </w:instrText>
            </w:r>
            <w:r w:rsidR="008A0546" w:rsidRPr="00C12A43">
              <w:rPr>
                <w:noProof/>
                <w:webHidden/>
              </w:rPr>
            </w:r>
            <w:r w:rsidR="008A0546" w:rsidRPr="00C12A43">
              <w:rPr>
                <w:noProof/>
                <w:webHidden/>
              </w:rPr>
              <w:fldChar w:fldCharType="separate"/>
            </w:r>
            <w:r w:rsidR="000D7CC7">
              <w:rPr>
                <w:noProof/>
                <w:webHidden/>
              </w:rPr>
              <w:t>1</w:t>
            </w:r>
            <w:r w:rsidR="008A0546" w:rsidRPr="00C12A43">
              <w:rPr>
                <w:noProof/>
                <w:webHidden/>
              </w:rPr>
              <w:fldChar w:fldCharType="end"/>
            </w:r>
          </w:hyperlink>
        </w:p>
        <w:p w14:paraId="5616CB84" w14:textId="71AD7A40" w:rsidR="008A0546" w:rsidRPr="00C12A43" w:rsidRDefault="008F6F61" w:rsidP="00841A50">
          <w:pPr>
            <w:pStyle w:val="TOC2"/>
            <w:spacing w:line="360" w:lineRule="auto"/>
            <w:rPr>
              <w:rFonts w:cstheme="minorBidi"/>
              <w:noProof/>
            </w:rPr>
          </w:pPr>
          <w:hyperlink w:anchor="_Toc69913991" w:history="1">
            <w:r w:rsidR="008A0546" w:rsidRPr="00C12A43">
              <w:rPr>
                <w:rStyle w:val="Hyperlink"/>
                <w:rFonts w:ascii="Microsoft PhagsPa" w:hAnsi="Microsoft PhagsPa"/>
                <w:noProof/>
              </w:rPr>
              <w:t>Preparedness Objectives</w:t>
            </w:r>
            <w:r w:rsidR="008A0546" w:rsidRPr="00C12A43">
              <w:rPr>
                <w:noProof/>
                <w:webHidden/>
              </w:rPr>
              <w:tab/>
            </w:r>
            <w:r w:rsidR="00EB5DF1" w:rsidRPr="00C12A43">
              <w:rPr>
                <w:noProof/>
                <w:webHidden/>
              </w:rPr>
              <w:tab/>
            </w:r>
            <w:r w:rsidR="008A0546" w:rsidRPr="00C12A43">
              <w:rPr>
                <w:noProof/>
                <w:webHidden/>
              </w:rPr>
              <w:fldChar w:fldCharType="begin"/>
            </w:r>
            <w:r w:rsidR="008A0546" w:rsidRPr="00C12A43">
              <w:rPr>
                <w:noProof/>
                <w:webHidden/>
              </w:rPr>
              <w:instrText xml:space="preserve"> PAGEREF _Toc69913991 \h </w:instrText>
            </w:r>
            <w:r w:rsidR="008A0546" w:rsidRPr="00C12A43">
              <w:rPr>
                <w:noProof/>
                <w:webHidden/>
              </w:rPr>
            </w:r>
            <w:r w:rsidR="008A0546" w:rsidRPr="00C12A43">
              <w:rPr>
                <w:noProof/>
                <w:webHidden/>
              </w:rPr>
              <w:fldChar w:fldCharType="separate"/>
            </w:r>
            <w:r w:rsidR="000D7CC7">
              <w:rPr>
                <w:noProof/>
                <w:webHidden/>
              </w:rPr>
              <w:t>2</w:t>
            </w:r>
            <w:r w:rsidR="008A0546" w:rsidRPr="00C12A43">
              <w:rPr>
                <w:noProof/>
                <w:webHidden/>
              </w:rPr>
              <w:fldChar w:fldCharType="end"/>
            </w:r>
          </w:hyperlink>
        </w:p>
        <w:p w14:paraId="438A74CC" w14:textId="3ADBA45A" w:rsidR="008A0546" w:rsidRPr="00C12A43" w:rsidRDefault="008F6F61" w:rsidP="00841A50">
          <w:pPr>
            <w:pStyle w:val="TOC2"/>
            <w:spacing w:line="360" w:lineRule="auto"/>
            <w:rPr>
              <w:rFonts w:cstheme="minorBidi"/>
              <w:noProof/>
            </w:rPr>
          </w:pPr>
          <w:hyperlink w:anchor="_Toc69913992" w:history="1">
            <w:r w:rsidR="008A0546" w:rsidRPr="00C12A43">
              <w:rPr>
                <w:rStyle w:val="Hyperlink"/>
                <w:rFonts w:ascii="Microsoft PhagsPa" w:hAnsi="Microsoft PhagsPa"/>
                <w:noProof/>
              </w:rPr>
              <w:t>ARGC TTX Objectives</w:t>
            </w:r>
            <w:r w:rsidR="008A0546" w:rsidRPr="00C12A43">
              <w:rPr>
                <w:noProof/>
                <w:webHidden/>
              </w:rPr>
              <w:tab/>
            </w:r>
            <w:r w:rsidR="00FF6EBB" w:rsidRPr="00C12A43">
              <w:rPr>
                <w:noProof/>
                <w:webHidden/>
              </w:rPr>
              <w:tab/>
            </w:r>
            <w:r w:rsidR="008A0546" w:rsidRPr="00C12A43">
              <w:rPr>
                <w:noProof/>
                <w:webHidden/>
              </w:rPr>
              <w:fldChar w:fldCharType="begin"/>
            </w:r>
            <w:r w:rsidR="008A0546" w:rsidRPr="00C12A43">
              <w:rPr>
                <w:noProof/>
                <w:webHidden/>
              </w:rPr>
              <w:instrText xml:space="preserve"> PAGEREF _Toc69913992 \h </w:instrText>
            </w:r>
            <w:r w:rsidR="008A0546" w:rsidRPr="00C12A43">
              <w:rPr>
                <w:noProof/>
                <w:webHidden/>
              </w:rPr>
            </w:r>
            <w:r w:rsidR="008A0546" w:rsidRPr="00C12A43">
              <w:rPr>
                <w:noProof/>
                <w:webHidden/>
              </w:rPr>
              <w:fldChar w:fldCharType="separate"/>
            </w:r>
            <w:r w:rsidR="000D7CC7">
              <w:rPr>
                <w:noProof/>
                <w:webHidden/>
              </w:rPr>
              <w:t>2</w:t>
            </w:r>
            <w:r w:rsidR="008A0546" w:rsidRPr="00C12A43">
              <w:rPr>
                <w:noProof/>
                <w:webHidden/>
              </w:rPr>
              <w:fldChar w:fldCharType="end"/>
            </w:r>
          </w:hyperlink>
        </w:p>
        <w:p w14:paraId="31AF9AE4" w14:textId="297860C8" w:rsidR="008A0546" w:rsidRPr="00C12A43" w:rsidRDefault="008F6F61" w:rsidP="00841A50">
          <w:pPr>
            <w:pStyle w:val="TOC2"/>
            <w:spacing w:line="360" w:lineRule="auto"/>
            <w:rPr>
              <w:rFonts w:cstheme="minorBidi"/>
              <w:noProof/>
            </w:rPr>
          </w:pPr>
          <w:hyperlink w:anchor="_Toc69913993" w:history="1">
            <w:r w:rsidR="008A0546" w:rsidRPr="00C12A43">
              <w:rPr>
                <w:rStyle w:val="Hyperlink"/>
                <w:rFonts w:ascii="Microsoft PhagsPa" w:hAnsi="Microsoft PhagsPa"/>
                <w:noProof/>
              </w:rPr>
              <w:t>Scenario</w:t>
            </w:r>
            <w:r w:rsidR="008A0546" w:rsidRPr="00C12A43">
              <w:rPr>
                <w:noProof/>
                <w:webHidden/>
              </w:rPr>
              <w:tab/>
            </w:r>
            <w:r w:rsidR="00FF6EBB" w:rsidRPr="00C12A43">
              <w:rPr>
                <w:noProof/>
                <w:webHidden/>
              </w:rPr>
              <w:tab/>
            </w:r>
            <w:r w:rsidR="008A0546" w:rsidRPr="00C12A43">
              <w:rPr>
                <w:noProof/>
                <w:webHidden/>
              </w:rPr>
              <w:fldChar w:fldCharType="begin"/>
            </w:r>
            <w:r w:rsidR="008A0546" w:rsidRPr="00C12A43">
              <w:rPr>
                <w:noProof/>
                <w:webHidden/>
              </w:rPr>
              <w:instrText xml:space="preserve"> PAGEREF _Toc69913993 \h </w:instrText>
            </w:r>
            <w:r w:rsidR="008A0546" w:rsidRPr="00C12A43">
              <w:rPr>
                <w:noProof/>
                <w:webHidden/>
              </w:rPr>
            </w:r>
            <w:r w:rsidR="008A0546" w:rsidRPr="00C12A43">
              <w:rPr>
                <w:noProof/>
                <w:webHidden/>
              </w:rPr>
              <w:fldChar w:fldCharType="separate"/>
            </w:r>
            <w:r w:rsidR="000D7CC7">
              <w:rPr>
                <w:noProof/>
                <w:webHidden/>
              </w:rPr>
              <w:t>2</w:t>
            </w:r>
            <w:r w:rsidR="008A0546" w:rsidRPr="00C12A43">
              <w:rPr>
                <w:noProof/>
                <w:webHidden/>
              </w:rPr>
              <w:fldChar w:fldCharType="end"/>
            </w:r>
          </w:hyperlink>
        </w:p>
        <w:p w14:paraId="38D5DC12" w14:textId="4E5FCF40" w:rsidR="008A0546" w:rsidRPr="00C12A43" w:rsidRDefault="008F6F61" w:rsidP="00841A50">
          <w:pPr>
            <w:pStyle w:val="TOC2"/>
            <w:spacing w:line="360" w:lineRule="auto"/>
            <w:rPr>
              <w:rFonts w:cstheme="minorBidi"/>
              <w:noProof/>
            </w:rPr>
          </w:pPr>
          <w:hyperlink w:anchor="_Toc69913994" w:history="1">
            <w:r w:rsidR="008A0546" w:rsidRPr="00C12A43">
              <w:rPr>
                <w:rStyle w:val="Hyperlink"/>
                <w:rFonts w:ascii="Microsoft PhagsPa" w:hAnsi="Microsoft PhagsPa"/>
                <w:noProof/>
              </w:rPr>
              <w:t>Participants</w:t>
            </w:r>
            <w:r w:rsidR="008A0546" w:rsidRPr="00C12A43">
              <w:rPr>
                <w:noProof/>
                <w:webHidden/>
              </w:rPr>
              <w:tab/>
            </w:r>
            <w:r w:rsidR="00FF6EBB" w:rsidRPr="00C12A43">
              <w:rPr>
                <w:noProof/>
                <w:webHidden/>
              </w:rPr>
              <w:tab/>
            </w:r>
            <w:r w:rsidR="008A0546" w:rsidRPr="00C12A43">
              <w:rPr>
                <w:noProof/>
                <w:webHidden/>
              </w:rPr>
              <w:fldChar w:fldCharType="begin"/>
            </w:r>
            <w:r w:rsidR="008A0546" w:rsidRPr="00C12A43">
              <w:rPr>
                <w:noProof/>
                <w:webHidden/>
              </w:rPr>
              <w:instrText xml:space="preserve"> PAGEREF _Toc69913994 \h </w:instrText>
            </w:r>
            <w:r w:rsidR="008A0546" w:rsidRPr="00C12A43">
              <w:rPr>
                <w:noProof/>
                <w:webHidden/>
              </w:rPr>
            </w:r>
            <w:r w:rsidR="008A0546" w:rsidRPr="00C12A43">
              <w:rPr>
                <w:noProof/>
                <w:webHidden/>
              </w:rPr>
              <w:fldChar w:fldCharType="separate"/>
            </w:r>
            <w:r w:rsidR="000D7CC7">
              <w:rPr>
                <w:noProof/>
                <w:webHidden/>
              </w:rPr>
              <w:t>2</w:t>
            </w:r>
            <w:r w:rsidR="008A0546" w:rsidRPr="00C12A43">
              <w:rPr>
                <w:noProof/>
                <w:webHidden/>
              </w:rPr>
              <w:fldChar w:fldCharType="end"/>
            </w:r>
          </w:hyperlink>
        </w:p>
        <w:p w14:paraId="7F685DB3" w14:textId="7599593F" w:rsidR="008A0546" w:rsidRPr="00C12A43" w:rsidRDefault="008F6F61" w:rsidP="00841A50">
          <w:pPr>
            <w:pStyle w:val="TOC2"/>
            <w:spacing w:line="360" w:lineRule="auto"/>
            <w:rPr>
              <w:rFonts w:cstheme="minorBidi"/>
              <w:noProof/>
            </w:rPr>
          </w:pPr>
          <w:hyperlink w:anchor="_Toc69913995" w:history="1">
            <w:r w:rsidR="008A0546" w:rsidRPr="00C12A43">
              <w:rPr>
                <w:rStyle w:val="Hyperlink"/>
                <w:rFonts w:ascii="Microsoft PhagsPa" w:hAnsi="Microsoft PhagsPa"/>
                <w:noProof/>
              </w:rPr>
              <w:t>Participant</w:t>
            </w:r>
            <w:r w:rsidR="008A0546" w:rsidRPr="00C12A43">
              <w:rPr>
                <w:rStyle w:val="Hyperlink"/>
                <w:rFonts w:ascii="Microsoft PhagsPa" w:hAnsi="Microsoft PhagsPa"/>
                <w:noProof/>
                <w:spacing w:val="-15"/>
              </w:rPr>
              <w:t xml:space="preserve"> </w:t>
            </w:r>
            <w:r w:rsidR="008A0546" w:rsidRPr="00C12A43">
              <w:rPr>
                <w:rStyle w:val="Hyperlink"/>
                <w:rFonts w:ascii="Microsoft PhagsPa" w:hAnsi="Microsoft PhagsPa"/>
                <w:noProof/>
              </w:rPr>
              <w:t>Roles</w:t>
            </w:r>
            <w:r w:rsidR="008A0546" w:rsidRPr="00C12A43">
              <w:rPr>
                <w:rStyle w:val="Hyperlink"/>
                <w:rFonts w:ascii="Microsoft PhagsPa" w:hAnsi="Microsoft PhagsPa"/>
                <w:noProof/>
                <w:spacing w:val="-14"/>
              </w:rPr>
              <w:t xml:space="preserve"> </w:t>
            </w:r>
            <w:r w:rsidR="008A0546" w:rsidRPr="00C12A43">
              <w:rPr>
                <w:rStyle w:val="Hyperlink"/>
                <w:rFonts w:ascii="Microsoft PhagsPa" w:hAnsi="Microsoft PhagsPa"/>
                <w:noProof/>
              </w:rPr>
              <w:t>and</w:t>
            </w:r>
            <w:r w:rsidR="008A0546" w:rsidRPr="00C12A43">
              <w:rPr>
                <w:rStyle w:val="Hyperlink"/>
                <w:rFonts w:ascii="Microsoft PhagsPa" w:hAnsi="Microsoft PhagsPa"/>
                <w:noProof/>
                <w:spacing w:val="-15"/>
              </w:rPr>
              <w:t xml:space="preserve"> </w:t>
            </w:r>
            <w:r w:rsidR="008A0546" w:rsidRPr="00C12A43">
              <w:rPr>
                <w:rStyle w:val="Hyperlink"/>
                <w:rFonts w:ascii="Microsoft PhagsPa" w:hAnsi="Microsoft PhagsPa"/>
                <w:noProof/>
              </w:rPr>
              <w:t>Responsibilities</w:t>
            </w:r>
            <w:r w:rsidR="008A0546" w:rsidRPr="00C12A43">
              <w:rPr>
                <w:noProof/>
                <w:webHidden/>
              </w:rPr>
              <w:tab/>
            </w:r>
            <w:r w:rsidR="00FF6EBB" w:rsidRPr="00C12A43">
              <w:rPr>
                <w:noProof/>
                <w:webHidden/>
              </w:rPr>
              <w:tab/>
            </w:r>
            <w:r w:rsidR="008A0546" w:rsidRPr="00C12A43">
              <w:rPr>
                <w:noProof/>
                <w:webHidden/>
              </w:rPr>
              <w:fldChar w:fldCharType="begin"/>
            </w:r>
            <w:r w:rsidR="008A0546" w:rsidRPr="00C12A43">
              <w:rPr>
                <w:noProof/>
                <w:webHidden/>
              </w:rPr>
              <w:instrText xml:space="preserve"> PAGEREF _Toc69913995 \h </w:instrText>
            </w:r>
            <w:r w:rsidR="008A0546" w:rsidRPr="00C12A43">
              <w:rPr>
                <w:noProof/>
                <w:webHidden/>
              </w:rPr>
            </w:r>
            <w:r w:rsidR="008A0546" w:rsidRPr="00C12A43">
              <w:rPr>
                <w:noProof/>
                <w:webHidden/>
              </w:rPr>
              <w:fldChar w:fldCharType="separate"/>
            </w:r>
            <w:r w:rsidR="000D7CC7">
              <w:rPr>
                <w:noProof/>
                <w:webHidden/>
              </w:rPr>
              <w:t>3</w:t>
            </w:r>
            <w:r w:rsidR="008A0546" w:rsidRPr="00C12A43">
              <w:rPr>
                <w:noProof/>
                <w:webHidden/>
              </w:rPr>
              <w:fldChar w:fldCharType="end"/>
            </w:r>
          </w:hyperlink>
        </w:p>
        <w:p w14:paraId="61DFA0F3" w14:textId="67FC5D34" w:rsidR="008A0546" w:rsidRPr="00C12A43" w:rsidRDefault="008F6F61" w:rsidP="00841A50">
          <w:pPr>
            <w:pStyle w:val="TOC2"/>
            <w:spacing w:line="360" w:lineRule="auto"/>
            <w:rPr>
              <w:rFonts w:cstheme="minorBidi"/>
              <w:noProof/>
            </w:rPr>
          </w:pPr>
          <w:hyperlink w:anchor="_Toc69913996" w:history="1">
            <w:r w:rsidR="008A0546" w:rsidRPr="00C12A43">
              <w:rPr>
                <w:rStyle w:val="Hyperlink"/>
                <w:rFonts w:ascii="Microsoft PhagsPa" w:hAnsi="Microsoft PhagsPa"/>
                <w:noProof/>
              </w:rPr>
              <w:t>Location</w:t>
            </w:r>
            <w:r w:rsidR="008A0546" w:rsidRPr="00C12A43">
              <w:rPr>
                <w:noProof/>
                <w:webHidden/>
              </w:rPr>
              <w:tab/>
            </w:r>
            <w:r w:rsidR="00FF6EBB" w:rsidRPr="00C12A43">
              <w:rPr>
                <w:noProof/>
                <w:webHidden/>
              </w:rPr>
              <w:tab/>
            </w:r>
            <w:r w:rsidR="008A0546" w:rsidRPr="00C12A43">
              <w:rPr>
                <w:noProof/>
                <w:webHidden/>
              </w:rPr>
              <w:fldChar w:fldCharType="begin"/>
            </w:r>
            <w:r w:rsidR="008A0546" w:rsidRPr="00C12A43">
              <w:rPr>
                <w:noProof/>
                <w:webHidden/>
              </w:rPr>
              <w:instrText xml:space="preserve"> PAGEREF _Toc69913996 \h </w:instrText>
            </w:r>
            <w:r w:rsidR="008A0546" w:rsidRPr="00C12A43">
              <w:rPr>
                <w:noProof/>
                <w:webHidden/>
              </w:rPr>
            </w:r>
            <w:r w:rsidR="008A0546" w:rsidRPr="00C12A43">
              <w:rPr>
                <w:noProof/>
                <w:webHidden/>
              </w:rPr>
              <w:fldChar w:fldCharType="separate"/>
            </w:r>
            <w:r w:rsidR="000D7CC7">
              <w:rPr>
                <w:noProof/>
                <w:webHidden/>
              </w:rPr>
              <w:t>3</w:t>
            </w:r>
            <w:r w:rsidR="008A0546" w:rsidRPr="00C12A43">
              <w:rPr>
                <w:noProof/>
                <w:webHidden/>
              </w:rPr>
              <w:fldChar w:fldCharType="end"/>
            </w:r>
          </w:hyperlink>
        </w:p>
        <w:p w14:paraId="5B2E6D1B" w14:textId="266199B7" w:rsidR="008A0546" w:rsidRPr="00C12A43" w:rsidRDefault="008F6F61" w:rsidP="00841A50">
          <w:pPr>
            <w:pStyle w:val="TOC2"/>
            <w:spacing w:line="360" w:lineRule="auto"/>
            <w:rPr>
              <w:rFonts w:cstheme="minorBidi"/>
              <w:noProof/>
            </w:rPr>
          </w:pPr>
          <w:hyperlink w:anchor="_Toc69913997" w:history="1">
            <w:r w:rsidR="008A0546" w:rsidRPr="00C12A43">
              <w:rPr>
                <w:rStyle w:val="Hyperlink"/>
                <w:rFonts w:ascii="Microsoft PhagsPa" w:hAnsi="Microsoft PhagsPa"/>
                <w:noProof/>
              </w:rPr>
              <w:t>Structure and Sequence of Events</w:t>
            </w:r>
            <w:r w:rsidR="008A0546" w:rsidRPr="00C12A43">
              <w:rPr>
                <w:noProof/>
                <w:webHidden/>
              </w:rPr>
              <w:tab/>
            </w:r>
            <w:r w:rsidR="00FF6EBB" w:rsidRPr="00C12A43">
              <w:rPr>
                <w:noProof/>
                <w:webHidden/>
              </w:rPr>
              <w:tab/>
            </w:r>
            <w:r w:rsidR="008A0546" w:rsidRPr="00C12A43">
              <w:rPr>
                <w:noProof/>
                <w:webHidden/>
              </w:rPr>
              <w:fldChar w:fldCharType="begin"/>
            </w:r>
            <w:r w:rsidR="008A0546" w:rsidRPr="00C12A43">
              <w:rPr>
                <w:noProof/>
                <w:webHidden/>
              </w:rPr>
              <w:instrText xml:space="preserve"> PAGEREF _Toc69913997 \h </w:instrText>
            </w:r>
            <w:r w:rsidR="008A0546" w:rsidRPr="00C12A43">
              <w:rPr>
                <w:noProof/>
                <w:webHidden/>
              </w:rPr>
            </w:r>
            <w:r w:rsidR="008A0546" w:rsidRPr="00C12A43">
              <w:rPr>
                <w:noProof/>
                <w:webHidden/>
              </w:rPr>
              <w:fldChar w:fldCharType="separate"/>
            </w:r>
            <w:r w:rsidR="000D7CC7">
              <w:rPr>
                <w:noProof/>
                <w:webHidden/>
              </w:rPr>
              <w:t>3</w:t>
            </w:r>
            <w:r w:rsidR="008A0546" w:rsidRPr="00C12A43">
              <w:rPr>
                <w:noProof/>
                <w:webHidden/>
              </w:rPr>
              <w:fldChar w:fldCharType="end"/>
            </w:r>
          </w:hyperlink>
        </w:p>
        <w:p w14:paraId="268EF14F" w14:textId="28253B33" w:rsidR="008A0546" w:rsidRPr="00C12A43" w:rsidRDefault="008F6F61" w:rsidP="00841A50">
          <w:pPr>
            <w:pStyle w:val="TOC2"/>
            <w:spacing w:line="360" w:lineRule="auto"/>
            <w:rPr>
              <w:rFonts w:cstheme="minorBidi"/>
              <w:noProof/>
            </w:rPr>
          </w:pPr>
          <w:hyperlink w:anchor="_Toc69913999" w:history="1">
            <w:r w:rsidR="008A0546" w:rsidRPr="00C12A43">
              <w:rPr>
                <w:rStyle w:val="Hyperlink"/>
                <w:rFonts w:ascii="Microsoft PhagsPa" w:hAnsi="Microsoft PhagsPa"/>
                <w:noProof/>
              </w:rPr>
              <w:t>Mission Areas</w:t>
            </w:r>
            <w:r w:rsidR="008A0546" w:rsidRPr="00C12A43">
              <w:rPr>
                <w:noProof/>
                <w:webHidden/>
              </w:rPr>
              <w:tab/>
            </w:r>
            <w:r w:rsidR="00FF6EBB" w:rsidRPr="00C12A43">
              <w:rPr>
                <w:noProof/>
                <w:webHidden/>
              </w:rPr>
              <w:tab/>
            </w:r>
            <w:r w:rsidR="008A0546" w:rsidRPr="00C12A43">
              <w:rPr>
                <w:noProof/>
                <w:webHidden/>
              </w:rPr>
              <w:fldChar w:fldCharType="begin"/>
            </w:r>
            <w:r w:rsidR="008A0546" w:rsidRPr="00C12A43">
              <w:rPr>
                <w:noProof/>
                <w:webHidden/>
              </w:rPr>
              <w:instrText xml:space="preserve"> PAGEREF _Toc69913999 \h </w:instrText>
            </w:r>
            <w:r w:rsidR="008A0546" w:rsidRPr="00C12A43">
              <w:rPr>
                <w:noProof/>
                <w:webHidden/>
              </w:rPr>
            </w:r>
            <w:r w:rsidR="008A0546" w:rsidRPr="00C12A43">
              <w:rPr>
                <w:noProof/>
                <w:webHidden/>
              </w:rPr>
              <w:fldChar w:fldCharType="separate"/>
            </w:r>
            <w:r w:rsidR="000D7CC7">
              <w:rPr>
                <w:noProof/>
                <w:webHidden/>
              </w:rPr>
              <w:t>4</w:t>
            </w:r>
            <w:r w:rsidR="008A0546" w:rsidRPr="00C12A43">
              <w:rPr>
                <w:noProof/>
                <w:webHidden/>
              </w:rPr>
              <w:fldChar w:fldCharType="end"/>
            </w:r>
          </w:hyperlink>
        </w:p>
        <w:p w14:paraId="620341B5" w14:textId="32D14166" w:rsidR="008A0546" w:rsidRPr="00C12A43" w:rsidRDefault="008F6F61" w:rsidP="00841A50">
          <w:pPr>
            <w:pStyle w:val="TOC2"/>
            <w:spacing w:line="360" w:lineRule="auto"/>
            <w:rPr>
              <w:rFonts w:cstheme="minorBidi"/>
              <w:noProof/>
            </w:rPr>
          </w:pPr>
          <w:hyperlink w:anchor="_Toc69914003" w:history="1">
            <w:r w:rsidR="008A0546" w:rsidRPr="00C12A43">
              <w:rPr>
                <w:rStyle w:val="Hyperlink"/>
                <w:rFonts w:ascii="Microsoft PhagsPa" w:hAnsi="Microsoft PhagsPa"/>
                <w:noProof/>
              </w:rPr>
              <w:t>Guidelines</w:t>
            </w:r>
            <w:r w:rsidR="008A0546" w:rsidRPr="00C12A43">
              <w:rPr>
                <w:noProof/>
                <w:webHidden/>
              </w:rPr>
              <w:tab/>
            </w:r>
            <w:r w:rsidR="007C7C5B" w:rsidRPr="00C12A43">
              <w:rPr>
                <w:noProof/>
                <w:webHidden/>
              </w:rPr>
              <w:tab/>
            </w:r>
            <w:r w:rsidR="008A0546" w:rsidRPr="00C12A43">
              <w:rPr>
                <w:noProof/>
                <w:webHidden/>
              </w:rPr>
              <w:fldChar w:fldCharType="begin"/>
            </w:r>
            <w:r w:rsidR="008A0546" w:rsidRPr="00C12A43">
              <w:rPr>
                <w:noProof/>
                <w:webHidden/>
              </w:rPr>
              <w:instrText xml:space="preserve"> PAGEREF _Toc69914003 \h </w:instrText>
            </w:r>
            <w:r w:rsidR="008A0546" w:rsidRPr="00C12A43">
              <w:rPr>
                <w:noProof/>
                <w:webHidden/>
              </w:rPr>
            </w:r>
            <w:r w:rsidR="008A0546" w:rsidRPr="00C12A43">
              <w:rPr>
                <w:noProof/>
                <w:webHidden/>
              </w:rPr>
              <w:fldChar w:fldCharType="separate"/>
            </w:r>
            <w:r w:rsidR="000D7CC7">
              <w:rPr>
                <w:noProof/>
                <w:webHidden/>
              </w:rPr>
              <w:t>5</w:t>
            </w:r>
            <w:r w:rsidR="008A0546" w:rsidRPr="00C12A43">
              <w:rPr>
                <w:noProof/>
                <w:webHidden/>
              </w:rPr>
              <w:fldChar w:fldCharType="end"/>
            </w:r>
          </w:hyperlink>
        </w:p>
        <w:p w14:paraId="31FCB4B7" w14:textId="76765281" w:rsidR="008A0546" w:rsidRPr="00C12A43" w:rsidRDefault="008F6F61" w:rsidP="00841A50">
          <w:pPr>
            <w:pStyle w:val="TOC2"/>
            <w:spacing w:line="360" w:lineRule="auto"/>
            <w:rPr>
              <w:rFonts w:cstheme="minorBidi"/>
              <w:noProof/>
            </w:rPr>
          </w:pPr>
          <w:hyperlink w:anchor="_Toc69914004" w:history="1">
            <w:r w:rsidR="008A0546" w:rsidRPr="00C12A43">
              <w:rPr>
                <w:rStyle w:val="Hyperlink"/>
                <w:rFonts w:ascii="Microsoft PhagsPa" w:hAnsi="Microsoft PhagsPa"/>
                <w:noProof/>
              </w:rPr>
              <w:t>Assumptions</w:t>
            </w:r>
            <w:r w:rsidR="008A0546" w:rsidRPr="00C12A43">
              <w:rPr>
                <w:rStyle w:val="Hyperlink"/>
                <w:rFonts w:ascii="Microsoft PhagsPa" w:hAnsi="Microsoft PhagsPa"/>
                <w:noProof/>
                <w:spacing w:val="-18"/>
              </w:rPr>
              <w:t xml:space="preserve"> </w:t>
            </w:r>
            <w:r w:rsidR="008A0546" w:rsidRPr="00C12A43">
              <w:rPr>
                <w:rStyle w:val="Hyperlink"/>
                <w:rFonts w:ascii="Microsoft PhagsPa" w:hAnsi="Microsoft PhagsPa"/>
                <w:noProof/>
                <w:spacing w:val="1"/>
              </w:rPr>
              <w:t>and</w:t>
            </w:r>
            <w:r w:rsidR="008A0546" w:rsidRPr="00C12A43">
              <w:rPr>
                <w:rStyle w:val="Hyperlink"/>
                <w:rFonts w:ascii="Microsoft PhagsPa" w:hAnsi="Microsoft PhagsPa"/>
                <w:noProof/>
                <w:spacing w:val="-17"/>
              </w:rPr>
              <w:t xml:space="preserve"> </w:t>
            </w:r>
            <w:r w:rsidR="008A0546" w:rsidRPr="00C12A43">
              <w:rPr>
                <w:rStyle w:val="Hyperlink"/>
                <w:rFonts w:ascii="Microsoft PhagsPa" w:hAnsi="Microsoft PhagsPa"/>
                <w:noProof/>
              </w:rPr>
              <w:t>Artificialities</w:t>
            </w:r>
            <w:r w:rsidR="008A0546" w:rsidRPr="00C12A43">
              <w:rPr>
                <w:noProof/>
                <w:webHidden/>
              </w:rPr>
              <w:tab/>
            </w:r>
            <w:r w:rsidR="007C7C5B" w:rsidRPr="00C12A43">
              <w:rPr>
                <w:noProof/>
                <w:webHidden/>
              </w:rPr>
              <w:tab/>
            </w:r>
            <w:r w:rsidR="008A0546" w:rsidRPr="00C12A43">
              <w:rPr>
                <w:noProof/>
                <w:webHidden/>
              </w:rPr>
              <w:fldChar w:fldCharType="begin"/>
            </w:r>
            <w:r w:rsidR="008A0546" w:rsidRPr="00C12A43">
              <w:rPr>
                <w:noProof/>
                <w:webHidden/>
              </w:rPr>
              <w:instrText xml:space="preserve"> PAGEREF _Toc69914004 \h </w:instrText>
            </w:r>
            <w:r w:rsidR="008A0546" w:rsidRPr="00C12A43">
              <w:rPr>
                <w:noProof/>
                <w:webHidden/>
              </w:rPr>
            </w:r>
            <w:r w:rsidR="008A0546" w:rsidRPr="00C12A43">
              <w:rPr>
                <w:noProof/>
                <w:webHidden/>
              </w:rPr>
              <w:fldChar w:fldCharType="separate"/>
            </w:r>
            <w:r w:rsidR="000D7CC7">
              <w:rPr>
                <w:noProof/>
                <w:webHidden/>
              </w:rPr>
              <w:t>5</w:t>
            </w:r>
            <w:r w:rsidR="008A0546" w:rsidRPr="00C12A43">
              <w:rPr>
                <w:noProof/>
                <w:webHidden/>
              </w:rPr>
              <w:fldChar w:fldCharType="end"/>
            </w:r>
          </w:hyperlink>
        </w:p>
        <w:p w14:paraId="46ADA2E7" w14:textId="480E05E7" w:rsidR="008A0546" w:rsidRPr="00C12A43" w:rsidRDefault="008F6F61" w:rsidP="00841A50">
          <w:pPr>
            <w:pStyle w:val="TOC2"/>
            <w:spacing w:line="360" w:lineRule="auto"/>
            <w:rPr>
              <w:rFonts w:cstheme="minorBidi"/>
              <w:noProof/>
            </w:rPr>
          </w:pPr>
          <w:hyperlink w:anchor="_Toc69914005" w:history="1">
            <w:r w:rsidR="008A0546" w:rsidRPr="00C12A43">
              <w:rPr>
                <w:rStyle w:val="Hyperlink"/>
                <w:rFonts w:ascii="Microsoft PhagsPa" w:hAnsi="Microsoft PhagsPa"/>
                <w:noProof/>
              </w:rPr>
              <w:t>Evaluation</w:t>
            </w:r>
            <w:r w:rsidR="008A0546" w:rsidRPr="00C12A43">
              <w:rPr>
                <w:noProof/>
                <w:webHidden/>
              </w:rPr>
              <w:tab/>
            </w:r>
            <w:r w:rsidR="007C7C5B" w:rsidRPr="00C12A43">
              <w:rPr>
                <w:noProof/>
                <w:webHidden/>
              </w:rPr>
              <w:tab/>
            </w:r>
            <w:r w:rsidR="008A0546" w:rsidRPr="00C12A43">
              <w:rPr>
                <w:noProof/>
                <w:webHidden/>
              </w:rPr>
              <w:fldChar w:fldCharType="begin"/>
            </w:r>
            <w:r w:rsidR="008A0546" w:rsidRPr="00C12A43">
              <w:rPr>
                <w:noProof/>
                <w:webHidden/>
              </w:rPr>
              <w:instrText xml:space="preserve"> PAGEREF _Toc69914005 \h </w:instrText>
            </w:r>
            <w:r w:rsidR="008A0546" w:rsidRPr="00C12A43">
              <w:rPr>
                <w:noProof/>
                <w:webHidden/>
              </w:rPr>
            </w:r>
            <w:r w:rsidR="008A0546" w:rsidRPr="00C12A43">
              <w:rPr>
                <w:noProof/>
                <w:webHidden/>
              </w:rPr>
              <w:fldChar w:fldCharType="separate"/>
            </w:r>
            <w:r w:rsidR="000D7CC7">
              <w:rPr>
                <w:noProof/>
                <w:webHidden/>
              </w:rPr>
              <w:t>6</w:t>
            </w:r>
            <w:r w:rsidR="008A0546" w:rsidRPr="00C12A43">
              <w:rPr>
                <w:noProof/>
                <w:webHidden/>
              </w:rPr>
              <w:fldChar w:fldCharType="end"/>
            </w:r>
          </w:hyperlink>
        </w:p>
        <w:p w14:paraId="0E4F4A44" w14:textId="08071A71" w:rsidR="008A0546" w:rsidRPr="00C12A43" w:rsidRDefault="008F6F61" w:rsidP="00841A50">
          <w:pPr>
            <w:pStyle w:val="TOC2"/>
            <w:spacing w:line="360" w:lineRule="auto"/>
            <w:rPr>
              <w:rFonts w:cstheme="minorBidi"/>
              <w:noProof/>
            </w:rPr>
          </w:pPr>
          <w:hyperlink w:anchor="_Toc69914006" w:history="1">
            <w:r w:rsidR="008A0546" w:rsidRPr="00C12A43">
              <w:rPr>
                <w:rStyle w:val="Hyperlink"/>
                <w:rFonts w:ascii="Microsoft PhagsPa" w:hAnsi="Microsoft PhagsPa"/>
                <w:noProof/>
              </w:rPr>
              <w:t>Appendix A:  ARGC TTX Scenario</w:t>
            </w:r>
            <w:r w:rsidR="008A0546" w:rsidRPr="00C12A43">
              <w:rPr>
                <w:noProof/>
                <w:webHidden/>
              </w:rPr>
              <w:tab/>
            </w:r>
            <w:r w:rsidR="007C7C5B" w:rsidRPr="00C12A43">
              <w:rPr>
                <w:noProof/>
                <w:webHidden/>
              </w:rPr>
              <w:tab/>
            </w:r>
            <w:r w:rsidR="00C5615D">
              <w:rPr>
                <w:noProof/>
                <w:webHidden/>
              </w:rPr>
              <w:t>A</w:t>
            </w:r>
            <w:r w:rsidR="008A0546" w:rsidRPr="00C12A43">
              <w:rPr>
                <w:noProof/>
                <w:webHidden/>
              </w:rPr>
              <w:fldChar w:fldCharType="begin"/>
            </w:r>
            <w:r w:rsidR="008A0546" w:rsidRPr="00C12A43">
              <w:rPr>
                <w:noProof/>
                <w:webHidden/>
              </w:rPr>
              <w:instrText xml:space="preserve"> PAGEREF _Toc69914006 \h </w:instrText>
            </w:r>
            <w:r w:rsidR="008A0546" w:rsidRPr="00C12A43">
              <w:rPr>
                <w:noProof/>
                <w:webHidden/>
              </w:rPr>
            </w:r>
            <w:r w:rsidR="008A0546" w:rsidRPr="00C12A43">
              <w:rPr>
                <w:noProof/>
                <w:webHidden/>
              </w:rPr>
              <w:fldChar w:fldCharType="separate"/>
            </w:r>
            <w:r w:rsidR="000D7CC7">
              <w:rPr>
                <w:noProof/>
                <w:webHidden/>
              </w:rPr>
              <w:t>1</w:t>
            </w:r>
            <w:r w:rsidR="008A0546" w:rsidRPr="00C12A43">
              <w:rPr>
                <w:noProof/>
                <w:webHidden/>
              </w:rPr>
              <w:fldChar w:fldCharType="end"/>
            </w:r>
          </w:hyperlink>
        </w:p>
        <w:p w14:paraId="57B49B20" w14:textId="4C3CC912" w:rsidR="008A0546" w:rsidRPr="00C12A43" w:rsidRDefault="008F6F61" w:rsidP="00841A50">
          <w:pPr>
            <w:pStyle w:val="TOC2"/>
            <w:spacing w:line="360" w:lineRule="auto"/>
            <w:rPr>
              <w:rFonts w:cstheme="minorBidi"/>
              <w:noProof/>
            </w:rPr>
          </w:pPr>
          <w:hyperlink w:anchor="_Toc69914008" w:history="1">
            <w:r w:rsidR="008A0546" w:rsidRPr="00C12A43">
              <w:rPr>
                <w:rStyle w:val="Hyperlink"/>
                <w:rFonts w:ascii="Microsoft PhagsPa" w:hAnsi="Microsoft PhagsPa"/>
                <w:noProof/>
              </w:rPr>
              <w:t>Appendix B:  ARGC TTX Participants</w:t>
            </w:r>
            <w:r w:rsidR="008A0546" w:rsidRPr="00C12A43">
              <w:rPr>
                <w:noProof/>
                <w:webHidden/>
              </w:rPr>
              <w:tab/>
            </w:r>
            <w:r w:rsidR="007C7C5B" w:rsidRPr="00C12A43">
              <w:rPr>
                <w:noProof/>
                <w:webHidden/>
              </w:rPr>
              <w:tab/>
            </w:r>
            <w:r w:rsidR="00C5615D">
              <w:rPr>
                <w:noProof/>
                <w:webHidden/>
              </w:rPr>
              <w:t>B</w:t>
            </w:r>
            <w:r w:rsidR="008A0546" w:rsidRPr="00C12A43">
              <w:rPr>
                <w:noProof/>
                <w:webHidden/>
              </w:rPr>
              <w:fldChar w:fldCharType="begin"/>
            </w:r>
            <w:r w:rsidR="008A0546" w:rsidRPr="00C12A43">
              <w:rPr>
                <w:noProof/>
                <w:webHidden/>
              </w:rPr>
              <w:instrText xml:space="preserve"> PAGEREF _Toc69914008 \h </w:instrText>
            </w:r>
            <w:r w:rsidR="008A0546" w:rsidRPr="00C12A43">
              <w:rPr>
                <w:noProof/>
                <w:webHidden/>
              </w:rPr>
            </w:r>
            <w:r w:rsidR="008A0546" w:rsidRPr="00C12A43">
              <w:rPr>
                <w:noProof/>
                <w:webHidden/>
              </w:rPr>
              <w:fldChar w:fldCharType="separate"/>
            </w:r>
            <w:r w:rsidR="000D7CC7">
              <w:rPr>
                <w:noProof/>
                <w:webHidden/>
              </w:rPr>
              <w:t>1</w:t>
            </w:r>
            <w:r w:rsidR="008A0546" w:rsidRPr="00C12A43">
              <w:rPr>
                <w:noProof/>
                <w:webHidden/>
              </w:rPr>
              <w:fldChar w:fldCharType="end"/>
            </w:r>
          </w:hyperlink>
        </w:p>
        <w:p w14:paraId="46B0101D" w14:textId="6D553A03" w:rsidR="008A0546" w:rsidRPr="00C12A43" w:rsidRDefault="008F6F61" w:rsidP="00841A50">
          <w:pPr>
            <w:pStyle w:val="TOC2"/>
            <w:spacing w:line="360" w:lineRule="auto"/>
            <w:rPr>
              <w:rFonts w:cstheme="minorBidi"/>
              <w:noProof/>
            </w:rPr>
          </w:pPr>
          <w:hyperlink w:anchor="_Toc69914009" w:history="1">
            <w:r w:rsidR="008A0546" w:rsidRPr="00C12A43">
              <w:rPr>
                <w:rStyle w:val="Hyperlink"/>
                <w:rFonts w:ascii="Microsoft PhagsPa" w:hAnsi="Microsoft PhagsPa"/>
                <w:noProof/>
              </w:rPr>
              <w:t>Appendix C:  Glossary</w:t>
            </w:r>
            <w:r w:rsidR="008A0546" w:rsidRPr="00C12A43">
              <w:rPr>
                <w:noProof/>
                <w:webHidden/>
              </w:rPr>
              <w:tab/>
            </w:r>
            <w:r w:rsidR="007C7C5B" w:rsidRPr="00C12A43">
              <w:rPr>
                <w:noProof/>
                <w:webHidden/>
              </w:rPr>
              <w:tab/>
            </w:r>
            <w:r w:rsidR="00C5615D">
              <w:rPr>
                <w:noProof/>
                <w:webHidden/>
              </w:rPr>
              <w:t>C</w:t>
            </w:r>
            <w:r w:rsidR="008A0546" w:rsidRPr="00C12A43">
              <w:rPr>
                <w:noProof/>
                <w:webHidden/>
              </w:rPr>
              <w:fldChar w:fldCharType="begin"/>
            </w:r>
            <w:r w:rsidR="008A0546" w:rsidRPr="00C12A43">
              <w:rPr>
                <w:noProof/>
                <w:webHidden/>
              </w:rPr>
              <w:instrText xml:space="preserve"> PAGEREF _Toc69914009 \h </w:instrText>
            </w:r>
            <w:r w:rsidR="008A0546" w:rsidRPr="00C12A43">
              <w:rPr>
                <w:noProof/>
                <w:webHidden/>
              </w:rPr>
            </w:r>
            <w:r w:rsidR="008A0546" w:rsidRPr="00C12A43">
              <w:rPr>
                <w:noProof/>
                <w:webHidden/>
              </w:rPr>
              <w:fldChar w:fldCharType="separate"/>
            </w:r>
            <w:r w:rsidR="000D7CC7">
              <w:rPr>
                <w:noProof/>
                <w:webHidden/>
              </w:rPr>
              <w:t>1</w:t>
            </w:r>
            <w:r w:rsidR="008A0546" w:rsidRPr="00C12A43">
              <w:rPr>
                <w:noProof/>
                <w:webHidden/>
              </w:rPr>
              <w:fldChar w:fldCharType="end"/>
            </w:r>
          </w:hyperlink>
        </w:p>
        <w:p w14:paraId="59A1CF2C" w14:textId="79F1FF62" w:rsidR="008A0546" w:rsidRPr="00C12A43" w:rsidRDefault="008F6F61" w:rsidP="00841A50">
          <w:pPr>
            <w:pStyle w:val="TOC2"/>
            <w:spacing w:line="360" w:lineRule="auto"/>
            <w:rPr>
              <w:rFonts w:cstheme="minorBidi"/>
              <w:noProof/>
            </w:rPr>
          </w:pPr>
          <w:hyperlink w:anchor="_Toc69914035" w:history="1">
            <w:r w:rsidR="008A0546" w:rsidRPr="00C12A43">
              <w:rPr>
                <w:rStyle w:val="Hyperlink"/>
                <w:rFonts w:ascii="Microsoft PhagsPa" w:hAnsi="Microsoft PhagsPa"/>
                <w:noProof/>
              </w:rPr>
              <w:t>Appendix D:  List of References</w:t>
            </w:r>
            <w:r w:rsidR="008A0546" w:rsidRPr="00C12A43">
              <w:rPr>
                <w:noProof/>
                <w:webHidden/>
              </w:rPr>
              <w:tab/>
            </w:r>
            <w:r w:rsidR="007C7C5B" w:rsidRPr="00C12A43">
              <w:rPr>
                <w:noProof/>
                <w:webHidden/>
              </w:rPr>
              <w:tab/>
            </w:r>
            <w:r w:rsidR="00C5615D">
              <w:rPr>
                <w:noProof/>
                <w:webHidden/>
              </w:rPr>
              <w:t>D</w:t>
            </w:r>
            <w:r w:rsidR="008A0546" w:rsidRPr="00C12A43">
              <w:rPr>
                <w:noProof/>
                <w:webHidden/>
              </w:rPr>
              <w:fldChar w:fldCharType="begin"/>
            </w:r>
            <w:r w:rsidR="008A0546" w:rsidRPr="00C12A43">
              <w:rPr>
                <w:noProof/>
                <w:webHidden/>
              </w:rPr>
              <w:instrText xml:space="preserve"> PAGEREF _Toc69914035 \h </w:instrText>
            </w:r>
            <w:r w:rsidR="008A0546" w:rsidRPr="00C12A43">
              <w:rPr>
                <w:noProof/>
                <w:webHidden/>
              </w:rPr>
            </w:r>
            <w:r w:rsidR="008A0546" w:rsidRPr="00C12A43">
              <w:rPr>
                <w:noProof/>
                <w:webHidden/>
              </w:rPr>
              <w:fldChar w:fldCharType="separate"/>
            </w:r>
            <w:r w:rsidR="000D7CC7">
              <w:rPr>
                <w:noProof/>
                <w:webHidden/>
              </w:rPr>
              <w:t>1</w:t>
            </w:r>
            <w:r w:rsidR="008A0546" w:rsidRPr="00C12A43">
              <w:rPr>
                <w:noProof/>
                <w:webHidden/>
              </w:rPr>
              <w:fldChar w:fldCharType="end"/>
            </w:r>
          </w:hyperlink>
        </w:p>
        <w:p w14:paraId="2F95A50D" w14:textId="5036D59D" w:rsidR="008A0546" w:rsidRPr="00C12A43" w:rsidRDefault="008F6F61" w:rsidP="00841A50">
          <w:pPr>
            <w:pStyle w:val="TOC2"/>
            <w:spacing w:line="360" w:lineRule="auto"/>
            <w:rPr>
              <w:rFonts w:cstheme="minorBidi"/>
              <w:noProof/>
            </w:rPr>
          </w:pPr>
          <w:hyperlink w:anchor="_Toc69914036" w:history="1">
            <w:r w:rsidR="008A0546" w:rsidRPr="00C12A43">
              <w:rPr>
                <w:rStyle w:val="Hyperlink"/>
                <w:rFonts w:ascii="Microsoft PhagsPa" w:hAnsi="Microsoft PhagsPa"/>
                <w:noProof/>
              </w:rPr>
              <w:t>Appendix E:  Acronyms</w:t>
            </w:r>
            <w:r w:rsidR="008A0546" w:rsidRPr="00C12A43">
              <w:rPr>
                <w:noProof/>
                <w:webHidden/>
              </w:rPr>
              <w:tab/>
            </w:r>
            <w:r w:rsidR="007C7C5B" w:rsidRPr="00C12A43">
              <w:rPr>
                <w:noProof/>
                <w:webHidden/>
              </w:rPr>
              <w:tab/>
            </w:r>
            <w:r w:rsidR="00C5615D">
              <w:rPr>
                <w:noProof/>
                <w:webHidden/>
              </w:rPr>
              <w:t>E</w:t>
            </w:r>
            <w:r w:rsidR="008A0546" w:rsidRPr="00C12A43">
              <w:rPr>
                <w:noProof/>
                <w:webHidden/>
              </w:rPr>
              <w:fldChar w:fldCharType="begin"/>
            </w:r>
            <w:r w:rsidR="008A0546" w:rsidRPr="00C12A43">
              <w:rPr>
                <w:noProof/>
                <w:webHidden/>
              </w:rPr>
              <w:instrText xml:space="preserve"> PAGEREF _Toc69914036 \h </w:instrText>
            </w:r>
            <w:r w:rsidR="008A0546" w:rsidRPr="00C12A43">
              <w:rPr>
                <w:noProof/>
                <w:webHidden/>
              </w:rPr>
            </w:r>
            <w:r w:rsidR="008A0546" w:rsidRPr="00C12A43">
              <w:rPr>
                <w:noProof/>
                <w:webHidden/>
              </w:rPr>
              <w:fldChar w:fldCharType="separate"/>
            </w:r>
            <w:r w:rsidR="000D7CC7">
              <w:rPr>
                <w:noProof/>
                <w:webHidden/>
              </w:rPr>
              <w:t>1</w:t>
            </w:r>
            <w:r w:rsidR="008A0546" w:rsidRPr="00C12A43">
              <w:rPr>
                <w:noProof/>
                <w:webHidden/>
              </w:rPr>
              <w:fldChar w:fldCharType="end"/>
            </w:r>
          </w:hyperlink>
        </w:p>
        <w:p w14:paraId="1AE9A3F0" w14:textId="2D0DAD9A" w:rsidR="008A0546" w:rsidRPr="00C12A43" w:rsidRDefault="008A0546" w:rsidP="009A6C8A">
          <w:pPr>
            <w:rPr>
              <w:noProof/>
            </w:rPr>
          </w:pPr>
          <w:r w:rsidRPr="00C12A43">
            <w:rPr>
              <w:noProof/>
            </w:rPr>
            <w:fldChar w:fldCharType="end"/>
          </w:r>
        </w:p>
      </w:sdtContent>
    </w:sdt>
    <w:p w14:paraId="2E0F2368" w14:textId="55FDCDE6" w:rsidR="0052743D" w:rsidRDefault="0052743D" w:rsidP="009A6C8A"/>
    <w:p w14:paraId="6F485CA9" w14:textId="071238D3" w:rsidR="0028555A" w:rsidRPr="0028555A" w:rsidRDefault="0028555A" w:rsidP="009A6C8A">
      <w:pPr>
        <w:sectPr w:rsidR="0028555A" w:rsidRPr="0028555A" w:rsidSect="000D77A6">
          <w:pgSz w:w="12240" w:h="15840" w:code="1"/>
          <w:pgMar w:top="900" w:right="864" w:bottom="288" w:left="1008" w:header="432" w:footer="720" w:gutter="0"/>
          <w:pgNumType w:start="1"/>
          <w:cols w:space="720"/>
          <w:docGrid w:linePitch="360"/>
        </w:sectPr>
      </w:pPr>
    </w:p>
    <w:p w14:paraId="415D788C" w14:textId="27B617DA" w:rsidR="00A859C1" w:rsidRPr="00C4267B" w:rsidRDefault="00BB1CDA" w:rsidP="009A6C8A">
      <w:pPr>
        <w:pStyle w:val="Heading2"/>
      </w:pPr>
      <w:bookmarkStart w:id="34" w:name="_Toc187545866"/>
      <w:bookmarkStart w:id="35" w:name="_Toc318372456"/>
      <w:bookmarkStart w:id="36" w:name="_Toc69913725"/>
      <w:bookmarkStart w:id="37" w:name="_Toc69913988"/>
      <w:r w:rsidRPr="00C4267B">
        <w:lastRenderedPageBreak/>
        <w:t>P</w:t>
      </w:r>
      <w:r w:rsidR="00A859C1" w:rsidRPr="00C4267B">
        <w:t>urpose</w:t>
      </w:r>
      <w:bookmarkEnd w:id="34"/>
      <w:bookmarkEnd w:id="35"/>
      <w:bookmarkEnd w:id="36"/>
      <w:bookmarkEnd w:id="37"/>
    </w:p>
    <w:p w14:paraId="39E66368" w14:textId="4907B4A8" w:rsidR="005E2A0C" w:rsidRDefault="005E2A0C" w:rsidP="009A6C8A">
      <w:r w:rsidRPr="00EA609C">
        <w:t>T</w:t>
      </w:r>
      <w:r w:rsidR="00EA609C">
        <w:t>o e</w:t>
      </w:r>
      <w:r w:rsidR="00EA609C" w:rsidRPr="00EA609C">
        <w:t>nhance local</w:t>
      </w:r>
      <w:r w:rsidR="001F00B4">
        <w:t xml:space="preserve"> and</w:t>
      </w:r>
      <w:r w:rsidR="00EA609C" w:rsidRPr="00EA609C">
        <w:t xml:space="preserve"> state</w:t>
      </w:r>
      <w:r w:rsidR="00300427">
        <w:t xml:space="preserve"> </w:t>
      </w:r>
      <w:r w:rsidR="00EA609C" w:rsidRPr="00EA609C">
        <w:t xml:space="preserve">preparedness for an outbreak of </w:t>
      </w:r>
      <w:r w:rsidR="00300427">
        <w:t>Antibiotic</w:t>
      </w:r>
      <w:r w:rsidR="00EA609C" w:rsidRPr="00EA609C">
        <w:t>-</w:t>
      </w:r>
      <w:r w:rsidR="00300427">
        <w:t>R</w:t>
      </w:r>
      <w:r w:rsidR="00EA609C" w:rsidRPr="00EA609C">
        <w:t xml:space="preserve">esistant </w:t>
      </w:r>
      <w:r w:rsidR="00300427">
        <w:t>G</w:t>
      </w:r>
      <w:r w:rsidR="00EA609C" w:rsidRPr="00EA609C">
        <w:t xml:space="preserve">onorrhea </w:t>
      </w:r>
      <w:r w:rsidR="00300427">
        <w:t xml:space="preserve">(ARGC) </w:t>
      </w:r>
      <w:r w:rsidR="00EA609C" w:rsidRPr="00EA609C">
        <w:t>in the United States</w:t>
      </w:r>
      <w:r w:rsidRPr="005E2A0C">
        <w:t>.</w:t>
      </w:r>
    </w:p>
    <w:p w14:paraId="568070BC" w14:textId="251CA012" w:rsidR="00A859C1" w:rsidRPr="00C4267B" w:rsidRDefault="00A859C1" w:rsidP="009A6C8A">
      <w:pPr>
        <w:pStyle w:val="Heading2"/>
      </w:pPr>
      <w:bookmarkStart w:id="38" w:name="_Toc187545867"/>
      <w:bookmarkStart w:id="39" w:name="_Toc318372457"/>
      <w:bookmarkStart w:id="40" w:name="_Toc69913726"/>
      <w:bookmarkStart w:id="41" w:name="_Toc69913989"/>
      <w:r w:rsidRPr="00C4267B">
        <w:t>Scope</w:t>
      </w:r>
      <w:bookmarkEnd w:id="38"/>
      <w:bookmarkEnd w:id="39"/>
      <w:bookmarkEnd w:id="40"/>
      <w:bookmarkEnd w:id="41"/>
    </w:p>
    <w:p w14:paraId="6D9CD815" w14:textId="17A1C821" w:rsidR="009B11C4" w:rsidRPr="00EA609C" w:rsidRDefault="00EA609C" w:rsidP="009A6C8A">
      <w:pPr>
        <w:rPr>
          <w:rFonts w:eastAsia="Times New Roman"/>
        </w:rPr>
      </w:pPr>
      <w:r w:rsidRPr="00207669">
        <w:t>The tabletop exercise (TTX) will consist of one day-long emergency response to a local outbreak of antibiotic-resistant gonorrhea</w:t>
      </w:r>
      <w:r w:rsidR="00207669" w:rsidRPr="00207669">
        <w:t xml:space="preserve">.  </w:t>
      </w:r>
      <w:r w:rsidR="00391E9B" w:rsidRPr="00207669">
        <w:t>During t</w:t>
      </w:r>
      <w:r w:rsidR="00E25674" w:rsidRPr="00207669">
        <w:t xml:space="preserve">his </w:t>
      </w:r>
      <w:r w:rsidR="00C66D1D" w:rsidRPr="00207669">
        <w:t>exercise</w:t>
      </w:r>
      <w:r w:rsidR="00E25674" w:rsidRPr="00207669">
        <w:t xml:space="preserve"> </w:t>
      </w:r>
      <w:r w:rsidR="00391E9B" w:rsidRPr="00207669">
        <w:t xml:space="preserve">participants </w:t>
      </w:r>
      <w:r w:rsidR="009B11C4" w:rsidRPr="00207669">
        <w:t xml:space="preserve">from local, state, and </w:t>
      </w:r>
      <w:r w:rsidR="001F00B4">
        <w:t xml:space="preserve">potentially </w:t>
      </w:r>
      <w:r w:rsidR="009B11C4" w:rsidRPr="00207669">
        <w:t xml:space="preserve">federal agencies </w:t>
      </w:r>
      <w:r w:rsidR="00E25674" w:rsidRPr="00207669">
        <w:t xml:space="preserve">will discuss known gaps and </w:t>
      </w:r>
      <w:r w:rsidR="00275192" w:rsidRPr="00207669">
        <w:t>continue</w:t>
      </w:r>
      <w:r w:rsidR="00E25674" w:rsidRPr="00207669">
        <w:t xml:space="preserve"> the process of identifying other gaps </w:t>
      </w:r>
      <w:r w:rsidR="009B11C4" w:rsidRPr="00207669">
        <w:t xml:space="preserve">and issues </w:t>
      </w:r>
      <w:r w:rsidR="00E25674" w:rsidRPr="00207669">
        <w:t xml:space="preserve">in </w:t>
      </w:r>
      <w:r w:rsidR="009B11C4" w:rsidRPr="00207669">
        <w:t xml:space="preserve">respective jurisdictional </w:t>
      </w:r>
      <w:r w:rsidR="00207669" w:rsidRPr="00207669">
        <w:t xml:space="preserve">outbreak response plans, and </w:t>
      </w:r>
      <w:r w:rsidR="00E25674" w:rsidRPr="00207669">
        <w:t>preparedness and response capabilities</w:t>
      </w:r>
      <w:r w:rsidR="009B11C4" w:rsidRPr="00207669">
        <w:t xml:space="preserve">. </w:t>
      </w:r>
      <w:r w:rsidR="00300427">
        <w:t xml:space="preserve"> </w:t>
      </w:r>
      <w:r w:rsidR="00391E9B" w:rsidRPr="00207669">
        <w:t xml:space="preserve">The focus of the exercise is </w:t>
      </w:r>
      <w:r w:rsidR="00207669" w:rsidRPr="00207669">
        <w:t xml:space="preserve">the response outbreak </w:t>
      </w:r>
      <w:r w:rsidR="009B11C4" w:rsidRPr="00207669">
        <w:t>plan</w:t>
      </w:r>
      <w:r w:rsidR="00207669" w:rsidRPr="00207669">
        <w:t>s</w:t>
      </w:r>
      <w:r w:rsidR="00207669">
        <w:t>,</w:t>
      </w:r>
      <w:r w:rsidR="00207669" w:rsidRPr="00207669">
        <w:t xml:space="preserve"> </w:t>
      </w:r>
      <w:r w:rsidR="00391E9B" w:rsidRPr="00207669">
        <w:t>priority of functions, processes</w:t>
      </w:r>
      <w:r w:rsidR="00207669" w:rsidRPr="00207669">
        <w:t>,</w:t>
      </w:r>
      <w:r w:rsidR="00391E9B" w:rsidRPr="00207669">
        <w:t xml:space="preserve"> and procedures.  Discussion</w:t>
      </w:r>
      <w:r w:rsidR="00207669" w:rsidRPr="00207669">
        <w:t>s</w:t>
      </w:r>
      <w:r w:rsidR="00391E9B" w:rsidRPr="00207669">
        <w:t xml:space="preserve"> will include identification and </w:t>
      </w:r>
      <w:r w:rsidR="00520A4F" w:rsidRPr="00207669">
        <w:t>confirm</w:t>
      </w:r>
      <w:r w:rsidR="00391E9B" w:rsidRPr="00207669">
        <w:t>ation</w:t>
      </w:r>
      <w:r w:rsidR="00520A4F" w:rsidRPr="00207669">
        <w:t xml:space="preserve"> </w:t>
      </w:r>
      <w:r w:rsidR="00391E9B" w:rsidRPr="00207669">
        <w:t xml:space="preserve">of completion </w:t>
      </w:r>
      <w:r w:rsidR="00520A4F" w:rsidRPr="00207669">
        <w:t xml:space="preserve">of those activities </w:t>
      </w:r>
      <w:r w:rsidR="001309EE" w:rsidRPr="00207669">
        <w:t xml:space="preserve">prior to </w:t>
      </w:r>
      <w:r w:rsidR="009B11C4" w:rsidRPr="00207669">
        <w:t>an outbreak</w:t>
      </w:r>
      <w:r w:rsidR="00984EFA" w:rsidRPr="00207669">
        <w:t xml:space="preserve">, </w:t>
      </w:r>
      <w:r w:rsidR="00391E9B" w:rsidRPr="00207669">
        <w:t xml:space="preserve">execution of </w:t>
      </w:r>
      <w:r w:rsidR="00520A4F" w:rsidRPr="00207669">
        <w:t xml:space="preserve">those activities upon notification or when an </w:t>
      </w:r>
      <w:r w:rsidR="009B11C4" w:rsidRPr="00207669">
        <w:t>outbreak</w:t>
      </w:r>
      <w:r w:rsidR="00520A4F" w:rsidRPr="00207669">
        <w:t xml:space="preserve"> occurs</w:t>
      </w:r>
      <w:r w:rsidR="00984EFA" w:rsidRPr="00207669">
        <w:t>,</w:t>
      </w:r>
      <w:r w:rsidR="00520A4F" w:rsidRPr="00207669">
        <w:t xml:space="preserve"> and sustained</w:t>
      </w:r>
      <w:r w:rsidR="00391E9B" w:rsidRPr="00207669">
        <w:t xml:space="preserve"> </w:t>
      </w:r>
      <w:r w:rsidR="00520A4F" w:rsidRPr="00207669">
        <w:t xml:space="preserve">response </w:t>
      </w:r>
      <w:r w:rsidR="00207669" w:rsidRPr="00207669">
        <w:t xml:space="preserve">and recovery </w:t>
      </w:r>
      <w:r w:rsidR="00520A4F" w:rsidRPr="00207669">
        <w:t>activities</w:t>
      </w:r>
      <w:r w:rsidR="00391E9B" w:rsidRPr="00207669">
        <w:t>.</w:t>
      </w:r>
      <w:r w:rsidR="009B11C4" w:rsidRPr="00207669">
        <w:t xml:space="preserve">  </w:t>
      </w:r>
    </w:p>
    <w:p w14:paraId="5F2B59F4" w14:textId="2BD20DF8" w:rsidR="00AC60C8" w:rsidRPr="00C4267B" w:rsidRDefault="003F00B1" w:rsidP="009A6C8A">
      <w:pPr>
        <w:pStyle w:val="Heading2"/>
        <w:spacing w:line="240" w:lineRule="auto"/>
      </w:pPr>
      <w:bookmarkStart w:id="42" w:name="_Toc69913727"/>
      <w:bookmarkStart w:id="43" w:name="_Toc69913990"/>
      <w:bookmarkStart w:id="44" w:name="_Toc187545868"/>
      <w:bookmarkStart w:id="45" w:name="_Toc318372458"/>
      <w:r>
        <w:t>Public Health Emergency Preparedness and Response</w:t>
      </w:r>
      <w:r w:rsidR="00915B80" w:rsidRPr="00C4267B">
        <w:t xml:space="preserve"> Capabilities</w:t>
      </w:r>
      <w:bookmarkEnd w:id="42"/>
      <w:bookmarkEnd w:id="43"/>
    </w:p>
    <w:p w14:paraId="1D26C015" w14:textId="30586EFB" w:rsidR="00AC60C8" w:rsidRDefault="00915B80" w:rsidP="009A6C8A">
      <w:pPr>
        <w:pStyle w:val="ListParagraph"/>
        <w:numPr>
          <w:ilvl w:val="0"/>
          <w:numId w:val="8"/>
        </w:numPr>
      </w:pPr>
      <w:r>
        <w:t>Community Preparedness</w:t>
      </w:r>
    </w:p>
    <w:p w14:paraId="4BA6521F" w14:textId="56EC6C53" w:rsidR="008C3561" w:rsidRDefault="008C3561" w:rsidP="009A6C8A">
      <w:pPr>
        <w:pStyle w:val="ListParagraph"/>
        <w:numPr>
          <w:ilvl w:val="0"/>
          <w:numId w:val="8"/>
        </w:numPr>
      </w:pPr>
      <w:r>
        <w:t>Community Recovery</w:t>
      </w:r>
    </w:p>
    <w:p w14:paraId="5B08FCC5" w14:textId="012BE63C" w:rsidR="00AC60C8" w:rsidRDefault="00915B80" w:rsidP="009A6C8A">
      <w:pPr>
        <w:pStyle w:val="ListParagraph"/>
        <w:numPr>
          <w:ilvl w:val="0"/>
          <w:numId w:val="8"/>
        </w:numPr>
      </w:pPr>
      <w:r>
        <w:t>Emergency Operations Coordination</w:t>
      </w:r>
    </w:p>
    <w:p w14:paraId="429CF8A1" w14:textId="44B72B7F" w:rsidR="00AC60C8" w:rsidRDefault="00915B80" w:rsidP="009A6C8A">
      <w:pPr>
        <w:pStyle w:val="ListParagraph"/>
        <w:numPr>
          <w:ilvl w:val="0"/>
          <w:numId w:val="8"/>
        </w:numPr>
      </w:pPr>
      <w:r>
        <w:t>Emergency Public Information and Warning</w:t>
      </w:r>
    </w:p>
    <w:p w14:paraId="723A5BAC" w14:textId="6A4A1477" w:rsidR="008C3561" w:rsidRDefault="008C3561" w:rsidP="009A6C8A">
      <w:pPr>
        <w:pStyle w:val="ListParagraph"/>
        <w:numPr>
          <w:ilvl w:val="0"/>
          <w:numId w:val="8"/>
        </w:numPr>
      </w:pPr>
      <w:r>
        <w:t>Fatality Management</w:t>
      </w:r>
    </w:p>
    <w:p w14:paraId="0BEA04E1" w14:textId="77777777" w:rsidR="008C3561" w:rsidRDefault="008C3561" w:rsidP="009A6C8A">
      <w:pPr>
        <w:pStyle w:val="ListParagraph"/>
        <w:numPr>
          <w:ilvl w:val="0"/>
          <w:numId w:val="8"/>
        </w:numPr>
      </w:pPr>
      <w:r>
        <w:t>Information Sharing</w:t>
      </w:r>
    </w:p>
    <w:p w14:paraId="55C57339" w14:textId="675ABB56" w:rsidR="00AC60C8" w:rsidRPr="00915B80" w:rsidRDefault="00915B80" w:rsidP="009A6C8A">
      <w:pPr>
        <w:pStyle w:val="ListParagraph"/>
        <w:numPr>
          <w:ilvl w:val="0"/>
          <w:numId w:val="8"/>
        </w:numPr>
      </w:pPr>
      <w:r>
        <w:t>Mass Care</w:t>
      </w:r>
    </w:p>
    <w:p w14:paraId="24199AB5" w14:textId="09E6E39F" w:rsidR="008C3561" w:rsidRDefault="008C3561" w:rsidP="009A6C8A">
      <w:pPr>
        <w:pStyle w:val="ListParagraph"/>
        <w:numPr>
          <w:ilvl w:val="0"/>
          <w:numId w:val="8"/>
        </w:numPr>
      </w:pPr>
      <w:r>
        <w:t>Medical Countermeasure Dispensing and Administration</w:t>
      </w:r>
    </w:p>
    <w:p w14:paraId="24BC14CE" w14:textId="35C00F59" w:rsidR="008C3561" w:rsidRDefault="008C3561" w:rsidP="009A6C8A">
      <w:pPr>
        <w:pStyle w:val="ListParagraph"/>
        <w:numPr>
          <w:ilvl w:val="0"/>
          <w:numId w:val="8"/>
        </w:numPr>
      </w:pPr>
      <w:r>
        <w:t>Medical Materiel Management and Distribution</w:t>
      </w:r>
    </w:p>
    <w:p w14:paraId="4C42D3BC" w14:textId="7FF5BADF" w:rsidR="008C3561" w:rsidRDefault="008C3561" w:rsidP="009A6C8A">
      <w:pPr>
        <w:pStyle w:val="ListParagraph"/>
        <w:numPr>
          <w:ilvl w:val="0"/>
          <w:numId w:val="8"/>
        </w:numPr>
      </w:pPr>
      <w:r>
        <w:t>Medical Surge</w:t>
      </w:r>
    </w:p>
    <w:p w14:paraId="1ED1CDF3" w14:textId="721C8C64" w:rsidR="00915B80" w:rsidRDefault="00915B80" w:rsidP="009A6C8A">
      <w:pPr>
        <w:pStyle w:val="ListParagraph"/>
        <w:numPr>
          <w:ilvl w:val="0"/>
          <w:numId w:val="8"/>
        </w:numPr>
      </w:pPr>
      <w:r w:rsidRPr="00915B80">
        <w:t>Non-pharmaceutical Interventions</w:t>
      </w:r>
    </w:p>
    <w:p w14:paraId="3C99D20E" w14:textId="08AFAD6B" w:rsidR="008C3561" w:rsidRDefault="008C3561" w:rsidP="009A6C8A">
      <w:pPr>
        <w:pStyle w:val="ListParagraph"/>
        <w:numPr>
          <w:ilvl w:val="0"/>
          <w:numId w:val="8"/>
        </w:numPr>
      </w:pPr>
      <w:r>
        <w:t>Public Health Laboratory Testing</w:t>
      </w:r>
    </w:p>
    <w:p w14:paraId="3A60905B" w14:textId="6A899EB1" w:rsidR="008C3561" w:rsidRDefault="008C3561" w:rsidP="009A6C8A">
      <w:pPr>
        <w:pStyle w:val="ListParagraph"/>
        <w:numPr>
          <w:ilvl w:val="0"/>
          <w:numId w:val="8"/>
        </w:numPr>
      </w:pPr>
      <w:r>
        <w:t>Public Health Surveillance and Epidemiological Investigation</w:t>
      </w:r>
    </w:p>
    <w:p w14:paraId="38657582" w14:textId="77777777" w:rsidR="008C3561" w:rsidRDefault="008C3561" w:rsidP="009A6C8A">
      <w:pPr>
        <w:pStyle w:val="ListParagraph"/>
        <w:numPr>
          <w:ilvl w:val="0"/>
          <w:numId w:val="8"/>
        </w:numPr>
      </w:pPr>
      <w:r>
        <w:t>Responder Safety and Health</w:t>
      </w:r>
    </w:p>
    <w:p w14:paraId="2FBA355D" w14:textId="36F6CDE9" w:rsidR="003F00B1" w:rsidRDefault="008C3561" w:rsidP="009A6C8A">
      <w:pPr>
        <w:pStyle w:val="ListParagraph"/>
        <w:numPr>
          <w:ilvl w:val="0"/>
          <w:numId w:val="8"/>
        </w:numPr>
      </w:pPr>
      <w:r>
        <w:t>Volunteer Management</w:t>
      </w:r>
    </w:p>
    <w:p w14:paraId="0487BF72" w14:textId="77777777" w:rsidR="00915B80" w:rsidRPr="00C4267B" w:rsidRDefault="00915B80" w:rsidP="009A6C8A">
      <w:pPr>
        <w:pStyle w:val="Heading2"/>
      </w:pPr>
      <w:bookmarkStart w:id="46" w:name="_Toc69913728"/>
      <w:bookmarkStart w:id="47" w:name="_Toc69913991"/>
      <w:r w:rsidRPr="00C4267B">
        <w:lastRenderedPageBreak/>
        <w:t>Preparedness Objectives</w:t>
      </w:r>
      <w:bookmarkEnd w:id="46"/>
      <w:bookmarkEnd w:id="47"/>
    </w:p>
    <w:p w14:paraId="66C82A9D" w14:textId="77777777" w:rsidR="00915B80" w:rsidRDefault="00915B80" w:rsidP="009A6C8A">
      <w:pPr>
        <w:pStyle w:val="ListParagraph"/>
        <w:numPr>
          <w:ilvl w:val="0"/>
          <w:numId w:val="8"/>
        </w:numPr>
      </w:pPr>
      <w:r w:rsidRPr="00AC60C8">
        <w:t>Prevent and/or mitigate threats to the public’s health</w:t>
      </w:r>
    </w:p>
    <w:p w14:paraId="31D54EC0" w14:textId="77777777" w:rsidR="00915B80" w:rsidRDefault="00915B80" w:rsidP="009A6C8A">
      <w:pPr>
        <w:pStyle w:val="ListParagraph"/>
        <w:numPr>
          <w:ilvl w:val="0"/>
          <w:numId w:val="8"/>
        </w:numPr>
      </w:pPr>
      <w:r w:rsidRPr="00AC60C8">
        <w:t>Integrate public health, the healthcare system, and emergency management</w:t>
      </w:r>
    </w:p>
    <w:p w14:paraId="713A9290" w14:textId="77777777" w:rsidR="00915B80" w:rsidRDefault="00915B80" w:rsidP="009A6C8A">
      <w:pPr>
        <w:pStyle w:val="ListParagraph"/>
        <w:numPr>
          <w:ilvl w:val="0"/>
          <w:numId w:val="8"/>
        </w:numPr>
      </w:pPr>
      <w:r w:rsidRPr="00AC60C8">
        <w:t>Promote resilient individuals and communities</w:t>
      </w:r>
    </w:p>
    <w:p w14:paraId="2A1BCEF6" w14:textId="77777777" w:rsidR="00915B80" w:rsidRDefault="00915B80" w:rsidP="009A6C8A">
      <w:pPr>
        <w:pStyle w:val="ListParagraph"/>
        <w:numPr>
          <w:ilvl w:val="0"/>
          <w:numId w:val="8"/>
        </w:numPr>
      </w:pPr>
      <w:r w:rsidRPr="00AC60C8">
        <w:t>Advance surveillance, epidemiology, and laboratory science and service practice</w:t>
      </w:r>
      <w:r>
        <w:t>s</w:t>
      </w:r>
    </w:p>
    <w:p w14:paraId="2558C604" w14:textId="77777777" w:rsidR="00915B80" w:rsidRDefault="00915B80" w:rsidP="009A6C8A">
      <w:pPr>
        <w:pStyle w:val="ListParagraph"/>
        <w:numPr>
          <w:ilvl w:val="0"/>
          <w:numId w:val="8"/>
        </w:numPr>
      </w:pPr>
      <w:r w:rsidRPr="00AC60C8">
        <w:t>Increase the application of science to preparedness and response practice</w:t>
      </w:r>
    </w:p>
    <w:p w14:paraId="014AF5D3" w14:textId="77777777" w:rsidR="00915B80" w:rsidRDefault="00915B80" w:rsidP="009A6C8A">
      <w:pPr>
        <w:pStyle w:val="ListParagraph"/>
        <w:numPr>
          <w:ilvl w:val="0"/>
          <w:numId w:val="8"/>
        </w:numPr>
      </w:pPr>
      <w:r w:rsidRPr="00AC60C8">
        <w:t>Strengthen public health preparedness and response infrastructure</w:t>
      </w:r>
    </w:p>
    <w:p w14:paraId="32E2385F" w14:textId="77777777" w:rsidR="00915B80" w:rsidRDefault="00915B80" w:rsidP="009A6C8A">
      <w:pPr>
        <w:pStyle w:val="ListParagraph"/>
        <w:numPr>
          <w:ilvl w:val="0"/>
          <w:numId w:val="8"/>
        </w:numPr>
      </w:pPr>
      <w:r w:rsidRPr="00AC60C8">
        <w:t>Enhance stewardship of public health preparedness funds</w:t>
      </w:r>
    </w:p>
    <w:p w14:paraId="364CA9E7" w14:textId="77777777" w:rsidR="00915B80" w:rsidRPr="00AC60C8" w:rsidRDefault="00915B80" w:rsidP="009A6C8A">
      <w:pPr>
        <w:pStyle w:val="ListParagraph"/>
        <w:numPr>
          <w:ilvl w:val="0"/>
          <w:numId w:val="8"/>
        </w:numPr>
      </w:pPr>
      <w:r w:rsidRPr="00AC60C8">
        <w:t>Improve the ability of the public health workforce to respond to health threats</w:t>
      </w:r>
    </w:p>
    <w:p w14:paraId="12E22A33" w14:textId="7EAB8B26" w:rsidR="00FE4FD4" w:rsidRPr="00C4267B" w:rsidRDefault="00374D0F" w:rsidP="009A6C8A">
      <w:pPr>
        <w:pStyle w:val="Heading2"/>
      </w:pPr>
      <w:bookmarkStart w:id="48" w:name="_Toc69913729"/>
      <w:bookmarkStart w:id="49" w:name="_Toc69913992"/>
      <w:r>
        <w:t xml:space="preserve">ARGC </w:t>
      </w:r>
      <w:r w:rsidR="00636AF9" w:rsidRPr="00C4267B">
        <w:t xml:space="preserve">TTX </w:t>
      </w:r>
      <w:r w:rsidR="00FE4FD4" w:rsidRPr="00C4267B">
        <w:t>Objectives</w:t>
      </w:r>
      <w:bookmarkEnd w:id="44"/>
      <w:bookmarkEnd w:id="45"/>
      <w:bookmarkEnd w:id="48"/>
      <w:bookmarkEnd w:id="49"/>
    </w:p>
    <w:p w14:paraId="5C650CA5" w14:textId="39FDBF5B" w:rsidR="00EA609C" w:rsidRPr="00165205" w:rsidRDefault="00EA609C" w:rsidP="009A6C8A">
      <w:pPr>
        <w:pStyle w:val="ListParagraph"/>
        <w:numPr>
          <w:ilvl w:val="0"/>
          <w:numId w:val="10"/>
        </w:numPr>
        <w:rPr>
          <w:rFonts w:eastAsia="Times New Roman"/>
        </w:rPr>
      </w:pPr>
      <w:bookmarkStart w:id="50" w:name="_Toc187545870"/>
      <w:bookmarkStart w:id="51" w:name="_Toc318372459"/>
      <w:r w:rsidRPr="00165205">
        <w:t>Improve participating state and local jurisdiction’s capacity to effectively respond to an outbreak of ARGC</w:t>
      </w:r>
    </w:p>
    <w:p w14:paraId="2BA2F3FA" w14:textId="76835D7D" w:rsidR="00EA609C" w:rsidRPr="00086E9E" w:rsidRDefault="00EA609C" w:rsidP="009A6C8A">
      <w:pPr>
        <w:pStyle w:val="ListParagraph"/>
        <w:numPr>
          <w:ilvl w:val="0"/>
          <w:numId w:val="10"/>
        </w:numPr>
        <w:rPr>
          <w:rFonts w:eastAsia="Times New Roman"/>
        </w:rPr>
      </w:pPr>
      <w:r w:rsidRPr="00165205">
        <w:t xml:space="preserve">Exercise the locally developed </w:t>
      </w:r>
      <w:r w:rsidR="008F0A7D">
        <w:t>Ceftriaxone-</w:t>
      </w:r>
      <w:r w:rsidR="001F00B4">
        <w:t>R</w:t>
      </w:r>
      <w:r w:rsidR="008F0A7D">
        <w:t xml:space="preserve">esistant Gonorrhea </w:t>
      </w:r>
      <w:r w:rsidR="001F00B4">
        <w:t>O</w:t>
      </w:r>
      <w:r w:rsidRPr="00165205">
        <w:t xml:space="preserve">utbreak </w:t>
      </w:r>
      <w:r w:rsidR="001F00B4">
        <w:t>R</w:t>
      </w:r>
      <w:r w:rsidRPr="00165205">
        <w:t xml:space="preserve">esponse </w:t>
      </w:r>
      <w:r w:rsidR="001F00B4">
        <w:t>P</w:t>
      </w:r>
      <w:r w:rsidRPr="00165205">
        <w:t>lan</w:t>
      </w:r>
    </w:p>
    <w:p w14:paraId="64F8A76B" w14:textId="76B9366D" w:rsidR="00165205" w:rsidRPr="00086E9E" w:rsidRDefault="00EA609C" w:rsidP="009A6C8A">
      <w:pPr>
        <w:pStyle w:val="ListParagraph"/>
        <w:numPr>
          <w:ilvl w:val="0"/>
          <w:numId w:val="10"/>
        </w:numPr>
        <w:rPr>
          <w:rFonts w:eastAsia="Times New Roman"/>
        </w:rPr>
      </w:pPr>
      <w:r w:rsidRPr="00165205">
        <w:t>Review the communications and collaboration processes and procedures—coordinate with and integrate local, state, and federal partners</w:t>
      </w:r>
    </w:p>
    <w:p w14:paraId="5168A2C8" w14:textId="5DA6D9A6" w:rsidR="00EA609C" w:rsidRPr="00086E9E" w:rsidRDefault="00EA609C" w:rsidP="009A6C8A">
      <w:pPr>
        <w:pStyle w:val="ListParagraph"/>
        <w:numPr>
          <w:ilvl w:val="0"/>
          <w:numId w:val="10"/>
        </w:numPr>
        <w:rPr>
          <w:rFonts w:eastAsia="Times New Roman"/>
        </w:rPr>
      </w:pPr>
      <w:r w:rsidRPr="00165205">
        <w:t>Identify outbreak response triggers, decisions, actions, and data requirements</w:t>
      </w:r>
    </w:p>
    <w:p w14:paraId="3639B5DD" w14:textId="35BB2107" w:rsidR="00EA609C" w:rsidRPr="00086E9E" w:rsidRDefault="00EA609C" w:rsidP="009A6C8A">
      <w:pPr>
        <w:pStyle w:val="ListParagraph"/>
        <w:numPr>
          <w:ilvl w:val="0"/>
          <w:numId w:val="10"/>
        </w:numPr>
        <w:rPr>
          <w:rFonts w:eastAsia="Times New Roman"/>
        </w:rPr>
      </w:pPr>
      <w:r w:rsidRPr="00165205">
        <w:t>Document identified response steps and further ARGC outbreak response and preparedness needs</w:t>
      </w:r>
    </w:p>
    <w:p w14:paraId="1CD3CB5A" w14:textId="32EA2430" w:rsidR="001029A9" w:rsidRPr="00C4267B" w:rsidRDefault="001029A9" w:rsidP="009A6C8A">
      <w:pPr>
        <w:pStyle w:val="Heading2"/>
      </w:pPr>
      <w:bookmarkStart w:id="52" w:name="_Toc69913730"/>
      <w:bookmarkStart w:id="53" w:name="_Toc69913993"/>
      <w:r w:rsidRPr="00C4267B">
        <w:t>Scenario</w:t>
      </w:r>
      <w:bookmarkEnd w:id="52"/>
      <w:bookmarkEnd w:id="53"/>
    </w:p>
    <w:p w14:paraId="042CFEFC" w14:textId="311A7D76" w:rsidR="001029A9" w:rsidRPr="00665B1C" w:rsidRDefault="0088355D" w:rsidP="009A6C8A">
      <w:pPr>
        <w:rPr>
          <w:b/>
        </w:rPr>
      </w:pPr>
      <w:r>
        <w:t xml:space="preserve">The exercise scenario is a local </w:t>
      </w:r>
      <w:r w:rsidRPr="0088355D">
        <w:t xml:space="preserve">outbreak of </w:t>
      </w:r>
      <w:r w:rsidRPr="0088355D">
        <w:rPr>
          <w:kern w:val="24"/>
        </w:rPr>
        <w:t>Antibiotic-Resistant Gonorrhea (ARGC) in</w:t>
      </w:r>
      <w:r w:rsidR="001F00B4">
        <w:rPr>
          <w:kern w:val="24"/>
        </w:rPr>
        <w:t xml:space="preserve"> </w:t>
      </w:r>
      <w:r w:rsidR="00CC7CEB">
        <w:rPr>
          <w:kern w:val="24"/>
        </w:rPr>
        <w:t>(</w:t>
      </w:r>
      <w:r w:rsidR="00CC7CEB" w:rsidRPr="00300427">
        <w:rPr>
          <w:i/>
          <w:color w:val="FF0000"/>
          <w:kern w:val="24"/>
        </w:rPr>
        <w:t>fill in location</w:t>
      </w:r>
      <w:r w:rsidR="00CC7CEB" w:rsidRPr="00300427">
        <w:rPr>
          <w:i/>
          <w:kern w:val="24"/>
        </w:rPr>
        <w:t>)</w:t>
      </w:r>
      <w:r w:rsidRPr="00300427">
        <w:rPr>
          <w:i/>
          <w:kern w:val="24"/>
        </w:rPr>
        <w:t>.</w:t>
      </w:r>
      <w:r w:rsidRPr="00300427">
        <w:rPr>
          <w:color w:val="FF0000"/>
        </w:rPr>
        <w:t xml:space="preserve">  </w:t>
      </w:r>
      <w:r>
        <w:t xml:space="preserve">The outbreak </w:t>
      </w:r>
      <w:r w:rsidR="004836E1">
        <w:t xml:space="preserve">is intended to </w:t>
      </w:r>
      <w:r w:rsidR="00B51BDB">
        <w:t>encourage</w:t>
      </w:r>
      <w:r w:rsidR="004836E1">
        <w:t xml:space="preserve"> local and state agencies to review their preparedness to respond; enact response plans, procedures, and activities; and consult appropriate federal agencies.  </w:t>
      </w:r>
      <w:r w:rsidR="00671382">
        <w:t>Also, t</w:t>
      </w:r>
      <w:r w:rsidR="004836E1">
        <w:t>he scenario</w:t>
      </w:r>
      <w:r w:rsidR="001029A9" w:rsidRPr="001029A9">
        <w:t xml:space="preserve"> provides the participants opportunities to identify capabilities and target levels of capabilities across mission areas.</w:t>
      </w:r>
      <w:r w:rsidR="00671382">
        <w:t xml:space="preserve">  See Appendix A, ARGC TTX Scenario and Questions</w:t>
      </w:r>
      <w:r w:rsidR="00196152">
        <w:t>, for details and module questions.</w:t>
      </w:r>
    </w:p>
    <w:p w14:paraId="4D3EC15E" w14:textId="4CEC3CA9" w:rsidR="00A859C1" w:rsidRPr="00C4267B" w:rsidRDefault="00A859C1" w:rsidP="009A6C8A">
      <w:pPr>
        <w:pStyle w:val="Heading2"/>
      </w:pPr>
      <w:bookmarkStart w:id="54" w:name="_Toc69913731"/>
      <w:bookmarkStart w:id="55" w:name="_Toc69913994"/>
      <w:r w:rsidRPr="00C4267B">
        <w:t>Participants</w:t>
      </w:r>
      <w:bookmarkEnd w:id="50"/>
      <w:bookmarkEnd w:id="51"/>
      <w:bookmarkEnd w:id="54"/>
      <w:bookmarkEnd w:id="55"/>
    </w:p>
    <w:p w14:paraId="7B8D1959" w14:textId="3BDDC499" w:rsidR="00A859C1" w:rsidRDefault="00B51796" w:rsidP="009A6C8A">
      <w:r w:rsidRPr="0059406C">
        <w:t xml:space="preserve">Participants include </w:t>
      </w:r>
      <w:r w:rsidR="00CC7CEB">
        <w:t>(</w:t>
      </w:r>
      <w:r w:rsidR="00CC7CEB" w:rsidRPr="008F0A7D">
        <w:rPr>
          <w:i/>
          <w:iCs/>
          <w:color w:val="FF0000"/>
        </w:rPr>
        <w:t>List participating agencies</w:t>
      </w:r>
      <w:r w:rsidR="008F0A7D">
        <w:t>)</w:t>
      </w:r>
      <w:r w:rsidR="00CC7CEB">
        <w:t xml:space="preserve"> </w:t>
      </w:r>
      <w:r w:rsidRPr="0059406C">
        <w:t>leadership</w:t>
      </w:r>
      <w:r w:rsidR="00015883" w:rsidRPr="0059406C">
        <w:t>,</w:t>
      </w:r>
      <w:r w:rsidR="00EB3449" w:rsidRPr="0059406C">
        <w:t xml:space="preserve"> subject matter experts</w:t>
      </w:r>
      <w:r w:rsidR="00015883" w:rsidRPr="0059406C">
        <w:t>,</w:t>
      </w:r>
      <w:r w:rsidR="00EB3449" w:rsidRPr="0059406C">
        <w:t xml:space="preserve"> and select </w:t>
      </w:r>
      <w:r w:rsidRPr="0059406C">
        <w:t>staff</w:t>
      </w:r>
      <w:r w:rsidR="0059406C" w:rsidRPr="0059406C">
        <w:t xml:space="preserve"> that may be tasked as responders to response activities following a</w:t>
      </w:r>
      <w:r w:rsidR="0059406C">
        <w:t>n</w:t>
      </w:r>
      <w:r w:rsidR="0059406C" w:rsidRPr="0059406C">
        <w:t xml:space="preserve"> ARGC outbreak</w:t>
      </w:r>
      <w:r w:rsidR="00EB3449" w:rsidRPr="0059406C">
        <w:t>.</w:t>
      </w:r>
      <w:r w:rsidR="00196152" w:rsidRPr="0059406C">
        <w:t xml:space="preserve">  See Appendix B, ARGC TTX Participants, for list of participants and members of the Exercise Control Group.</w:t>
      </w:r>
    </w:p>
    <w:p w14:paraId="6F12623E" w14:textId="3340B4A3" w:rsidR="001029A9" w:rsidRPr="00C4267B" w:rsidRDefault="001029A9" w:rsidP="009A6C8A">
      <w:pPr>
        <w:pStyle w:val="Heading2"/>
      </w:pPr>
      <w:bookmarkStart w:id="56" w:name="_Toc69913732"/>
      <w:bookmarkStart w:id="57" w:name="_Toc69913995"/>
      <w:bookmarkStart w:id="58" w:name="_Toc187545871"/>
      <w:bookmarkStart w:id="59" w:name="_Toc318372460"/>
      <w:r w:rsidRPr="00C4267B">
        <w:lastRenderedPageBreak/>
        <w:t>Participant</w:t>
      </w:r>
      <w:r w:rsidRPr="00C4267B">
        <w:rPr>
          <w:spacing w:val="-15"/>
        </w:rPr>
        <w:t xml:space="preserve"> </w:t>
      </w:r>
      <w:r w:rsidRPr="00C4267B">
        <w:t>Roles</w:t>
      </w:r>
      <w:r w:rsidRPr="00C4267B">
        <w:rPr>
          <w:spacing w:val="-14"/>
        </w:rPr>
        <w:t xml:space="preserve"> </w:t>
      </w:r>
      <w:r w:rsidRPr="00C4267B">
        <w:t>and</w:t>
      </w:r>
      <w:r w:rsidRPr="00C4267B">
        <w:rPr>
          <w:spacing w:val="-15"/>
        </w:rPr>
        <w:t xml:space="preserve"> </w:t>
      </w:r>
      <w:r w:rsidRPr="00C4267B">
        <w:t>Responsibilities</w:t>
      </w:r>
      <w:bookmarkEnd w:id="56"/>
      <w:bookmarkEnd w:id="57"/>
    </w:p>
    <w:p w14:paraId="2F4FC88E" w14:textId="77777777" w:rsidR="001029A9" w:rsidRPr="001029A9" w:rsidRDefault="001029A9" w:rsidP="009A6C8A">
      <w:r w:rsidRPr="001029A9">
        <w:t xml:space="preserve">The term </w:t>
      </w:r>
      <w:r w:rsidR="00771311">
        <w:t>“</w:t>
      </w:r>
      <w:r w:rsidRPr="001029A9">
        <w:t>participant</w:t>
      </w:r>
      <w:r w:rsidR="00771311">
        <w:t>”</w:t>
      </w:r>
      <w:r w:rsidRPr="001029A9">
        <w:t xml:space="preserve"> encompasses many groups of people, not just those playing in the exercise. </w:t>
      </w:r>
      <w:r w:rsidR="004D765E">
        <w:t xml:space="preserve"> </w:t>
      </w:r>
      <w:r w:rsidRPr="001029A9">
        <w:t>Groups of participants involved in the exercise, and their respective roles and responsibilities, are as follows:</w:t>
      </w:r>
    </w:p>
    <w:p w14:paraId="22CDB5F2" w14:textId="77777777" w:rsidR="001029A9" w:rsidRPr="00827E8E" w:rsidRDefault="001029A9" w:rsidP="009A6C8A">
      <w:pPr>
        <w:pStyle w:val="ListParagraph"/>
        <w:numPr>
          <w:ilvl w:val="0"/>
          <w:numId w:val="11"/>
        </w:numPr>
      </w:pPr>
      <w:r w:rsidRPr="00C91184">
        <w:rPr>
          <w:b/>
        </w:rPr>
        <w:t>Players</w:t>
      </w:r>
      <w:r w:rsidRPr="00827E8E">
        <w:t xml:space="preserve">. </w:t>
      </w:r>
      <w:r w:rsidR="004D765E" w:rsidRPr="00827E8E">
        <w:t xml:space="preserve"> </w:t>
      </w:r>
      <w:r w:rsidRPr="00827E8E">
        <w:t xml:space="preserve">Players are personnel who have an active role in discussing or performing their regular roles and responsibilities during the exercise. </w:t>
      </w:r>
      <w:r w:rsidR="004D765E" w:rsidRPr="00827E8E">
        <w:t xml:space="preserve"> </w:t>
      </w:r>
      <w:r w:rsidRPr="00827E8E">
        <w:t>Players discuss or initiate actions in response to the simulated emergency.</w:t>
      </w:r>
    </w:p>
    <w:p w14:paraId="48C9CDE5" w14:textId="77777777" w:rsidR="001029A9" w:rsidRPr="00827E8E" w:rsidRDefault="001029A9" w:rsidP="009A6C8A">
      <w:pPr>
        <w:pStyle w:val="ListParagraph"/>
        <w:numPr>
          <w:ilvl w:val="0"/>
          <w:numId w:val="11"/>
        </w:numPr>
      </w:pPr>
      <w:r w:rsidRPr="00C91184">
        <w:rPr>
          <w:b/>
        </w:rPr>
        <w:t>Observers</w:t>
      </w:r>
      <w:r w:rsidRPr="00827E8E">
        <w:t xml:space="preserve">. </w:t>
      </w:r>
      <w:r w:rsidR="004D765E" w:rsidRPr="00827E8E">
        <w:t xml:space="preserve"> </w:t>
      </w:r>
      <w:r w:rsidRPr="00827E8E">
        <w:t xml:space="preserve">Observers do not directly participate in the exercise. </w:t>
      </w:r>
      <w:r w:rsidR="004D765E" w:rsidRPr="00827E8E">
        <w:t xml:space="preserve"> </w:t>
      </w:r>
      <w:r w:rsidRPr="00827E8E">
        <w:t>However, they may support the development of player responses to the situation during the discussion by asking relevant questions or providing subject matter expertise.</w:t>
      </w:r>
    </w:p>
    <w:p w14:paraId="00ECA0E3" w14:textId="13133AFB" w:rsidR="001029A9" w:rsidRPr="00827E8E" w:rsidRDefault="001029A9" w:rsidP="009A6C8A">
      <w:pPr>
        <w:pStyle w:val="ListParagraph"/>
        <w:numPr>
          <w:ilvl w:val="0"/>
          <w:numId w:val="11"/>
        </w:numPr>
      </w:pPr>
      <w:r w:rsidRPr="00C91184">
        <w:rPr>
          <w:b/>
        </w:rPr>
        <w:t>Facilitators</w:t>
      </w:r>
      <w:r w:rsidRPr="00827E8E">
        <w:t xml:space="preserve">. </w:t>
      </w:r>
      <w:r w:rsidR="000817D0" w:rsidRPr="00827E8E">
        <w:t xml:space="preserve"> </w:t>
      </w:r>
      <w:r w:rsidRPr="00827E8E">
        <w:t>Facilitators provide situation updates</w:t>
      </w:r>
      <w:r w:rsidR="00E1300A" w:rsidRPr="00827E8E">
        <w:t xml:space="preserve">, </w:t>
      </w:r>
      <w:r w:rsidRPr="00827E8E">
        <w:t>moderate discussions</w:t>
      </w:r>
      <w:r w:rsidR="00E1300A" w:rsidRPr="00827E8E">
        <w:t>, and are critical for keeping participants on track toward meeting exercise objectives</w:t>
      </w:r>
      <w:r w:rsidRPr="00827E8E">
        <w:t xml:space="preserve">. </w:t>
      </w:r>
      <w:r w:rsidR="000817D0" w:rsidRPr="00827E8E">
        <w:t xml:space="preserve"> </w:t>
      </w:r>
      <w:r w:rsidRPr="00827E8E">
        <w:t xml:space="preserve">They also provide additional information or resolve questions as required. </w:t>
      </w:r>
      <w:r w:rsidR="000817D0" w:rsidRPr="00827E8E">
        <w:t xml:space="preserve"> </w:t>
      </w:r>
      <w:r w:rsidRPr="00827E8E">
        <w:t>Key Exercise Planning Team members also may assist with facilitation as subject matter experts (SMEs) during the exercise.</w:t>
      </w:r>
    </w:p>
    <w:p w14:paraId="10E4DE03" w14:textId="77777777" w:rsidR="001029A9" w:rsidRPr="00827E8E" w:rsidRDefault="001029A9" w:rsidP="009A6C8A">
      <w:pPr>
        <w:pStyle w:val="ListParagraph"/>
        <w:numPr>
          <w:ilvl w:val="0"/>
          <w:numId w:val="11"/>
        </w:numPr>
      </w:pPr>
      <w:r w:rsidRPr="00C91184">
        <w:rPr>
          <w:b/>
        </w:rPr>
        <w:t>Evaluators</w:t>
      </w:r>
      <w:r w:rsidRPr="00827E8E">
        <w:t xml:space="preserve">. </w:t>
      </w:r>
      <w:r w:rsidR="004D765E" w:rsidRPr="00827E8E">
        <w:t xml:space="preserve"> </w:t>
      </w:r>
      <w:r w:rsidRPr="00827E8E">
        <w:t xml:space="preserve">Evaluators are assigned to observe and document certain objectives during the exercise. </w:t>
      </w:r>
      <w:r w:rsidR="004D765E" w:rsidRPr="00827E8E">
        <w:t xml:space="preserve"> </w:t>
      </w:r>
      <w:r w:rsidRPr="00827E8E">
        <w:t>Their primary role is to document player discussions, including how and if those discussions conform to plans, policies, and procedures.</w:t>
      </w:r>
    </w:p>
    <w:p w14:paraId="44EDDD98" w14:textId="77777777" w:rsidR="00ED4E45" w:rsidRDefault="00ED4E45" w:rsidP="009A6C8A">
      <w:pPr>
        <w:pStyle w:val="Heading2"/>
      </w:pPr>
      <w:bookmarkStart w:id="60" w:name="_Toc69913733"/>
      <w:bookmarkStart w:id="61" w:name="_Toc69913996"/>
      <w:r>
        <w:t>Location</w:t>
      </w:r>
      <w:bookmarkEnd w:id="60"/>
      <w:bookmarkEnd w:id="61"/>
    </w:p>
    <w:p w14:paraId="379DD050" w14:textId="583EC337" w:rsidR="00ED4E45" w:rsidRDefault="00ED4E45" w:rsidP="009A6C8A">
      <w:r w:rsidRPr="001029A9">
        <w:rPr>
          <w:rFonts w:eastAsia="Arial"/>
        </w:rPr>
        <w:t>Th</w:t>
      </w:r>
      <w:r>
        <w:rPr>
          <w:rFonts w:eastAsia="Arial"/>
        </w:rPr>
        <w:t>e exercise</w:t>
      </w:r>
      <w:r>
        <w:t xml:space="preserve"> will be held in the </w:t>
      </w:r>
      <w:r w:rsidR="00CC7CEB">
        <w:t>(</w:t>
      </w:r>
      <w:r w:rsidR="00CC7CEB" w:rsidRPr="00367F7D">
        <w:rPr>
          <w:i/>
          <w:iCs/>
          <w:color w:val="FF0000"/>
        </w:rPr>
        <w:t>include location of the exercise</w:t>
      </w:r>
      <w:r w:rsidR="00CC7CEB">
        <w:t>)</w:t>
      </w:r>
      <w:r>
        <w:t>.</w:t>
      </w:r>
    </w:p>
    <w:p w14:paraId="3725DFC0" w14:textId="4C3E003F" w:rsidR="001029A9" w:rsidRPr="00C4267B" w:rsidRDefault="001029A9" w:rsidP="009A6C8A">
      <w:pPr>
        <w:pStyle w:val="Heading2"/>
      </w:pPr>
      <w:bookmarkStart w:id="62" w:name="_Toc69913734"/>
      <w:bookmarkStart w:id="63" w:name="_Toc69913997"/>
      <w:r w:rsidRPr="00C4267B">
        <w:t>Structure</w:t>
      </w:r>
      <w:r w:rsidR="000062B1" w:rsidRPr="00C4267B">
        <w:t xml:space="preserve"> and </w:t>
      </w:r>
      <w:r w:rsidR="00ED4E45">
        <w:t>Sequence of Events</w:t>
      </w:r>
      <w:bookmarkEnd w:id="62"/>
      <w:bookmarkEnd w:id="63"/>
    </w:p>
    <w:p w14:paraId="430592BE" w14:textId="37E5F64E" w:rsidR="001029A9" w:rsidRPr="001029A9" w:rsidRDefault="00ED4E45" w:rsidP="009A6C8A">
      <w:r>
        <w:t>The ARGC TTX is a facilitated exercise.</w:t>
      </w:r>
      <w:r w:rsidR="005F2FD6">
        <w:t xml:space="preserve">  </w:t>
      </w:r>
      <w:r w:rsidR="001029A9" w:rsidRPr="001029A9">
        <w:t xml:space="preserve">Players will participate in </w:t>
      </w:r>
      <w:r w:rsidR="008C3278">
        <w:t>t</w:t>
      </w:r>
      <w:r w:rsidR="00A218E3">
        <w:t xml:space="preserve">hree </w:t>
      </w:r>
      <w:r w:rsidR="005F5694">
        <w:t xml:space="preserve">modules </w:t>
      </w:r>
      <w:r w:rsidR="008C3278">
        <w:t xml:space="preserve">to discuss topics and questions across </w:t>
      </w:r>
      <w:r w:rsidR="005F5694">
        <w:t>th</w:t>
      </w:r>
      <w:r w:rsidR="00D45D14">
        <w:t>e</w:t>
      </w:r>
      <w:r w:rsidR="001029A9" w:rsidRPr="001029A9">
        <w:t xml:space="preserve"> </w:t>
      </w:r>
      <w:r w:rsidR="008C3278">
        <w:t xml:space="preserve">Mission </w:t>
      </w:r>
      <w:r w:rsidR="008C3278" w:rsidRPr="00ED4E45">
        <w:t>Areas</w:t>
      </w:r>
      <w:r w:rsidR="001029A9" w:rsidRPr="00ED4E45">
        <w:t>:</w:t>
      </w:r>
    </w:p>
    <w:p w14:paraId="47DB57D8" w14:textId="3FCD338C" w:rsidR="001029A9" w:rsidRPr="001029A9" w:rsidRDefault="005F5694" w:rsidP="009A6C8A">
      <w:pPr>
        <w:pStyle w:val="ListParagraph"/>
        <w:numPr>
          <w:ilvl w:val="0"/>
          <w:numId w:val="7"/>
        </w:numPr>
      </w:pPr>
      <w:r>
        <w:t>Module 1:  Preparedness</w:t>
      </w:r>
      <w:r w:rsidR="00BA00E1">
        <w:t xml:space="preserve"> – Mission Area</w:t>
      </w:r>
      <w:r w:rsidR="00D45D14">
        <w:t>s</w:t>
      </w:r>
      <w:r w:rsidR="00BA00E1">
        <w:t>: Prevent</w:t>
      </w:r>
      <w:r w:rsidR="00D45D14">
        <w:t>ion</w:t>
      </w:r>
      <w:r w:rsidR="00BA00E1">
        <w:t>/Protect</w:t>
      </w:r>
      <w:r w:rsidR="00D45D14">
        <w:t>ion/Mitigation</w:t>
      </w:r>
    </w:p>
    <w:p w14:paraId="64FE00AD" w14:textId="3E3F4CDD" w:rsidR="00BA00E1" w:rsidRDefault="00924C38" w:rsidP="009A6C8A">
      <w:pPr>
        <w:pStyle w:val="ListParagraph"/>
        <w:numPr>
          <w:ilvl w:val="0"/>
          <w:numId w:val="7"/>
        </w:numPr>
      </w:pPr>
      <w:r w:rsidRPr="00BA00E1">
        <w:t>Module 2:  Response</w:t>
      </w:r>
      <w:r w:rsidR="00BA00E1">
        <w:t xml:space="preserve"> – Mission Area: Respon</w:t>
      </w:r>
      <w:r w:rsidR="00D45D14">
        <w:t>se</w:t>
      </w:r>
    </w:p>
    <w:p w14:paraId="2F6A6E6F" w14:textId="1D748D4F" w:rsidR="00924C38" w:rsidRPr="00BA00E1" w:rsidRDefault="00924C38" w:rsidP="009A6C8A">
      <w:pPr>
        <w:pStyle w:val="ListParagraph"/>
        <w:numPr>
          <w:ilvl w:val="0"/>
          <w:numId w:val="7"/>
        </w:numPr>
      </w:pPr>
      <w:r w:rsidRPr="00BA00E1">
        <w:t>Module 3:  Recovery</w:t>
      </w:r>
      <w:r w:rsidR="00BA00E1">
        <w:t xml:space="preserve"> – Mission Area: Recover</w:t>
      </w:r>
      <w:r w:rsidR="00D45D14">
        <w:t>y</w:t>
      </w:r>
    </w:p>
    <w:p w14:paraId="12BFAA83" w14:textId="22641611" w:rsidR="005161F7" w:rsidRDefault="00F51B3A" w:rsidP="009A6C8A">
      <w:r>
        <w:t>F</w:t>
      </w:r>
      <w:r w:rsidR="00AB7823" w:rsidRPr="001029A9">
        <w:t xml:space="preserve">acilitator </w:t>
      </w:r>
      <w:r w:rsidR="00AB7823">
        <w:t xml:space="preserve">will describe the scenario and </w:t>
      </w:r>
      <w:r w:rsidR="001029A9" w:rsidRPr="001029A9">
        <w:t xml:space="preserve">summarize key events occurring within </w:t>
      </w:r>
      <w:r w:rsidR="00AB7823">
        <w:t xml:space="preserve">each mission area at the beginning of </w:t>
      </w:r>
      <w:r w:rsidR="00A218E3">
        <w:t>each s</w:t>
      </w:r>
      <w:r w:rsidR="00AB7823">
        <w:t>ession</w:t>
      </w:r>
      <w:r w:rsidR="00E55FD4">
        <w:t>.</w:t>
      </w:r>
      <w:r w:rsidR="00AB7823">
        <w:t xml:space="preserve">  </w:t>
      </w:r>
      <w:r w:rsidR="001029A9" w:rsidRPr="001029A9">
        <w:t xml:space="preserve">Following the </w:t>
      </w:r>
      <w:r w:rsidR="00AB7823">
        <w:t>summary</w:t>
      </w:r>
      <w:r w:rsidR="001029A9" w:rsidRPr="001029A9">
        <w:t xml:space="preserve">, participants will review the situation and engage in </w:t>
      </w:r>
      <w:r w:rsidR="00374D0F">
        <w:t>table</w:t>
      </w:r>
      <w:r w:rsidR="001029A9" w:rsidRPr="001029A9">
        <w:t xml:space="preserve"> discussions of </w:t>
      </w:r>
      <w:r w:rsidR="00AB7823">
        <w:t xml:space="preserve">provided topics and questions, and other </w:t>
      </w:r>
      <w:r w:rsidR="001029A9" w:rsidRPr="001029A9">
        <w:t>appropriate issues.</w:t>
      </w:r>
    </w:p>
    <w:p w14:paraId="0CCA92A1" w14:textId="2A7AC187" w:rsidR="005161F7" w:rsidRDefault="005161F7" w:rsidP="009A6C8A"/>
    <w:p w14:paraId="4D6B39BA" w14:textId="77777777" w:rsidR="00B97DD0" w:rsidRDefault="00B97DD0" w:rsidP="009A6C8A">
      <w:pPr>
        <w:rPr>
          <w:sz w:val="32"/>
          <w:szCs w:val="32"/>
        </w:rPr>
      </w:pPr>
      <w:bookmarkStart w:id="64" w:name="_Toc69913735"/>
      <w:bookmarkStart w:id="65" w:name="_Toc69913998"/>
      <w:r>
        <w:br w:type="page"/>
      </w:r>
    </w:p>
    <w:p w14:paraId="6C1ACE57" w14:textId="5B6F06F8" w:rsidR="000C5670" w:rsidRPr="00567D0F" w:rsidRDefault="00CC7CEB" w:rsidP="009A6C8A">
      <w:pPr>
        <w:pStyle w:val="Heading3"/>
      </w:pPr>
      <w:r w:rsidRPr="00567D0F">
        <w:lastRenderedPageBreak/>
        <w:t>Sample agenda</w:t>
      </w:r>
      <w:bookmarkEnd w:id="64"/>
      <w:bookmarkEnd w:id="65"/>
    </w:p>
    <w:tbl>
      <w:tblPr>
        <w:tblStyle w:val="ListTable4-Accent4"/>
        <w:tblW w:w="0" w:type="auto"/>
        <w:tblLook w:val="0420" w:firstRow="1" w:lastRow="0" w:firstColumn="0" w:lastColumn="0" w:noHBand="0" w:noVBand="1"/>
      </w:tblPr>
      <w:tblGrid>
        <w:gridCol w:w="3452"/>
        <w:gridCol w:w="3453"/>
        <w:gridCol w:w="3453"/>
      </w:tblGrid>
      <w:tr w:rsidR="005161F7" w14:paraId="3C7D33CB" w14:textId="77777777" w:rsidTr="00751FFE">
        <w:trPr>
          <w:cnfStyle w:val="100000000000" w:firstRow="1" w:lastRow="0" w:firstColumn="0" w:lastColumn="0" w:oddVBand="0" w:evenVBand="0" w:oddHBand="0" w:evenHBand="0" w:firstRowFirstColumn="0" w:firstRowLastColumn="0" w:lastRowFirstColumn="0" w:lastRowLastColumn="0"/>
          <w:trHeight w:val="377"/>
        </w:trPr>
        <w:tc>
          <w:tcPr>
            <w:tcW w:w="3452" w:type="dxa"/>
          </w:tcPr>
          <w:p w14:paraId="72D20ACF" w14:textId="41D02E70" w:rsidR="005161F7" w:rsidRPr="005161F7" w:rsidRDefault="005161F7" w:rsidP="009A6C8A">
            <w:r w:rsidRPr="005161F7">
              <w:t>Time</w:t>
            </w:r>
          </w:p>
        </w:tc>
        <w:tc>
          <w:tcPr>
            <w:tcW w:w="3453" w:type="dxa"/>
          </w:tcPr>
          <w:p w14:paraId="7EF5A321" w14:textId="4DF608A4" w:rsidR="005161F7" w:rsidRPr="005161F7" w:rsidRDefault="005161F7" w:rsidP="009A6C8A">
            <w:r w:rsidRPr="005161F7">
              <w:t>Activity</w:t>
            </w:r>
          </w:p>
        </w:tc>
        <w:tc>
          <w:tcPr>
            <w:tcW w:w="3453" w:type="dxa"/>
          </w:tcPr>
          <w:p w14:paraId="3080139D" w14:textId="7CF7A978" w:rsidR="005161F7" w:rsidRPr="005161F7" w:rsidRDefault="005161F7" w:rsidP="009A6C8A">
            <w:r w:rsidRPr="005161F7">
              <w:t>Who</w:t>
            </w:r>
          </w:p>
        </w:tc>
      </w:tr>
      <w:tr w:rsidR="000C5670" w14:paraId="6625A5AE" w14:textId="77777777" w:rsidTr="00751FFE">
        <w:trPr>
          <w:cnfStyle w:val="000000100000" w:firstRow="0" w:lastRow="0" w:firstColumn="0" w:lastColumn="0" w:oddVBand="0" w:evenVBand="0" w:oddHBand="1" w:evenHBand="0" w:firstRowFirstColumn="0" w:firstRowLastColumn="0" w:lastRowFirstColumn="0" w:lastRowLastColumn="0"/>
          <w:trHeight w:val="53"/>
        </w:trPr>
        <w:tc>
          <w:tcPr>
            <w:tcW w:w="3452" w:type="dxa"/>
          </w:tcPr>
          <w:p w14:paraId="2A38D0B5" w14:textId="64AD44F3" w:rsidR="000C5670" w:rsidRPr="00C91184" w:rsidRDefault="000C5670" w:rsidP="009A6C8A">
            <w:pPr>
              <w:rPr>
                <w:rFonts w:eastAsia="Arial"/>
              </w:rPr>
            </w:pPr>
            <w:r w:rsidRPr="00C91184">
              <w:t>9:00-9:20 am</w:t>
            </w:r>
          </w:p>
        </w:tc>
        <w:tc>
          <w:tcPr>
            <w:tcW w:w="3453" w:type="dxa"/>
          </w:tcPr>
          <w:p w14:paraId="60AB810D" w14:textId="663B06E0" w:rsidR="000C5670" w:rsidRPr="00C91184" w:rsidRDefault="000C5670" w:rsidP="009A6C8A">
            <w:pPr>
              <w:rPr>
                <w:rFonts w:eastAsia="Arial"/>
              </w:rPr>
            </w:pPr>
            <w:r w:rsidRPr="00C91184">
              <w:t>Welcome and Introductions</w:t>
            </w:r>
          </w:p>
        </w:tc>
        <w:tc>
          <w:tcPr>
            <w:tcW w:w="3453" w:type="dxa"/>
          </w:tcPr>
          <w:p w14:paraId="2E82ACA3" w14:textId="237BE779" w:rsidR="000C5670" w:rsidRPr="00C91184" w:rsidRDefault="000C5670" w:rsidP="009A6C8A">
            <w:pPr>
              <w:rPr>
                <w:rFonts w:eastAsia="Arial"/>
              </w:rPr>
            </w:pPr>
            <w:r w:rsidRPr="00C91184">
              <w:t>Facilitator</w:t>
            </w:r>
          </w:p>
        </w:tc>
      </w:tr>
      <w:tr w:rsidR="000C5670" w14:paraId="4919667B" w14:textId="77777777" w:rsidTr="00751FFE">
        <w:tc>
          <w:tcPr>
            <w:tcW w:w="3452" w:type="dxa"/>
          </w:tcPr>
          <w:p w14:paraId="4D51F474" w14:textId="33E0FEE4" w:rsidR="000C5670" w:rsidRPr="00C91184" w:rsidRDefault="000C5670" w:rsidP="009A6C8A">
            <w:pPr>
              <w:rPr>
                <w:rFonts w:eastAsia="Arial"/>
              </w:rPr>
            </w:pPr>
            <w:r w:rsidRPr="00C91184">
              <w:t>9:20-9:25 am</w:t>
            </w:r>
          </w:p>
        </w:tc>
        <w:tc>
          <w:tcPr>
            <w:tcW w:w="3453" w:type="dxa"/>
          </w:tcPr>
          <w:p w14:paraId="5C1BE3BA" w14:textId="599F3C22" w:rsidR="000C5670" w:rsidRPr="00C91184" w:rsidRDefault="000C5670" w:rsidP="009A6C8A">
            <w:pPr>
              <w:rPr>
                <w:rFonts w:eastAsia="Arial"/>
              </w:rPr>
            </w:pPr>
            <w:r w:rsidRPr="00C91184">
              <w:t>Opening Comments</w:t>
            </w:r>
          </w:p>
        </w:tc>
        <w:tc>
          <w:tcPr>
            <w:tcW w:w="3453" w:type="dxa"/>
          </w:tcPr>
          <w:p w14:paraId="34FC2B64" w14:textId="5E7245DD" w:rsidR="000C5670" w:rsidRPr="00C91184" w:rsidRDefault="00CC7CEB" w:rsidP="009A6C8A">
            <w:pPr>
              <w:rPr>
                <w:rFonts w:eastAsia="Arial"/>
              </w:rPr>
            </w:pPr>
            <w:r>
              <w:t>Lead Planners</w:t>
            </w:r>
            <w:r w:rsidR="000C5670" w:rsidRPr="00C91184">
              <w:t xml:space="preserve"> and Exercise Director</w:t>
            </w:r>
          </w:p>
        </w:tc>
      </w:tr>
      <w:tr w:rsidR="000C5670" w14:paraId="3BFF3F5A" w14:textId="77777777" w:rsidTr="00751FFE">
        <w:trPr>
          <w:cnfStyle w:val="000000100000" w:firstRow="0" w:lastRow="0" w:firstColumn="0" w:lastColumn="0" w:oddVBand="0" w:evenVBand="0" w:oddHBand="1" w:evenHBand="0" w:firstRowFirstColumn="0" w:firstRowLastColumn="0" w:lastRowFirstColumn="0" w:lastRowLastColumn="0"/>
        </w:trPr>
        <w:tc>
          <w:tcPr>
            <w:tcW w:w="3452" w:type="dxa"/>
          </w:tcPr>
          <w:p w14:paraId="6E7D5DA3" w14:textId="4AF86975" w:rsidR="000C5670" w:rsidRPr="00C91184" w:rsidRDefault="000C5670" w:rsidP="009A6C8A">
            <w:pPr>
              <w:rPr>
                <w:rFonts w:eastAsia="Arial"/>
              </w:rPr>
            </w:pPr>
            <w:r w:rsidRPr="00C91184">
              <w:t>9:25-9:30 am</w:t>
            </w:r>
          </w:p>
        </w:tc>
        <w:tc>
          <w:tcPr>
            <w:tcW w:w="3453" w:type="dxa"/>
          </w:tcPr>
          <w:p w14:paraId="5A7E3810" w14:textId="36F28FE3" w:rsidR="000C5670" w:rsidRPr="00C91184" w:rsidRDefault="000C5670" w:rsidP="009A6C8A">
            <w:pPr>
              <w:rPr>
                <w:rFonts w:eastAsia="Arial"/>
              </w:rPr>
            </w:pPr>
            <w:r w:rsidRPr="00C91184">
              <w:t>Set the Stage/STARTEX</w:t>
            </w:r>
          </w:p>
        </w:tc>
        <w:tc>
          <w:tcPr>
            <w:tcW w:w="3453" w:type="dxa"/>
          </w:tcPr>
          <w:p w14:paraId="3739B5C6" w14:textId="12959CD4" w:rsidR="000C5670" w:rsidRPr="00C91184" w:rsidRDefault="000C5670" w:rsidP="009A6C8A">
            <w:pPr>
              <w:rPr>
                <w:rFonts w:eastAsia="Arial"/>
              </w:rPr>
            </w:pPr>
            <w:r w:rsidRPr="00C91184">
              <w:t>Exercise Director</w:t>
            </w:r>
          </w:p>
        </w:tc>
      </w:tr>
      <w:tr w:rsidR="000C5670" w14:paraId="74230EFF" w14:textId="77777777" w:rsidTr="00751FFE">
        <w:tc>
          <w:tcPr>
            <w:tcW w:w="3452" w:type="dxa"/>
          </w:tcPr>
          <w:p w14:paraId="4A2E320B" w14:textId="562FF081" w:rsidR="000C5670" w:rsidRPr="00C91184" w:rsidRDefault="000C5670" w:rsidP="009A6C8A">
            <w:pPr>
              <w:rPr>
                <w:rFonts w:eastAsia="Arial"/>
              </w:rPr>
            </w:pPr>
            <w:r w:rsidRPr="00C91184">
              <w:t>9:30-10:40 am</w:t>
            </w:r>
          </w:p>
        </w:tc>
        <w:tc>
          <w:tcPr>
            <w:tcW w:w="3453" w:type="dxa"/>
          </w:tcPr>
          <w:p w14:paraId="69429B5F" w14:textId="0B387471" w:rsidR="000C5670" w:rsidRPr="00C91184" w:rsidRDefault="000C5670" w:rsidP="009A6C8A">
            <w:pPr>
              <w:rPr>
                <w:rFonts w:eastAsia="Arial"/>
              </w:rPr>
            </w:pPr>
            <w:r w:rsidRPr="00C91184">
              <w:t>Module 1</w:t>
            </w:r>
            <w:r w:rsidR="00374D0F" w:rsidRPr="00C91184">
              <w:t xml:space="preserve">: </w:t>
            </w:r>
            <w:r w:rsidRPr="00C91184">
              <w:t>Preparedness</w:t>
            </w:r>
          </w:p>
        </w:tc>
        <w:tc>
          <w:tcPr>
            <w:tcW w:w="3453" w:type="dxa"/>
          </w:tcPr>
          <w:p w14:paraId="3B4F8160" w14:textId="16DC862B" w:rsidR="000C5670" w:rsidRPr="00C91184" w:rsidRDefault="000C5670" w:rsidP="009A6C8A">
            <w:pPr>
              <w:rPr>
                <w:rFonts w:eastAsia="Arial"/>
              </w:rPr>
            </w:pPr>
            <w:r w:rsidRPr="00C91184">
              <w:t>Facilitator</w:t>
            </w:r>
          </w:p>
        </w:tc>
      </w:tr>
      <w:tr w:rsidR="000C5670" w14:paraId="0523180D" w14:textId="77777777" w:rsidTr="00751FFE">
        <w:trPr>
          <w:cnfStyle w:val="000000100000" w:firstRow="0" w:lastRow="0" w:firstColumn="0" w:lastColumn="0" w:oddVBand="0" w:evenVBand="0" w:oddHBand="1" w:evenHBand="0" w:firstRowFirstColumn="0" w:firstRowLastColumn="0" w:lastRowFirstColumn="0" w:lastRowLastColumn="0"/>
        </w:trPr>
        <w:tc>
          <w:tcPr>
            <w:tcW w:w="3452" w:type="dxa"/>
          </w:tcPr>
          <w:p w14:paraId="000345A6" w14:textId="6AA1ACCE" w:rsidR="000C5670" w:rsidRPr="00C91184" w:rsidRDefault="000C5670" w:rsidP="009A6C8A">
            <w:pPr>
              <w:rPr>
                <w:rFonts w:eastAsia="Arial"/>
              </w:rPr>
            </w:pPr>
            <w:r w:rsidRPr="00C91184">
              <w:t>10:40-10:50 am</w:t>
            </w:r>
          </w:p>
        </w:tc>
        <w:tc>
          <w:tcPr>
            <w:tcW w:w="3453" w:type="dxa"/>
          </w:tcPr>
          <w:p w14:paraId="1893B245" w14:textId="576F5172" w:rsidR="000C5670" w:rsidRPr="00C91184" w:rsidRDefault="000C5670" w:rsidP="009A6C8A">
            <w:pPr>
              <w:rPr>
                <w:rFonts w:eastAsia="Arial"/>
              </w:rPr>
            </w:pPr>
            <w:r w:rsidRPr="00C91184">
              <w:t>Break</w:t>
            </w:r>
          </w:p>
        </w:tc>
        <w:tc>
          <w:tcPr>
            <w:tcW w:w="3453" w:type="dxa"/>
          </w:tcPr>
          <w:p w14:paraId="752AC70C" w14:textId="77777777" w:rsidR="000C5670" w:rsidRPr="00C91184" w:rsidRDefault="000C5670" w:rsidP="009A6C8A"/>
        </w:tc>
      </w:tr>
      <w:tr w:rsidR="000C5670" w14:paraId="17311B57" w14:textId="77777777" w:rsidTr="00751FFE">
        <w:tc>
          <w:tcPr>
            <w:tcW w:w="3452" w:type="dxa"/>
          </w:tcPr>
          <w:p w14:paraId="2E5E702F" w14:textId="2F3A8B78" w:rsidR="000C5670" w:rsidRPr="00C91184" w:rsidRDefault="000C5670" w:rsidP="009A6C8A">
            <w:pPr>
              <w:rPr>
                <w:rFonts w:eastAsia="Arial"/>
              </w:rPr>
            </w:pPr>
            <w:r w:rsidRPr="00C91184">
              <w:t>10:50 am-12:00 pm</w:t>
            </w:r>
          </w:p>
        </w:tc>
        <w:tc>
          <w:tcPr>
            <w:tcW w:w="3453" w:type="dxa"/>
          </w:tcPr>
          <w:p w14:paraId="78027D28" w14:textId="0FD7BE70" w:rsidR="000C5670" w:rsidRPr="00C91184" w:rsidRDefault="000C5670" w:rsidP="009A6C8A">
            <w:pPr>
              <w:rPr>
                <w:rFonts w:eastAsia="Arial"/>
              </w:rPr>
            </w:pPr>
            <w:r w:rsidRPr="00C91184">
              <w:t>Module 2</w:t>
            </w:r>
            <w:r w:rsidR="00374D0F" w:rsidRPr="00C91184">
              <w:t xml:space="preserve">: </w:t>
            </w:r>
            <w:r w:rsidRPr="00C91184">
              <w:t>Response</w:t>
            </w:r>
          </w:p>
        </w:tc>
        <w:tc>
          <w:tcPr>
            <w:tcW w:w="3453" w:type="dxa"/>
          </w:tcPr>
          <w:p w14:paraId="12886FAE" w14:textId="5B4D311E" w:rsidR="000C5670" w:rsidRPr="00C91184" w:rsidRDefault="000C5670" w:rsidP="009A6C8A">
            <w:pPr>
              <w:rPr>
                <w:rFonts w:eastAsia="Arial"/>
              </w:rPr>
            </w:pPr>
            <w:r w:rsidRPr="00C91184">
              <w:t>Facilitator</w:t>
            </w:r>
          </w:p>
        </w:tc>
      </w:tr>
      <w:tr w:rsidR="000C5670" w14:paraId="70929980" w14:textId="77777777" w:rsidTr="00751FFE">
        <w:trPr>
          <w:cnfStyle w:val="000000100000" w:firstRow="0" w:lastRow="0" w:firstColumn="0" w:lastColumn="0" w:oddVBand="0" w:evenVBand="0" w:oddHBand="1" w:evenHBand="0" w:firstRowFirstColumn="0" w:firstRowLastColumn="0" w:lastRowFirstColumn="0" w:lastRowLastColumn="0"/>
        </w:trPr>
        <w:tc>
          <w:tcPr>
            <w:tcW w:w="3452" w:type="dxa"/>
          </w:tcPr>
          <w:p w14:paraId="51F283C3" w14:textId="25DB33F1" w:rsidR="000C5670" w:rsidRPr="00C91184" w:rsidRDefault="000C5670" w:rsidP="009A6C8A">
            <w:pPr>
              <w:rPr>
                <w:rFonts w:eastAsia="Arial"/>
              </w:rPr>
            </w:pPr>
            <w:r w:rsidRPr="00C91184">
              <w:t>12:00-1:00 pm</w:t>
            </w:r>
          </w:p>
        </w:tc>
        <w:tc>
          <w:tcPr>
            <w:tcW w:w="3453" w:type="dxa"/>
          </w:tcPr>
          <w:p w14:paraId="5FB5C1A8" w14:textId="4DF9213D" w:rsidR="000C5670" w:rsidRPr="00C91184" w:rsidRDefault="000C5670" w:rsidP="009A6C8A">
            <w:pPr>
              <w:rPr>
                <w:rFonts w:eastAsia="Arial"/>
              </w:rPr>
            </w:pPr>
            <w:r w:rsidRPr="00C91184">
              <w:t>Lunch</w:t>
            </w:r>
          </w:p>
        </w:tc>
        <w:tc>
          <w:tcPr>
            <w:tcW w:w="3453" w:type="dxa"/>
          </w:tcPr>
          <w:p w14:paraId="5AD3207F" w14:textId="697CF873" w:rsidR="000C5670" w:rsidRPr="00C91184" w:rsidRDefault="000C5670" w:rsidP="009A6C8A">
            <w:pPr>
              <w:rPr>
                <w:rFonts w:eastAsia="Arial"/>
              </w:rPr>
            </w:pPr>
            <w:r w:rsidRPr="00C91184">
              <w:t>Host</w:t>
            </w:r>
          </w:p>
        </w:tc>
      </w:tr>
      <w:tr w:rsidR="000C5670" w14:paraId="58E9EB73" w14:textId="77777777" w:rsidTr="00751FFE">
        <w:tc>
          <w:tcPr>
            <w:tcW w:w="3452" w:type="dxa"/>
          </w:tcPr>
          <w:p w14:paraId="762C84C5" w14:textId="7A544511" w:rsidR="000C5670" w:rsidRPr="00C91184" w:rsidRDefault="000C5670" w:rsidP="009A6C8A">
            <w:pPr>
              <w:rPr>
                <w:rFonts w:eastAsia="Arial"/>
              </w:rPr>
            </w:pPr>
            <w:r w:rsidRPr="00C91184">
              <w:t>1:00-2:00 pm</w:t>
            </w:r>
          </w:p>
        </w:tc>
        <w:tc>
          <w:tcPr>
            <w:tcW w:w="3453" w:type="dxa"/>
          </w:tcPr>
          <w:p w14:paraId="24EE7B1F" w14:textId="62B188AE" w:rsidR="000C5670" w:rsidRPr="00C91184" w:rsidRDefault="000C5670" w:rsidP="009A6C8A">
            <w:pPr>
              <w:rPr>
                <w:rFonts w:eastAsia="Arial"/>
              </w:rPr>
            </w:pPr>
            <w:r w:rsidRPr="00C91184">
              <w:t>Module 3</w:t>
            </w:r>
            <w:r w:rsidR="00374D0F" w:rsidRPr="00C91184">
              <w:t xml:space="preserve">: </w:t>
            </w:r>
            <w:r w:rsidRPr="00C91184">
              <w:t>Recovery</w:t>
            </w:r>
          </w:p>
        </w:tc>
        <w:tc>
          <w:tcPr>
            <w:tcW w:w="3453" w:type="dxa"/>
          </w:tcPr>
          <w:p w14:paraId="6BF609FC" w14:textId="2D425AC4" w:rsidR="000C5670" w:rsidRPr="00C91184" w:rsidRDefault="000C5670" w:rsidP="009A6C8A">
            <w:pPr>
              <w:rPr>
                <w:rFonts w:eastAsia="Arial"/>
              </w:rPr>
            </w:pPr>
            <w:r w:rsidRPr="00C91184">
              <w:t>Facilitator</w:t>
            </w:r>
          </w:p>
        </w:tc>
      </w:tr>
      <w:tr w:rsidR="000C5670" w14:paraId="53004B50" w14:textId="77777777" w:rsidTr="00751FFE">
        <w:trPr>
          <w:cnfStyle w:val="000000100000" w:firstRow="0" w:lastRow="0" w:firstColumn="0" w:lastColumn="0" w:oddVBand="0" w:evenVBand="0" w:oddHBand="1" w:evenHBand="0" w:firstRowFirstColumn="0" w:firstRowLastColumn="0" w:lastRowFirstColumn="0" w:lastRowLastColumn="0"/>
        </w:trPr>
        <w:tc>
          <w:tcPr>
            <w:tcW w:w="3452" w:type="dxa"/>
          </w:tcPr>
          <w:p w14:paraId="37BE1B45" w14:textId="07007F07" w:rsidR="000C5670" w:rsidRPr="00C91184" w:rsidRDefault="000C5670" w:rsidP="009A6C8A">
            <w:pPr>
              <w:rPr>
                <w:rFonts w:eastAsia="Arial"/>
              </w:rPr>
            </w:pPr>
            <w:r w:rsidRPr="00C91184">
              <w:t>2:00-2:15 pm</w:t>
            </w:r>
          </w:p>
        </w:tc>
        <w:tc>
          <w:tcPr>
            <w:tcW w:w="3453" w:type="dxa"/>
          </w:tcPr>
          <w:p w14:paraId="13290740" w14:textId="3915DB3A" w:rsidR="000C5670" w:rsidRPr="00C91184" w:rsidRDefault="000C5670" w:rsidP="009A6C8A">
            <w:pPr>
              <w:rPr>
                <w:rFonts w:eastAsia="Arial"/>
              </w:rPr>
            </w:pPr>
            <w:r w:rsidRPr="00C91184">
              <w:t>Break</w:t>
            </w:r>
          </w:p>
        </w:tc>
        <w:tc>
          <w:tcPr>
            <w:tcW w:w="3453" w:type="dxa"/>
          </w:tcPr>
          <w:p w14:paraId="2807EC48" w14:textId="77777777" w:rsidR="000C5670" w:rsidRPr="00C91184" w:rsidRDefault="000C5670" w:rsidP="009A6C8A"/>
        </w:tc>
      </w:tr>
      <w:tr w:rsidR="000C5670" w14:paraId="44745110" w14:textId="77777777" w:rsidTr="00751FFE">
        <w:tc>
          <w:tcPr>
            <w:tcW w:w="3452" w:type="dxa"/>
          </w:tcPr>
          <w:p w14:paraId="4765E1D4" w14:textId="168815F1" w:rsidR="000C5670" w:rsidRPr="00C91184" w:rsidRDefault="000C5670" w:rsidP="009A6C8A">
            <w:pPr>
              <w:rPr>
                <w:rFonts w:eastAsia="Arial"/>
              </w:rPr>
            </w:pPr>
            <w:r w:rsidRPr="00C91184">
              <w:t>2:15-2:50 pm</w:t>
            </w:r>
          </w:p>
        </w:tc>
        <w:tc>
          <w:tcPr>
            <w:tcW w:w="3453" w:type="dxa"/>
          </w:tcPr>
          <w:p w14:paraId="2A955925" w14:textId="503852BF" w:rsidR="000C5670" w:rsidRPr="00C91184" w:rsidRDefault="000C5670" w:rsidP="009A6C8A">
            <w:pPr>
              <w:rPr>
                <w:rFonts w:eastAsia="Arial"/>
              </w:rPr>
            </w:pPr>
            <w:proofErr w:type="spellStart"/>
            <w:r w:rsidRPr="00C91184">
              <w:t>Hotwash</w:t>
            </w:r>
            <w:proofErr w:type="spellEnd"/>
            <w:r w:rsidRPr="00C91184">
              <w:t xml:space="preserve"> and Feedback Form</w:t>
            </w:r>
          </w:p>
        </w:tc>
        <w:tc>
          <w:tcPr>
            <w:tcW w:w="3453" w:type="dxa"/>
          </w:tcPr>
          <w:p w14:paraId="3E89B868" w14:textId="2F79CDE7" w:rsidR="000C5670" w:rsidRPr="00C91184" w:rsidRDefault="000C5670" w:rsidP="009A6C8A">
            <w:pPr>
              <w:rPr>
                <w:rFonts w:eastAsia="Arial"/>
              </w:rPr>
            </w:pPr>
            <w:r w:rsidRPr="00C91184">
              <w:t>Facilitator</w:t>
            </w:r>
          </w:p>
        </w:tc>
      </w:tr>
      <w:tr w:rsidR="000C5670" w14:paraId="1DF156B7" w14:textId="77777777" w:rsidTr="00751FFE">
        <w:trPr>
          <w:cnfStyle w:val="000000100000" w:firstRow="0" w:lastRow="0" w:firstColumn="0" w:lastColumn="0" w:oddVBand="0" w:evenVBand="0" w:oddHBand="1" w:evenHBand="0" w:firstRowFirstColumn="0" w:firstRowLastColumn="0" w:lastRowFirstColumn="0" w:lastRowLastColumn="0"/>
        </w:trPr>
        <w:tc>
          <w:tcPr>
            <w:tcW w:w="3452" w:type="dxa"/>
          </w:tcPr>
          <w:p w14:paraId="3C89FA12" w14:textId="33522A68" w:rsidR="000C5670" w:rsidRPr="00C91184" w:rsidRDefault="000C5670" w:rsidP="009A6C8A">
            <w:pPr>
              <w:rPr>
                <w:rFonts w:eastAsia="Arial"/>
              </w:rPr>
            </w:pPr>
            <w:r w:rsidRPr="00C91184">
              <w:t>2:50-3:00 pm</w:t>
            </w:r>
          </w:p>
        </w:tc>
        <w:tc>
          <w:tcPr>
            <w:tcW w:w="3453" w:type="dxa"/>
          </w:tcPr>
          <w:p w14:paraId="144B4C19" w14:textId="72319E5C" w:rsidR="000C5670" w:rsidRPr="00C91184" w:rsidRDefault="000C5670" w:rsidP="009A6C8A">
            <w:pPr>
              <w:rPr>
                <w:rFonts w:eastAsia="Arial"/>
              </w:rPr>
            </w:pPr>
            <w:r w:rsidRPr="00C91184">
              <w:t>Closing Comments</w:t>
            </w:r>
          </w:p>
        </w:tc>
        <w:tc>
          <w:tcPr>
            <w:tcW w:w="3453" w:type="dxa"/>
          </w:tcPr>
          <w:p w14:paraId="27B32078" w14:textId="387FF3D3" w:rsidR="000C5670" w:rsidRPr="00C91184" w:rsidRDefault="00CC7CEB" w:rsidP="009A6C8A">
            <w:pPr>
              <w:rPr>
                <w:rFonts w:eastAsia="Arial"/>
              </w:rPr>
            </w:pPr>
            <w:r>
              <w:t>Lead Planners</w:t>
            </w:r>
            <w:r w:rsidR="000C5670" w:rsidRPr="00C91184">
              <w:t xml:space="preserve"> and Exercise Director</w:t>
            </w:r>
          </w:p>
        </w:tc>
      </w:tr>
    </w:tbl>
    <w:p w14:paraId="5E3762DB" w14:textId="15E6F4E0" w:rsidR="005161F7" w:rsidRDefault="005161F7" w:rsidP="009A6C8A"/>
    <w:p w14:paraId="7F97C03E" w14:textId="77777777" w:rsidR="00BA00E1" w:rsidRPr="005F5694" w:rsidRDefault="00BA00E1" w:rsidP="009A6C8A">
      <w:pPr>
        <w:pStyle w:val="Heading2"/>
      </w:pPr>
      <w:bookmarkStart w:id="66" w:name="_Toc69913736"/>
      <w:bookmarkStart w:id="67" w:name="_Toc69913999"/>
      <w:r w:rsidRPr="005F5694">
        <w:t>Mission Areas</w:t>
      </w:r>
      <w:bookmarkEnd w:id="66"/>
      <w:bookmarkEnd w:id="67"/>
    </w:p>
    <w:p w14:paraId="7BB7051A" w14:textId="4FD56BAD" w:rsidR="00BA00E1" w:rsidRPr="00A73647" w:rsidRDefault="00BA00E1" w:rsidP="009A6C8A">
      <w:pPr>
        <w:pStyle w:val="Heading3"/>
      </w:pPr>
      <w:bookmarkStart w:id="68" w:name="_Toc69913737"/>
      <w:bookmarkStart w:id="69" w:name="_Toc69914000"/>
      <w:r w:rsidRPr="008725CE">
        <w:rPr>
          <w:b/>
          <w:bCs/>
        </w:rPr>
        <w:t xml:space="preserve">Mission </w:t>
      </w:r>
      <w:r w:rsidR="00A73647" w:rsidRPr="008725CE">
        <w:rPr>
          <w:b/>
          <w:bCs/>
        </w:rPr>
        <w:t>A</w:t>
      </w:r>
      <w:r w:rsidRPr="008725CE">
        <w:rPr>
          <w:b/>
          <w:bCs/>
        </w:rPr>
        <w:t>rea</w:t>
      </w:r>
      <w:r w:rsidR="00D45D14" w:rsidRPr="008725CE">
        <w:rPr>
          <w:b/>
          <w:bCs/>
        </w:rPr>
        <w:t>s</w:t>
      </w:r>
      <w:r w:rsidRPr="008725CE">
        <w:rPr>
          <w:b/>
          <w:bCs/>
        </w:rPr>
        <w:t xml:space="preserve"> 1</w:t>
      </w:r>
      <w:r w:rsidR="00D45D14" w:rsidRPr="008725CE">
        <w:rPr>
          <w:b/>
          <w:bCs/>
        </w:rPr>
        <w:t>-3</w:t>
      </w:r>
      <w:r w:rsidRPr="008725CE">
        <w:rPr>
          <w:b/>
          <w:bCs/>
        </w:rPr>
        <w:t>:</w:t>
      </w:r>
      <w:r w:rsidRPr="00A73647">
        <w:t xml:space="preserve"> Prevent</w:t>
      </w:r>
      <w:r w:rsidR="00D45D14" w:rsidRPr="00A73647">
        <w:t>ion</w:t>
      </w:r>
      <w:r w:rsidRPr="00A73647">
        <w:t>/</w:t>
      </w:r>
      <w:r w:rsidR="00A73647">
        <w:t>P</w:t>
      </w:r>
      <w:r w:rsidRPr="00A73647">
        <w:t>rotect</w:t>
      </w:r>
      <w:r w:rsidR="00D45D14" w:rsidRPr="00A73647">
        <w:t>ion/</w:t>
      </w:r>
      <w:r w:rsidR="00A73647">
        <w:t>M</w:t>
      </w:r>
      <w:r w:rsidR="00D45D14" w:rsidRPr="00A73647">
        <w:t>itigation</w:t>
      </w:r>
      <w:bookmarkEnd w:id="68"/>
      <w:bookmarkEnd w:id="69"/>
    </w:p>
    <w:p w14:paraId="374BBCF1" w14:textId="69CCD774" w:rsidR="00BA00E1" w:rsidRDefault="00BA00E1" w:rsidP="009A6C8A">
      <w:r>
        <w:t>Prevent</w:t>
      </w:r>
      <w:r w:rsidR="00A73647">
        <w:t>ion</w:t>
      </w:r>
      <w:r>
        <w:t>/Protect</w:t>
      </w:r>
      <w:r w:rsidR="00A73647">
        <w:t>ion/Mitigation</w:t>
      </w:r>
      <w:r>
        <w:t xml:space="preserve"> addresses the ability to plan, organize, train, and exercise personnel to perform their assigned missions to standard.  Participants will discuss those activities that can be completed prior to an outbreak, which increase the capability of individuals and collective jurisdictions to </w:t>
      </w:r>
      <w:proofErr w:type="gramStart"/>
      <w:r>
        <w:t>quickly and effectively respond</w:t>
      </w:r>
      <w:proofErr w:type="gramEnd"/>
      <w:r>
        <w:t>.</w:t>
      </w:r>
    </w:p>
    <w:p w14:paraId="6F9C452F" w14:textId="4990BE56" w:rsidR="00BA00E1" w:rsidRPr="003945F4" w:rsidRDefault="00BA00E1" w:rsidP="009A6C8A">
      <w:pPr>
        <w:pStyle w:val="Heading3"/>
      </w:pPr>
      <w:bookmarkStart w:id="70" w:name="_Toc69913738"/>
      <w:bookmarkStart w:id="71" w:name="_Toc69914001"/>
      <w:r w:rsidRPr="00230686">
        <w:rPr>
          <w:b/>
          <w:bCs/>
        </w:rPr>
        <w:t xml:space="preserve">Mission </w:t>
      </w:r>
      <w:r w:rsidR="00A73647" w:rsidRPr="00230686">
        <w:rPr>
          <w:b/>
          <w:bCs/>
        </w:rPr>
        <w:t>A</w:t>
      </w:r>
      <w:r w:rsidRPr="00230686">
        <w:rPr>
          <w:b/>
          <w:bCs/>
        </w:rPr>
        <w:t xml:space="preserve">rea </w:t>
      </w:r>
      <w:r w:rsidR="00D45D14" w:rsidRPr="00230686">
        <w:rPr>
          <w:b/>
          <w:bCs/>
        </w:rPr>
        <w:t>4</w:t>
      </w:r>
      <w:r w:rsidRPr="00230686">
        <w:rPr>
          <w:b/>
          <w:bCs/>
        </w:rPr>
        <w:t>:</w:t>
      </w:r>
      <w:r w:rsidRPr="003945F4">
        <w:t xml:space="preserve"> R</w:t>
      </w:r>
      <w:r w:rsidR="00A73647" w:rsidRPr="003945F4">
        <w:t>esponse</w:t>
      </w:r>
      <w:bookmarkEnd w:id="70"/>
      <w:bookmarkEnd w:id="71"/>
    </w:p>
    <w:p w14:paraId="591721E5" w14:textId="2340B82E" w:rsidR="00BA00E1" w:rsidRDefault="00BA00E1" w:rsidP="009A6C8A">
      <w:r w:rsidRPr="008C4706">
        <w:t>Respon</w:t>
      </w:r>
      <w:r w:rsidR="00D45D14">
        <w:t>se</w:t>
      </w:r>
      <w:r w:rsidRPr="008C4706">
        <w:t xml:space="preserve"> addresses the ability to direct, </w:t>
      </w:r>
      <w:r>
        <w:t>manage, and coordinate a response; manage resources; and provide emergency public information.  Participants will discuss those activities upon notification or when an outbreak occurs, which decrease time to make meaningful response impact and improve efficiency and effective internal and external partnerships.</w:t>
      </w:r>
      <w:r w:rsidR="00230686">
        <w:br/>
      </w:r>
    </w:p>
    <w:p w14:paraId="677C37EA" w14:textId="50E2D80F" w:rsidR="00BA00E1" w:rsidRPr="00A73647" w:rsidRDefault="00BA00E1" w:rsidP="009A6C8A">
      <w:pPr>
        <w:pStyle w:val="Heading3"/>
      </w:pPr>
      <w:bookmarkStart w:id="72" w:name="_Toc69913739"/>
      <w:bookmarkStart w:id="73" w:name="_Toc69914002"/>
      <w:r w:rsidRPr="00230686">
        <w:rPr>
          <w:b/>
          <w:bCs/>
        </w:rPr>
        <w:lastRenderedPageBreak/>
        <w:t xml:space="preserve">Mission </w:t>
      </w:r>
      <w:r w:rsidR="00A73647" w:rsidRPr="00230686">
        <w:rPr>
          <w:b/>
          <w:bCs/>
        </w:rPr>
        <w:t>A</w:t>
      </w:r>
      <w:r w:rsidRPr="00230686">
        <w:rPr>
          <w:b/>
          <w:bCs/>
        </w:rPr>
        <w:t xml:space="preserve">rea </w:t>
      </w:r>
      <w:r w:rsidR="00D45D14" w:rsidRPr="00230686">
        <w:rPr>
          <w:b/>
          <w:bCs/>
        </w:rPr>
        <w:t>5</w:t>
      </w:r>
      <w:r w:rsidRPr="00230686">
        <w:rPr>
          <w:b/>
          <w:bCs/>
        </w:rPr>
        <w:t>:</w:t>
      </w:r>
      <w:r w:rsidRPr="00A73647">
        <w:t xml:space="preserve"> R</w:t>
      </w:r>
      <w:r w:rsidR="00A73647">
        <w:t>e</w:t>
      </w:r>
      <w:r w:rsidRPr="00A73647">
        <w:t>cover</w:t>
      </w:r>
      <w:r w:rsidR="00D45D14" w:rsidRPr="00A73647">
        <w:t>y</w:t>
      </w:r>
      <w:bookmarkEnd w:id="72"/>
      <w:bookmarkEnd w:id="73"/>
    </w:p>
    <w:p w14:paraId="2379F12A" w14:textId="02FD31D1" w:rsidR="00BA00E1" w:rsidRDefault="00BA00E1" w:rsidP="009A6C8A">
      <w:r w:rsidRPr="00BA00E1">
        <w:t xml:space="preserve">Recovery addresses </w:t>
      </w:r>
      <w:r w:rsidR="00D45D14">
        <w:t xml:space="preserve">capabilities necessary </w:t>
      </w:r>
      <w:r w:rsidRPr="00BA00E1">
        <w:t xml:space="preserve">to sustain operations and </w:t>
      </w:r>
      <w:r w:rsidR="00D45D14">
        <w:t xml:space="preserve">assist communities affected by an incident to effectively recover and </w:t>
      </w:r>
      <w:r w:rsidRPr="00BA00E1">
        <w:t>return to normal activities.  Participants will discuss those activities that affect returning to normalcy, follow</w:t>
      </w:r>
      <w:r w:rsidR="001C2B3D">
        <w:t>-</w:t>
      </w:r>
      <w:r w:rsidRPr="00BA00E1">
        <w:t>up, and review of performance activities.</w:t>
      </w:r>
    </w:p>
    <w:p w14:paraId="768DEBF7" w14:textId="2124251E" w:rsidR="001029A9" w:rsidRPr="000527BD" w:rsidRDefault="001029A9" w:rsidP="009A6C8A">
      <w:pPr>
        <w:pStyle w:val="Heading2"/>
      </w:pPr>
      <w:bookmarkStart w:id="74" w:name="_Toc69913740"/>
      <w:bookmarkStart w:id="75" w:name="_Toc69914003"/>
      <w:r w:rsidRPr="000527BD">
        <w:t>Guidelines</w:t>
      </w:r>
      <w:bookmarkEnd w:id="74"/>
      <w:bookmarkEnd w:id="75"/>
    </w:p>
    <w:p w14:paraId="3DA25346" w14:textId="77777777" w:rsidR="001029A9" w:rsidRPr="001029A9" w:rsidRDefault="001029A9" w:rsidP="009A6C8A">
      <w:r w:rsidRPr="001029A9">
        <w:t xml:space="preserve">This exercise is designed to be held in an open, low-stress, no-fault environment. </w:t>
      </w:r>
      <w:r w:rsidR="004D765E">
        <w:t xml:space="preserve"> </w:t>
      </w:r>
      <w:r w:rsidRPr="001029A9">
        <w:t>Varying viewpoints, even disagreements, are expected.</w:t>
      </w:r>
    </w:p>
    <w:p w14:paraId="176177AE" w14:textId="77777777" w:rsidR="001029A9" w:rsidRPr="001029A9" w:rsidRDefault="001029A9" w:rsidP="009A6C8A">
      <w:r w:rsidRPr="001029A9">
        <w:t>Respond to the scenario using your knowledge of current plans and capabilities (i.e., you may only use existing assets)</w:t>
      </w:r>
      <w:r w:rsidR="00771311">
        <w:t>.</w:t>
      </w:r>
    </w:p>
    <w:p w14:paraId="1138FA1F" w14:textId="3F443E02" w:rsidR="001029A9" w:rsidRPr="001029A9" w:rsidRDefault="001029A9" w:rsidP="009A6C8A">
      <w:r w:rsidRPr="001029A9">
        <w:t>Decisions are not precedent</w:t>
      </w:r>
      <w:r w:rsidR="00C91184">
        <w:t>-</w:t>
      </w:r>
      <w:r w:rsidRPr="001029A9">
        <w:t xml:space="preserve">setting and may not reflect your organization’s final position on a given issue. </w:t>
      </w:r>
      <w:r w:rsidR="004D765E">
        <w:t xml:space="preserve"> </w:t>
      </w:r>
      <w:r w:rsidRPr="001029A9">
        <w:t>This exercise is an opportunity to discuss and present multiple options and possible solutions.</w:t>
      </w:r>
    </w:p>
    <w:p w14:paraId="51E03BAC" w14:textId="13D3382F" w:rsidR="001029A9" w:rsidRPr="001029A9" w:rsidRDefault="001029A9" w:rsidP="009A6C8A">
      <w:r w:rsidRPr="001029A9">
        <w:t>Issue identification is not as valuable as suggestions and recommended actions that could improve responder protection, information coordination, and response/recovery efforts. Problem-solving efforts should be the focus.</w:t>
      </w:r>
    </w:p>
    <w:p w14:paraId="225E091B" w14:textId="77777777" w:rsidR="001029A9" w:rsidRPr="00C4267B" w:rsidRDefault="001029A9" w:rsidP="009A6C8A">
      <w:pPr>
        <w:pStyle w:val="Heading2"/>
        <w:rPr>
          <w:color w:val="000066"/>
        </w:rPr>
      </w:pPr>
      <w:bookmarkStart w:id="76" w:name="_Toc69913741"/>
      <w:bookmarkStart w:id="77" w:name="_Toc69914004"/>
      <w:r w:rsidRPr="00C4267B">
        <w:t>Assumptions</w:t>
      </w:r>
      <w:r w:rsidRPr="00C4267B">
        <w:rPr>
          <w:spacing w:val="-18"/>
        </w:rPr>
        <w:t xml:space="preserve"> </w:t>
      </w:r>
      <w:r w:rsidRPr="00C4267B">
        <w:rPr>
          <w:spacing w:val="1"/>
        </w:rPr>
        <w:t>and</w:t>
      </w:r>
      <w:r w:rsidRPr="00C4267B">
        <w:rPr>
          <w:spacing w:val="-17"/>
        </w:rPr>
        <w:t xml:space="preserve"> </w:t>
      </w:r>
      <w:r w:rsidRPr="00C4267B">
        <w:t>Artificialities</w:t>
      </w:r>
      <w:bookmarkEnd w:id="76"/>
      <w:bookmarkEnd w:id="77"/>
    </w:p>
    <w:p w14:paraId="0C901F90" w14:textId="604BF201" w:rsidR="001029A9" w:rsidRPr="001029A9" w:rsidRDefault="001029A9" w:rsidP="009A6C8A">
      <w:r w:rsidRPr="001029A9">
        <w:t xml:space="preserve">As in any exercise, assumptions and artificialities may be necessary to complete play in the time allotted and/or account for logistical limitations. </w:t>
      </w:r>
      <w:r w:rsidR="004D765E">
        <w:t xml:space="preserve"> </w:t>
      </w:r>
      <w:r w:rsidRPr="001029A9">
        <w:t xml:space="preserve">Exercise participants should accept that assumptions and artificialities are inherent in any exercise and should not allow these considerations to negatively impact their participation. </w:t>
      </w:r>
      <w:r w:rsidR="004D765E">
        <w:t xml:space="preserve"> </w:t>
      </w:r>
      <w:r w:rsidRPr="001029A9">
        <w:t>During this exercise, the following apply:</w:t>
      </w:r>
    </w:p>
    <w:p w14:paraId="1017871F" w14:textId="44C434FE" w:rsidR="001029A9" w:rsidRDefault="001029A9" w:rsidP="009A6C8A">
      <w:pPr>
        <w:pStyle w:val="ListParagraph"/>
        <w:numPr>
          <w:ilvl w:val="0"/>
          <w:numId w:val="6"/>
        </w:numPr>
      </w:pPr>
      <w:r w:rsidRPr="001029A9">
        <w:t>The exercise is conducted in a no-fault learning environment wherein capabilities, plans, systems, and processes will be evaluated.</w:t>
      </w:r>
    </w:p>
    <w:p w14:paraId="3631CA38" w14:textId="051D5CC2" w:rsidR="00CA4B7F" w:rsidRDefault="00CA4B7F" w:rsidP="009A6C8A">
      <w:pPr>
        <w:pStyle w:val="ListParagraph"/>
        <w:numPr>
          <w:ilvl w:val="0"/>
          <w:numId w:val="6"/>
        </w:numPr>
      </w:pPr>
      <w:r>
        <w:t>Understanding of applicable policies, plans, and procedures</w:t>
      </w:r>
    </w:p>
    <w:p w14:paraId="527C3DA4" w14:textId="6749DD06" w:rsidR="00CA4B7F" w:rsidRPr="001029A9" w:rsidRDefault="00CA4B7F" w:rsidP="009A6C8A">
      <w:pPr>
        <w:pStyle w:val="ListParagraph"/>
        <w:numPr>
          <w:ilvl w:val="0"/>
          <w:numId w:val="6"/>
        </w:numPr>
      </w:pPr>
      <w:r>
        <w:t>Incident city, state, and region will be the focus of re</w:t>
      </w:r>
      <w:r w:rsidR="00B1376E">
        <w:t>sponse</w:t>
      </w:r>
      <w:r>
        <w:t>.</w:t>
      </w:r>
    </w:p>
    <w:p w14:paraId="71A75F64" w14:textId="0EAD3683" w:rsidR="001029A9" w:rsidRDefault="001029A9" w:rsidP="009A6C8A">
      <w:pPr>
        <w:pStyle w:val="ListParagraph"/>
        <w:numPr>
          <w:ilvl w:val="0"/>
          <w:numId w:val="6"/>
        </w:numPr>
      </w:pPr>
      <w:r w:rsidRPr="001029A9">
        <w:t>The exercise scenario is plausible, and events occur as presented.</w:t>
      </w:r>
    </w:p>
    <w:p w14:paraId="2610F6D0" w14:textId="363F17F5" w:rsidR="008A2518" w:rsidRPr="001029A9" w:rsidRDefault="008A2518" w:rsidP="009A6C8A">
      <w:pPr>
        <w:pStyle w:val="ListParagraph"/>
        <w:numPr>
          <w:ilvl w:val="0"/>
          <w:numId w:val="6"/>
        </w:numPr>
      </w:pPr>
      <w:r>
        <w:t>The exercise is limited to the available participants.</w:t>
      </w:r>
    </w:p>
    <w:p w14:paraId="3D0362D5" w14:textId="4F010BF7" w:rsidR="001029A9" w:rsidRDefault="001029A9" w:rsidP="009A6C8A">
      <w:pPr>
        <w:pStyle w:val="ListParagraph"/>
        <w:numPr>
          <w:ilvl w:val="0"/>
          <w:numId w:val="6"/>
        </w:numPr>
      </w:pPr>
      <w:r w:rsidRPr="001029A9">
        <w:t>All players receive information at the same time.</w:t>
      </w:r>
    </w:p>
    <w:p w14:paraId="3F3E740B" w14:textId="77777777" w:rsidR="00CB72E9" w:rsidRDefault="00CB72E9">
      <w:pPr>
        <w:tabs>
          <w:tab w:val="clear" w:pos="5130"/>
        </w:tabs>
        <w:spacing w:before="0" w:line="264" w:lineRule="auto"/>
        <w:rPr>
          <w:b/>
          <w:color w:val="256169"/>
          <w:sz w:val="48"/>
          <w:szCs w:val="48"/>
        </w:rPr>
      </w:pPr>
      <w:bookmarkStart w:id="78" w:name="_Toc69913742"/>
      <w:bookmarkStart w:id="79" w:name="_Toc69914005"/>
      <w:r>
        <w:br w:type="page"/>
      </w:r>
    </w:p>
    <w:p w14:paraId="50CCFB99" w14:textId="023ED357" w:rsidR="001029A9" w:rsidRPr="00C4267B" w:rsidRDefault="001029A9" w:rsidP="009A6C8A">
      <w:pPr>
        <w:pStyle w:val="Heading2"/>
      </w:pPr>
      <w:r w:rsidRPr="00C4267B">
        <w:lastRenderedPageBreak/>
        <w:t>Evaluation</w:t>
      </w:r>
      <w:bookmarkEnd w:id="78"/>
      <w:bookmarkEnd w:id="79"/>
    </w:p>
    <w:p w14:paraId="5660DF01" w14:textId="6A944B2E" w:rsidR="002C443B" w:rsidRDefault="001029A9" w:rsidP="009A6C8A">
      <w:r w:rsidRPr="001029A9">
        <w:t>Evaluation of the exercise is based on the exercise objectives, aligned capabilities, capability targets, and critical tasks</w:t>
      </w:r>
      <w:r w:rsidR="001B7C8B">
        <w:t xml:space="preserve">.  </w:t>
      </w:r>
      <w:r w:rsidR="00196152">
        <w:t xml:space="preserve">The Exercise Facilitator will conduct a </w:t>
      </w:r>
      <w:proofErr w:type="spellStart"/>
      <w:r w:rsidR="00196152">
        <w:t>Hotwash</w:t>
      </w:r>
      <w:proofErr w:type="spellEnd"/>
      <w:r w:rsidR="001C2B3D">
        <w:t>,</w:t>
      </w:r>
      <w:r w:rsidR="00196152">
        <w:t xml:space="preserve"> after </w:t>
      </w:r>
      <w:r w:rsidR="001C2B3D">
        <w:t xml:space="preserve">Exercise Director announces </w:t>
      </w:r>
      <w:r w:rsidR="00196152">
        <w:t>end</w:t>
      </w:r>
      <w:r w:rsidR="001C2B3D">
        <w:t xml:space="preserve"> </w:t>
      </w:r>
      <w:r w:rsidR="00196152">
        <w:t>of</w:t>
      </w:r>
      <w:r w:rsidR="001B68F1">
        <w:t xml:space="preserve"> exercise </w:t>
      </w:r>
      <w:r w:rsidR="001C2B3D">
        <w:t xml:space="preserve">(ENDEX), </w:t>
      </w:r>
      <w:r w:rsidR="001B68F1">
        <w:t xml:space="preserve">with all participants to </w:t>
      </w:r>
      <w:r w:rsidR="00196152">
        <w:t xml:space="preserve">discuss </w:t>
      </w:r>
      <w:r w:rsidR="001B68F1">
        <w:t xml:space="preserve">perspective </w:t>
      </w:r>
      <w:r w:rsidR="009B4CEA">
        <w:t xml:space="preserve">strengths, </w:t>
      </w:r>
      <w:r w:rsidR="001B68F1">
        <w:t>successful activities</w:t>
      </w:r>
      <w:r w:rsidR="009B4CEA">
        <w:t xml:space="preserve">, </w:t>
      </w:r>
      <w:r w:rsidR="001B68F1">
        <w:t xml:space="preserve">and areas for improvement.  Also, an </w:t>
      </w:r>
      <w:r w:rsidRPr="001029A9">
        <w:t>Exercise Participant Feedback Form</w:t>
      </w:r>
      <w:r w:rsidR="001B7C8B">
        <w:t xml:space="preserve"> </w:t>
      </w:r>
      <w:r w:rsidRPr="001029A9">
        <w:t xml:space="preserve">will be used for </w:t>
      </w:r>
      <w:r w:rsidR="001B68F1">
        <w:t>p</w:t>
      </w:r>
      <w:r w:rsidRPr="001029A9">
        <w:t>ost-</w:t>
      </w:r>
      <w:r w:rsidR="001B68F1">
        <w:t>e</w:t>
      </w:r>
      <w:r w:rsidRPr="001029A9">
        <w:t xml:space="preserve">xercise </w:t>
      </w:r>
      <w:r w:rsidR="001B68F1">
        <w:t>f</w:t>
      </w:r>
      <w:r w:rsidR="001B7C8B">
        <w:t>eedback</w:t>
      </w:r>
      <w:r>
        <w:t>.</w:t>
      </w:r>
      <w:bookmarkStart w:id="80" w:name="_Toc318372462"/>
      <w:bookmarkEnd w:id="58"/>
      <w:bookmarkEnd w:id="59"/>
      <w:r w:rsidR="001B68F1">
        <w:t xml:space="preserve">  </w:t>
      </w:r>
      <w:bookmarkStart w:id="81" w:name="_Hlk57028744"/>
      <w:r w:rsidR="00367F7D">
        <w:t>The</w:t>
      </w:r>
      <w:r w:rsidR="001B68F1">
        <w:t xml:space="preserve"> Lead Evaluator will prepare and distribute an ARGC TTX Summary Report.</w:t>
      </w:r>
      <w:bookmarkEnd w:id="80"/>
    </w:p>
    <w:bookmarkEnd w:id="81"/>
    <w:p w14:paraId="09B6A257" w14:textId="15324783" w:rsidR="002008C3" w:rsidRPr="002B7E79" w:rsidRDefault="004D0416" w:rsidP="00D02218">
      <w:pPr>
        <w:pStyle w:val="DPPParas"/>
        <w:tabs>
          <w:tab w:val="center" w:pos="5130"/>
        </w:tabs>
        <w:spacing w:after="120"/>
        <w:jc w:val="left"/>
        <w:rPr>
          <w:rFonts w:ascii="Arial" w:hAnsi="Arial" w:cs="Arial"/>
        </w:rPr>
        <w:sectPr w:rsidR="002008C3" w:rsidRPr="002B7E79" w:rsidSect="0010002E">
          <w:footerReference w:type="default" r:id="rId14"/>
          <w:pgSz w:w="12240" w:h="15840" w:code="1"/>
          <w:pgMar w:top="900" w:right="864" w:bottom="288" w:left="1008" w:header="432" w:footer="576" w:gutter="0"/>
          <w:pgNumType w:start="1"/>
          <w:cols w:space="720"/>
          <w:docGrid w:linePitch="360"/>
        </w:sectPr>
      </w:pPr>
      <w:r>
        <w:rPr>
          <w:rFonts w:ascii="Arial" w:hAnsi="Arial" w:cs="Arial"/>
        </w:rPr>
        <w:br w:type="page"/>
      </w:r>
    </w:p>
    <w:p w14:paraId="27FABD28" w14:textId="549D6907" w:rsidR="0011240D" w:rsidRDefault="00494275" w:rsidP="009A6C8A">
      <w:pPr>
        <w:pStyle w:val="Heading2"/>
      </w:pPr>
      <w:bookmarkStart w:id="82" w:name="_Toc69913743"/>
      <w:bookmarkStart w:id="83" w:name="_Toc69914006"/>
      <w:r w:rsidRPr="00494275">
        <w:lastRenderedPageBreak/>
        <w:t xml:space="preserve">Appendix A:  </w:t>
      </w:r>
      <w:r w:rsidR="00077961">
        <w:t xml:space="preserve">ARGC </w:t>
      </w:r>
      <w:r w:rsidR="006C5F71">
        <w:t>TTX Scenario</w:t>
      </w:r>
      <w:bookmarkEnd w:id="82"/>
      <w:bookmarkEnd w:id="83"/>
    </w:p>
    <w:p w14:paraId="66928B31" w14:textId="3FE531AD" w:rsidR="00932527" w:rsidRPr="00327FD1" w:rsidRDefault="00E55AC0" w:rsidP="009A6C8A">
      <w:pPr>
        <w:pStyle w:val="Heading3"/>
      </w:pPr>
      <w:bookmarkStart w:id="84" w:name="_Toc69913744"/>
      <w:bookmarkStart w:id="85" w:name="_Toc69914007"/>
      <w:r w:rsidRPr="00327FD1">
        <w:t>Antibiotic</w:t>
      </w:r>
      <w:r w:rsidR="00EB0707">
        <w:t>-</w:t>
      </w:r>
      <w:r w:rsidRPr="00327FD1">
        <w:t>Resistant Gonorrhea Tabletop Exercise</w:t>
      </w:r>
      <w:r>
        <w:t xml:space="preserve"> </w:t>
      </w:r>
      <w:r w:rsidRPr="00327FD1">
        <w:t>Scenario</w:t>
      </w:r>
      <w:bookmarkEnd w:id="84"/>
      <w:bookmarkEnd w:id="85"/>
    </w:p>
    <w:p w14:paraId="5FF0AF6E" w14:textId="56AF9901" w:rsidR="00932527" w:rsidRPr="001810B6" w:rsidRDefault="00932527" w:rsidP="009A6C8A">
      <w:pPr>
        <w:rPr>
          <w:rStyle w:val="HeadingFour"/>
        </w:rPr>
      </w:pPr>
      <w:r w:rsidRPr="001810B6">
        <w:rPr>
          <w:rStyle w:val="HeadingFour"/>
        </w:rPr>
        <w:t>MODULE 1:</w:t>
      </w:r>
      <w:r w:rsidR="00DF5332" w:rsidRPr="001810B6">
        <w:rPr>
          <w:rStyle w:val="HeadingFour"/>
        </w:rPr>
        <w:t xml:space="preserve"> </w:t>
      </w:r>
      <w:r w:rsidRPr="001810B6">
        <w:rPr>
          <w:rStyle w:val="HeadingFour"/>
        </w:rPr>
        <w:t>Preparedness</w:t>
      </w:r>
    </w:p>
    <w:p w14:paraId="2F86EEB8" w14:textId="74196649" w:rsidR="00932527" w:rsidRPr="001810B6" w:rsidRDefault="00932527" w:rsidP="009A6C8A">
      <w:pPr>
        <w:pStyle w:val="HeadingFive"/>
      </w:pPr>
      <w:r w:rsidRPr="001810B6">
        <w:t>Scenario:</w:t>
      </w:r>
    </w:p>
    <w:p w14:paraId="42ABEA3B" w14:textId="4F17A229" w:rsidR="00B51BDB" w:rsidRDefault="00B51BDB" w:rsidP="00151485">
      <w:pPr>
        <w:spacing w:after="200"/>
      </w:pPr>
      <w:r w:rsidRPr="00753A32">
        <w:t>Over the previous two weeks, the [</w:t>
      </w:r>
      <w:r w:rsidRPr="00CC4865">
        <w:rPr>
          <w:i/>
          <w:iCs/>
          <w:color w:val="FF0000"/>
        </w:rPr>
        <w:t>insert state name</w:t>
      </w:r>
      <w:r w:rsidRPr="00753A32">
        <w:t>] State Health Department STD program director was contacted by clinicians from three different community clinics (Clinics A, B, and C) in [</w:t>
      </w:r>
      <w:r w:rsidRPr="00CC4865">
        <w:rPr>
          <w:i/>
          <w:iCs/>
          <w:color w:val="FF0000"/>
        </w:rPr>
        <w:t>insert location</w:t>
      </w:r>
      <w:r w:rsidRPr="00753A32">
        <w:t>]. Each clinician described seeing a patient diagnosed with gonorrhea (by nucleic acid amplification test [NAAT]) who returned to the clinic with persistent symptoms, despite having been treated with the CDC-recommended therapy [</w:t>
      </w:r>
      <w:r w:rsidRPr="00CC4865">
        <w:rPr>
          <w:i/>
          <w:iCs/>
          <w:color w:val="FF0000"/>
        </w:rPr>
        <w:t>insert currently recommended therapy</w:t>
      </w:r>
      <w:r w:rsidRPr="00753A32">
        <w:t>]. Patients 1 and 2 are cisgender m</w:t>
      </w:r>
      <w:r>
        <w:t>en</w:t>
      </w:r>
      <w:r w:rsidRPr="00753A32">
        <w:t xml:space="preserve">; Patient 3 is </w:t>
      </w:r>
      <w:r>
        <w:t xml:space="preserve">a </w:t>
      </w:r>
      <w:r w:rsidRPr="00753A32">
        <w:t xml:space="preserve">cisgender </w:t>
      </w:r>
      <w:r>
        <w:t>woman</w:t>
      </w:r>
      <w:r w:rsidRPr="00753A32">
        <w:t xml:space="preserve">. </w:t>
      </w:r>
    </w:p>
    <w:p w14:paraId="5845BB5D" w14:textId="77777777" w:rsidR="00B51BDB" w:rsidRPr="005E444D" w:rsidRDefault="00B51BDB" w:rsidP="00151485">
      <w:pPr>
        <w:spacing w:after="200"/>
      </w:pPr>
      <w:r w:rsidRPr="00753A32">
        <w:t>Last week, a previously healthy 34-year-old cisgender m</w:t>
      </w:r>
      <w:r>
        <w:t>an</w:t>
      </w:r>
      <w:r w:rsidRPr="00753A32">
        <w:t xml:space="preserve"> presented to the [insert clinic name] STD clinic and reported a three-day history of purulent urethral discharge and dysuria (painful urination) (Patient 4). He reported </w:t>
      </w:r>
      <w:proofErr w:type="spellStart"/>
      <w:r w:rsidRPr="00753A32">
        <w:t>condomless</w:t>
      </w:r>
      <w:proofErr w:type="spellEnd"/>
      <w:r w:rsidRPr="00753A32">
        <w:t xml:space="preserve"> </w:t>
      </w:r>
      <w:proofErr w:type="spellStart"/>
      <w:r w:rsidRPr="00753A32">
        <w:t>insertive</w:t>
      </w:r>
      <w:proofErr w:type="spellEnd"/>
      <w:r w:rsidRPr="00753A32">
        <w:t xml:space="preserve"> vaginal sex and received oral sex (fellatio) from two casual female sex partners during the prior week. The clinician collected a urethral swab for Gram stain, visualized Gram-negative diplococci by microscopy, and diagnosed the patient with gonorrhea. The patient was treated with the CDC-recommended therapy. Seven days later, the patient returned to the clinic. He described worsening urethral symptoms and denied any sexual encounters since his last visit. You are concerned that these patients might have experienced treatment failure due to antibiotic resistance.</w:t>
      </w:r>
    </w:p>
    <w:p w14:paraId="1A5352A0" w14:textId="6E674D2B" w:rsidR="00753A32" w:rsidRDefault="00793309" w:rsidP="009A6C8A">
      <w:pPr>
        <w:pStyle w:val="HeadingFive"/>
      </w:pPr>
      <w:r w:rsidRPr="007D51B9">
        <w:t>Questions:</w:t>
      </w:r>
    </w:p>
    <w:p w14:paraId="0EC881DD" w14:textId="228AA666" w:rsidR="001B402E" w:rsidRPr="00793309" w:rsidRDefault="00793309" w:rsidP="009A6C8A">
      <w:pPr>
        <w:pStyle w:val="ListParagraph"/>
        <w:numPr>
          <w:ilvl w:val="0"/>
          <w:numId w:val="17"/>
        </w:numPr>
      </w:pPr>
      <w:r w:rsidRPr="00793309">
        <w:t xml:space="preserve">Based on your current ceftriaxone-resistant gonorrhea outbreak plan, would such a scenario trigger any communication between the state health department and the local health department? If not, should they?  </w:t>
      </w:r>
    </w:p>
    <w:p w14:paraId="44AA5D77" w14:textId="503815BB" w:rsidR="00793309" w:rsidRPr="00793309" w:rsidRDefault="00793309" w:rsidP="009A6C8A">
      <w:pPr>
        <w:pStyle w:val="ListParagraph"/>
        <w:numPr>
          <w:ilvl w:val="0"/>
          <w:numId w:val="17"/>
        </w:numPr>
      </w:pPr>
      <w:r w:rsidRPr="00793309">
        <w:t xml:space="preserve">Would these cases be classified as an outbreak? </w:t>
      </w:r>
    </w:p>
    <w:p w14:paraId="56D071A0" w14:textId="46E46593" w:rsidR="00793309" w:rsidRPr="00793309" w:rsidRDefault="00793309" w:rsidP="009A6C8A">
      <w:pPr>
        <w:pStyle w:val="ListParagraph"/>
        <w:numPr>
          <w:ilvl w:val="0"/>
          <w:numId w:val="17"/>
        </w:numPr>
      </w:pPr>
      <w:r w:rsidRPr="00793309">
        <w:t>Next steps</w:t>
      </w:r>
    </w:p>
    <w:p w14:paraId="15A3E756" w14:textId="4D9C9A7B" w:rsidR="00793309" w:rsidRPr="00793309" w:rsidRDefault="00793309" w:rsidP="009A6C8A">
      <w:pPr>
        <w:pStyle w:val="ListParagraph"/>
        <w:numPr>
          <w:ilvl w:val="0"/>
          <w:numId w:val="29"/>
        </w:numPr>
      </w:pPr>
      <w:r w:rsidRPr="00793309">
        <w:t xml:space="preserve">What actions would the state health department take, if any? </w:t>
      </w:r>
    </w:p>
    <w:p w14:paraId="4BEE8A69" w14:textId="0BE0CEDC" w:rsidR="00793309" w:rsidRPr="00793309" w:rsidRDefault="00793309" w:rsidP="009A6C8A">
      <w:pPr>
        <w:pStyle w:val="ListParagraph"/>
        <w:numPr>
          <w:ilvl w:val="0"/>
          <w:numId w:val="29"/>
        </w:numPr>
      </w:pPr>
      <w:r w:rsidRPr="00793309">
        <w:t xml:space="preserve">What actions would the local health department take, if any? </w:t>
      </w:r>
    </w:p>
    <w:p w14:paraId="54F78501" w14:textId="77777777" w:rsidR="001B402E" w:rsidRDefault="00793309" w:rsidP="009A6C8A">
      <w:pPr>
        <w:pStyle w:val="ListParagraph"/>
        <w:numPr>
          <w:ilvl w:val="0"/>
          <w:numId w:val="29"/>
        </w:numPr>
      </w:pPr>
      <w:r w:rsidRPr="00793309">
        <w:t xml:space="preserve">What guidance, if any, will be provided to these clinicians and to these patients with persistent symptoms? </w:t>
      </w:r>
    </w:p>
    <w:p w14:paraId="0C086402" w14:textId="356A9589" w:rsidR="00793309" w:rsidRPr="001B402E" w:rsidRDefault="00793309" w:rsidP="00BD5C2D">
      <w:pPr>
        <w:pStyle w:val="ListParagraph"/>
        <w:numPr>
          <w:ilvl w:val="0"/>
          <w:numId w:val="29"/>
        </w:numPr>
        <w:spacing w:after="720"/>
      </w:pPr>
      <w:r w:rsidRPr="001B402E">
        <w:t>If guidance is provided, who will provide the guidance?</w:t>
      </w:r>
    </w:p>
    <w:p w14:paraId="19983965" w14:textId="54317674" w:rsidR="001B402E" w:rsidRPr="00642F99" w:rsidRDefault="001B402E" w:rsidP="00BD5C2D">
      <w:pPr>
        <w:ind w:left="720"/>
      </w:pPr>
      <w:r w:rsidRPr="00642F99">
        <w:lastRenderedPageBreak/>
        <w:t>FACILITATOR PROBES for Question 3:</w:t>
      </w:r>
    </w:p>
    <w:p w14:paraId="1A2F4275" w14:textId="77777777" w:rsidR="001B402E" w:rsidRPr="00642F99" w:rsidRDefault="001B402E" w:rsidP="009A6C8A">
      <w:pPr>
        <w:pStyle w:val="ListParagraph"/>
        <w:numPr>
          <w:ilvl w:val="0"/>
          <w:numId w:val="18"/>
        </w:numPr>
      </w:pPr>
      <w:r w:rsidRPr="00642F99">
        <w:t>Are there state and/or local health department protocols for responding to potential gonorrhea treatment failure cases?  What are these protocols?  Would you follow those protocols in this scenario?</w:t>
      </w:r>
    </w:p>
    <w:p w14:paraId="5D143B72" w14:textId="77777777" w:rsidR="001B402E" w:rsidRPr="00642F99" w:rsidRDefault="001B402E" w:rsidP="009A6C8A">
      <w:pPr>
        <w:pStyle w:val="ListParagraph"/>
        <w:numPr>
          <w:ilvl w:val="0"/>
          <w:numId w:val="18"/>
        </w:numPr>
      </w:pPr>
      <w:r w:rsidRPr="00642F99">
        <w:t xml:space="preserve">What action(s), if any, would the state and local health departments take to determine whether these are reinfections or treatment failures due to antimicrobial resistance? </w:t>
      </w:r>
    </w:p>
    <w:p w14:paraId="5242857A" w14:textId="77777777" w:rsidR="001B402E" w:rsidRPr="00642F99" w:rsidRDefault="001B402E" w:rsidP="009A6C8A">
      <w:pPr>
        <w:pStyle w:val="ListParagraph"/>
        <w:numPr>
          <w:ilvl w:val="1"/>
          <w:numId w:val="18"/>
        </w:numPr>
      </w:pPr>
      <w:r w:rsidRPr="00642F99">
        <w:t xml:space="preserve">Will antimicrobial susceptibility testing be performed on specimens from these patients? </w:t>
      </w:r>
    </w:p>
    <w:p w14:paraId="141AEE5A" w14:textId="77777777" w:rsidR="001B402E" w:rsidRPr="00642F99" w:rsidRDefault="001B402E" w:rsidP="009A6C8A">
      <w:pPr>
        <w:pStyle w:val="ListParagraph"/>
        <w:numPr>
          <w:ilvl w:val="2"/>
          <w:numId w:val="18"/>
        </w:numPr>
      </w:pPr>
      <w:r w:rsidRPr="00642F99">
        <w:t xml:space="preserve">If so, </w:t>
      </w:r>
      <w:proofErr w:type="gramStart"/>
      <w:r w:rsidRPr="00642F99">
        <w:t>how</w:t>
      </w:r>
      <w:proofErr w:type="gramEnd"/>
      <w:r w:rsidRPr="00642F99">
        <w:t xml:space="preserve"> and where will specimen collection and laboratory testing occur?  </w:t>
      </w:r>
    </w:p>
    <w:p w14:paraId="076CDB50" w14:textId="77777777" w:rsidR="001B402E" w:rsidRPr="00642F99" w:rsidRDefault="001B402E" w:rsidP="009A6C8A">
      <w:pPr>
        <w:pStyle w:val="ListParagraph"/>
        <w:numPr>
          <w:ilvl w:val="2"/>
          <w:numId w:val="18"/>
        </w:numPr>
      </w:pPr>
      <w:r w:rsidRPr="00642F99">
        <w:t xml:space="preserve">What antibiotics would be included in the laboratory susceptibility testing? </w:t>
      </w:r>
    </w:p>
    <w:p w14:paraId="7BAB3E29" w14:textId="77777777" w:rsidR="001B402E" w:rsidRPr="00642F99" w:rsidRDefault="001B402E" w:rsidP="009A6C8A">
      <w:pPr>
        <w:pStyle w:val="ListParagraph"/>
        <w:numPr>
          <w:ilvl w:val="1"/>
          <w:numId w:val="18"/>
        </w:numPr>
      </w:pPr>
      <w:r w:rsidRPr="00642F99">
        <w:t xml:space="preserve">Do culture collection materials need to be provided to the clinicians? </w:t>
      </w:r>
    </w:p>
    <w:p w14:paraId="18B4AA7E" w14:textId="77777777" w:rsidR="001B402E" w:rsidRPr="00642F99" w:rsidRDefault="001B402E" w:rsidP="009A6C8A">
      <w:pPr>
        <w:pStyle w:val="ListParagraph"/>
        <w:numPr>
          <w:ilvl w:val="2"/>
          <w:numId w:val="18"/>
        </w:numPr>
      </w:pPr>
      <w:r w:rsidRPr="00642F99">
        <w:t xml:space="preserve">If so, how and by whom will they be provided? </w:t>
      </w:r>
    </w:p>
    <w:p w14:paraId="2DE47EE3" w14:textId="77777777" w:rsidR="001B402E" w:rsidRPr="00642F99" w:rsidRDefault="001B402E" w:rsidP="009A6C8A">
      <w:pPr>
        <w:pStyle w:val="ListParagraph"/>
        <w:numPr>
          <w:ilvl w:val="2"/>
          <w:numId w:val="18"/>
        </w:numPr>
      </w:pPr>
      <w:r w:rsidRPr="00642F99">
        <w:t xml:space="preserve">Does transportation of specimens to the laboratory need to be arranged and coordinated? </w:t>
      </w:r>
    </w:p>
    <w:p w14:paraId="7C3E1468" w14:textId="77777777" w:rsidR="001B402E" w:rsidRPr="00642F99" w:rsidRDefault="001B402E" w:rsidP="009A6C8A">
      <w:pPr>
        <w:pStyle w:val="ListParagraph"/>
        <w:numPr>
          <w:ilvl w:val="2"/>
          <w:numId w:val="18"/>
        </w:numPr>
      </w:pPr>
      <w:r w:rsidRPr="00642F99">
        <w:t xml:space="preserve">If so, how and by whom? </w:t>
      </w:r>
    </w:p>
    <w:p w14:paraId="481FFDF6" w14:textId="77777777" w:rsidR="001B402E" w:rsidRPr="00642F99" w:rsidRDefault="001B402E" w:rsidP="009A6C8A">
      <w:pPr>
        <w:pStyle w:val="ListParagraph"/>
        <w:numPr>
          <w:ilvl w:val="0"/>
          <w:numId w:val="18"/>
        </w:numPr>
      </w:pPr>
      <w:r w:rsidRPr="00642F99">
        <w:t xml:space="preserve">How would these patients be clinically managed? </w:t>
      </w:r>
    </w:p>
    <w:p w14:paraId="5BDDDB25" w14:textId="77777777" w:rsidR="001B402E" w:rsidRPr="00642F99" w:rsidRDefault="001B402E" w:rsidP="009A6C8A">
      <w:pPr>
        <w:pStyle w:val="ListParagraph"/>
        <w:numPr>
          <w:ilvl w:val="1"/>
          <w:numId w:val="18"/>
        </w:numPr>
      </w:pPr>
      <w:r w:rsidRPr="00642F99">
        <w:t xml:space="preserve">Consider whether re-treatment, additional testing at other anatomic sites of exposure or for other infections, or follow-up testing will be performed. </w:t>
      </w:r>
    </w:p>
    <w:p w14:paraId="56768597" w14:textId="77777777" w:rsidR="001B402E" w:rsidRPr="00642F99" w:rsidRDefault="001B402E" w:rsidP="009A6C8A">
      <w:pPr>
        <w:pStyle w:val="ListParagraph"/>
        <w:numPr>
          <w:ilvl w:val="1"/>
          <w:numId w:val="18"/>
        </w:numPr>
      </w:pPr>
      <w:r w:rsidRPr="00642F99">
        <w:t>Does the anatomic site of infection influence the management approach?</w:t>
      </w:r>
    </w:p>
    <w:p w14:paraId="2C03F331" w14:textId="03F66899" w:rsidR="001B402E" w:rsidRPr="00642F99" w:rsidRDefault="001B402E" w:rsidP="009A6C8A">
      <w:pPr>
        <w:pStyle w:val="ListParagraph"/>
        <w:numPr>
          <w:ilvl w:val="0"/>
          <w:numId w:val="18"/>
        </w:numPr>
      </w:pPr>
      <w:r w:rsidRPr="00642F99">
        <w:t>Will STD disease in</w:t>
      </w:r>
      <w:r w:rsidR="00EB0707">
        <w:t>tervention</w:t>
      </w:r>
      <w:r w:rsidRPr="00642F99">
        <w:t xml:space="preserve"> specialists (DIS) have a role in responding to these cases?</w:t>
      </w:r>
    </w:p>
    <w:p w14:paraId="2723DA50" w14:textId="77777777" w:rsidR="001B402E" w:rsidRPr="00642F99" w:rsidRDefault="001B402E" w:rsidP="009A6C8A">
      <w:pPr>
        <w:pStyle w:val="ListParagraph"/>
        <w:numPr>
          <w:ilvl w:val="1"/>
          <w:numId w:val="18"/>
        </w:numPr>
      </w:pPr>
      <w:r w:rsidRPr="00642F99">
        <w:t>If so, what activities will they conduct?</w:t>
      </w:r>
    </w:p>
    <w:p w14:paraId="66185932" w14:textId="77777777" w:rsidR="001B402E" w:rsidRPr="00642F99" w:rsidRDefault="001B402E" w:rsidP="009A6C8A">
      <w:pPr>
        <w:pStyle w:val="ListParagraph"/>
        <w:numPr>
          <w:ilvl w:val="1"/>
          <w:numId w:val="18"/>
        </w:numPr>
      </w:pPr>
      <w:r w:rsidRPr="00642F99">
        <w:t>What messaging will they provide to patients?</w:t>
      </w:r>
    </w:p>
    <w:p w14:paraId="4AACFECD" w14:textId="4BD24A42" w:rsidR="001B402E" w:rsidRDefault="001B402E" w:rsidP="009A6C8A">
      <w:pPr>
        <w:pStyle w:val="ListParagraph"/>
        <w:numPr>
          <w:ilvl w:val="1"/>
          <w:numId w:val="18"/>
        </w:numPr>
      </w:pPr>
      <w:r w:rsidRPr="00642F99">
        <w:t>What, if any, additional information will they collect from and about these patients and their sex partners?</w:t>
      </w:r>
    </w:p>
    <w:p w14:paraId="485C9B00" w14:textId="77777777" w:rsidR="001B402E" w:rsidRPr="001B402E" w:rsidRDefault="001B402E" w:rsidP="009A6C8A">
      <w:pPr>
        <w:pStyle w:val="ListParagraph"/>
        <w:numPr>
          <w:ilvl w:val="0"/>
          <w:numId w:val="17"/>
        </w:numPr>
      </w:pPr>
      <w:r w:rsidRPr="001B402E">
        <w:t xml:space="preserve">Is there a threshold for triggering a local or state incident command system (ICS) for an outbreak of antibiotic-resistant gonorrhea? </w:t>
      </w:r>
    </w:p>
    <w:p w14:paraId="2C8B8242" w14:textId="6CD08137" w:rsidR="001B402E" w:rsidRPr="001B402E" w:rsidRDefault="001B402E" w:rsidP="009A6C8A">
      <w:pPr>
        <w:pStyle w:val="ListParagraph"/>
        <w:numPr>
          <w:ilvl w:val="1"/>
          <w:numId w:val="17"/>
        </w:numPr>
      </w:pPr>
      <w:r w:rsidRPr="001B402E">
        <w:t xml:space="preserve">If so, would the local and/or state ICS be triggered at this point?  </w:t>
      </w:r>
    </w:p>
    <w:p w14:paraId="498F9822" w14:textId="5DB1CCB6" w:rsidR="001B402E" w:rsidRPr="001B402E" w:rsidRDefault="001B402E" w:rsidP="009A6C8A">
      <w:pPr>
        <w:pStyle w:val="ListParagraph"/>
        <w:numPr>
          <w:ilvl w:val="1"/>
          <w:numId w:val="17"/>
        </w:numPr>
      </w:pPr>
      <w:r w:rsidRPr="001B402E">
        <w:t xml:space="preserve">If so, what components of ICS would be activated at this time at the state level? At the local level? </w:t>
      </w:r>
    </w:p>
    <w:p w14:paraId="0E414382" w14:textId="157B9E30" w:rsidR="001B402E" w:rsidRDefault="001B402E" w:rsidP="009A6C8A">
      <w:pPr>
        <w:pStyle w:val="ListParagraph"/>
        <w:numPr>
          <w:ilvl w:val="0"/>
          <w:numId w:val="17"/>
        </w:numPr>
      </w:pPr>
      <w:r w:rsidRPr="001B402E">
        <w:t xml:space="preserve">What communication activities, if any, are undertaken?  Consider whether to, when, and/or how to communicate with CDC, the local or state health department, local or state government officials, health departments of neighboring counties/states, the </w:t>
      </w:r>
      <w:proofErr w:type="gramStart"/>
      <w:r w:rsidRPr="001B402E">
        <w:t>general public</w:t>
      </w:r>
      <w:proofErr w:type="gramEnd"/>
      <w:r w:rsidRPr="001B402E">
        <w:t xml:space="preserve">, local healthcare providers, and the media. </w:t>
      </w:r>
    </w:p>
    <w:p w14:paraId="76EDC7C6" w14:textId="3F37A0F4" w:rsidR="001B402E" w:rsidRPr="001B402E" w:rsidRDefault="001B402E" w:rsidP="009A6C8A">
      <w:pPr>
        <w:pStyle w:val="ListParagraph"/>
        <w:numPr>
          <w:ilvl w:val="1"/>
          <w:numId w:val="17"/>
        </w:numPr>
      </w:pPr>
      <w:r w:rsidRPr="001B402E">
        <w:t>Who will be responsible for leading and/or clearing (approving) messaging?</w:t>
      </w:r>
    </w:p>
    <w:p w14:paraId="1B15EED1" w14:textId="1A3B923D" w:rsidR="001B402E" w:rsidRPr="001B402E" w:rsidRDefault="001B402E" w:rsidP="009A6C8A">
      <w:pPr>
        <w:pStyle w:val="ListParagraph"/>
        <w:numPr>
          <w:ilvl w:val="0"/>
          <w:numId w:val="17"/>
        </w:numPr>
      </w:pPr>
      <w:r w:rsidRPr="001B402E">
        <w:t xml:space="preserve">What, if any, other public health activities would this scenario trigger at the state level? At the local level? </w:t>
      </w:r>
    </w:p>
    <w:p w14:paraId="33779361" w14:textId="7A65DB0A" w:rsidR="001B402E" w:rsidRPr="001B402E" w:rsidRDefault="001B402E" w:rsidP="009A6C8A">
      <w:pPr>
        <w:pStyle w:val="ListParagraph"/>
        <w:numPr>
          <w:ilvl w:val="1"/>
          <w:numId w:val="17"/>
        </w:numPr>
      </w:pPr>
      <w:r w:rsidRPr="001B402E">
        <w:lastRenderedPageBreak/>
        <w:t xml:space="preserve">Would changes to surveillance be considered (such as implementing and monitoring of test of cure results for cases of gonorrhea, expanded specimen collection for culture and antimicrobial susceptibility testing, initiating molecular surveillance, etc.)? </w:t>
      </w:r>
    </w:p>
    <w:p w14:paraId="0D5DC6B5" w14:textId="69A85946" w:rsidR="001B402E" w:rsidRPr="001B402E" w:rsidRDefault="001B402E" w:rsidP="009A6C8A">
      <w:pPr>
        <w:pStyle w:val="ListParagraph"/>
        <w:numPr>
          <w:ilvl w:val="1"/>
          <w:numId w:val="17"/>
        </w:numPr>
      </w:pPr>
      <w:r w:rsidRPr="001B402E">
        <w:t xml:space="preserve">Would local or state clinical guidance change? </w:t>
      </w:r>
    </w:p>
    <w:p w14:paraId="7C12E8B9" w14:textId="51FC7CF2" w:rsidR="001B402E" w:rsidRPr="00642F99" w:rsidRDefault="001B402E" w:rsidP="00BD5C2D">
      <w:pPr>
        <w:ind w:left="720"/>
      </w:pPr>
      <w:r w:rsidRPr="00642F99">
        <w:t>FACILITATOR PROBES for Questions 6:</w:t>
      </w:r>
    </w:p>
    <w:p w14:paraId="4E1B4CBC" w14:textId="77777777" w:rsidR="001B402E" w:rsidRPr="00642F99" w:rsidRDefault="001B402E" w:rsidP="009A6C8A">
      <w:pPr>
        <w:pStyle w:val="ListParagraph"/>
        <w:numPr>
          <w:ilvl w:val="0"/>
          <w:numId w:val="20"/>
        </w:numPr>
      </w:pPr>
      <w:r w:rsidRPr="00642F99">
        <w:t>Would the health department guidance change for any of the following?</w:t>
      </w:r>
    </w:p>
    <w:p w14:paraId="46354553" w14:textId="77777777" w:rsidR="001B402E" w:rsidRPr="00642F99" w:rsidRDefault="001B402E" w:rsidP="009A6C8A">
      <w:pPr>
        <w:pStyle w:val="ListParagraph"/>
        <w:numPr>
          <w:ilvl w:val="1"/>
          <w:numId w:val="20"/>
        </w:numPr>
      </w:pPr>
      <w:r w:rsidRPr="00642F99">
        <w:t>Gonorrhea diagnostic screening or testing practices (including testing at different anatomic sites)</w:t>
      </w:r>
    </w:p>
    <w:p w14:paraId="3B8B8951" w14:textId="77777777" w:rsidR="001B402E" w:rsidRPr="00642F99" w:rsidRDefault="001B402E" w:rsidP="009A6C8A">
      <w:pPr>
        <w:pStyle w:val="ListParagraph"/>
        <w:numPr>
          <w:ilvl w:val="1"/>
          <w:numId w:val="20"/>
        </w:numPr>
      </w:pPr>
      <w:r w:rsidRPr="00642F99">
        <w:t>Antibiotic susceptibility testing</w:t>
      </w:r>
    </w:p>
    <w:p w14:paraId="771012D3" w14:textId="77777777" w:rsidR="001B402E" w:rsidRPr="00642F99" w:rsidRDefault="001B402E" w:rsidP="009A6C8A">
      <w:pPr>
        <w:pStyle w:val="ListParagraph"/>
        <w:numPr>
          <w:ilvl w:val="1"/>
          <w:numId w:val="20"/>
        </w:numPr>
      </w:pPr>
      <w:r w:rsidRPr="00642F99">
        <w:t>Treatment recommendations</w:t>
      </w:r>
    </w:p>
    <w:p w14:paraId="30B7C799" w14:textId="614466A1" w:rsidR="001B402E" w:rsidRPr="00642F99" w:rsidRDefault="001B402E" w:rsidP="009A6C8A">
      <w:pPr>
        <w:pStyle w:val="ListParagraph"/>
        <w:numPr>
          <w:ilvl w:val="1"/>
          <w:numId w:val="20"/>
        </w:numPr>
      </w:pPr>
      <w:r w:rsidRPr="00642F99">
        <w:t xml:space="preserve">Recommendations for follow-up care (including tests of cure) </w:t>
      </w:r>
    </w:p>
    <w:p w14:paraId="5F419BD7" w14:textId="53BB2A9C" w:rsidR="001B402E" w:rsidRPr="001B402E" w:rsidRDefault="001B402E" w:rsidP="009A6C8A">
      <w:pPr>
        <w:pStyle w:val="ListParagraph"/>
        <w:numPr>
          <w:ilvl w:val="0"/>
          <w:numId w:val="20"/>
        </w:numPr>
      </w:pPr>
      <w:r w:rsidRPr="00642F99">
        <w:t>If so, how would local healthcare providers be notified about these changes?</w:t>
      </w:r>
    </w:p>
    <w:p w14:paraId="0D743F5C" w14:textId="1E87ED8C" w:rsidR="000E5FF5" w:rsidRPr="000E5FF5" w:rsidRDefault="00B51BDB" w:rsidP="00EB0707">
      <w:r>
        <w:t>(O</w:t>
      </w:r>
      <w:r w:rsidR="000E5FF5" w:rsidRPr="000E5FF5">
        <w:t>ptional)</w:t>
      </w:r>
    </w:p>
    <w:p w14:paraId="1D5D5866" w14:textId="77777777" w:rsidR="00104067" w:rsidRDefault="00B51BDB" w:rsidP="009A6C8A">
      <w:r w:rsidRPr="000E5FF5">
        <w:t xml:space="preserve">For an added level of difficulty, the exercise directors can choose to include this additional part of the scenario. If this is included, do not share this erratum with the exercise participants before the exercise, and only share with participants after groups have attempted to respond to questions 1-6 below. Once participants have reviewed the erratum, they can reflect on how this new information might further inform next steps.  </w:t>
      </w:r>
    </w:p>
    <w:p w14:paraId="68D61BE1" w14:textId="36D4D0DC" w:rsidR="00B51BDB" w:rsidRPr="000E5FF5" w:rsidRDefault="00B51BDB" w:rsidP="009A6C8A">
      <w:r w:rsidRPr="000E5FF5">
        <w:t>This morning, two reporters (one from the [</w:t>
      </w:r>
      <w:r w:rsidRPr="000E5FF5">
        <w:rPr>
          <w:i/>
          <w:iCs/>
          <w:color w:val="FF0000"/>
        </w:rPr>
        <w:t>insert name of news outlet</w:t>
      </w:r>
      <w:r w:rsidRPr="000E5FF5">
        <w:t>], and another from Reuters) and one area clinician contacted the health department in [</w:t>
      </w:r>
      <w:r w:rsidRPr="000E5FF5">
        <w:rPr>
          <w:i/>
          <w:iCs/>
          <w:color w:val="FF0000"/>
        </w:rPr>
        <w:t>insert location from above</w:t>
      </w:r>
      <w:r w:rsidRPr="000E5FF5">
        <w:t>]. They asked about a recent case of “Super-gonorrhea” identified in [</w:t>
      </w:r>
      <w:r w:rsidRPr="000E5FF5">
        <w:rPr>
          <w:i/>
          <w:iCs/>
          <w:color w:val="FF0000"/>
        </w:rPr>
        <w:t>insert location from above</w:t>
      </w:r>
      <w:r w:rsidRPr="000E5FF5">
        <w:t xml:space="preserve">] that they read about on Twitter. They asked multiple questions </w:t>
      </w:r>
      <w:proofErr w:type="gramStart"/>
      <w:r w:rsidRPr="000E5FF5">
        <w:t>including:</w:t>
      </w:r>
      <w:proofErr w:type="gramEnd"/>
      <w:r w:rsidRPr="000E5FF5">
        <w:t xml:space="preserve"> whether the case is untreatable, who is at risk, how concerned should the public be, who should be tested and where, and how the health department is responding.</w:t>
      </w:r>
      <w:r>
        <w:t xml:space="preserve"> </w:t>
      </w:r>
      <w:r w:rsidRPr="000E5FF5">
        <w:t>Apparently, a staff person from Clinic B tweeted that his clinic just saw a patient with untreatable “Super-gonorrhea.”</w:t>
      </w:r>
      <w:r>
        <w:t xml:space="preserve"> </w:t>
      </w:r>
      <w:r w:rsidRPr="000E5FF5">
        <w:t xml:space="preserve"> The tweet went out right after the patient returned to the clinic to get a specimen collected for culture and antibiotic susceptibility testing. </w:t>
      </w:r>
    </w:p>
    <w:p w14:paraId="26B6D36D" w14:textId="2210F5FC" w:rsidR="00F4779F" w:rsidRPr="00057318" w:rsidRDefault="00F4779F" w:rsidP="009A6C8A">
      <w:pPr>
        <w:pStyle w:val="HeadingFive"/>
        <w:rPr>
          <w:rStyle w:val="HeadingFour"/>
          <w:b/>
          <w:bCs/>
          <w:i w:val="0"/>
          <w:iCs w:val="0"/>
        </w:rPr>
      </w:pPr>
      <w:r w:rsidRPr="00057318">
        <w:rPr>
          <w:rStyle w:val="HeadingFour"/>
          <w:b/>
          <w:bCs/>
          <w:i w:val="0"/>
          <w:iCs w:val="0"/>
        </w:rPr>
        <w:t>MODULE 2: Response</w:t>
      </w:r>
    </w:p>
    <w:p w14:paraId="11F0F2CF" w14:textId="77777777" w:rsidR="00F4779F" w:rsidRPr="007D51B9" w:rsidRDefault="00F4779F" w:rsidP="009A6C8A">
      <w:r w:rsidRPr="007D51B9">
        <w:t>3 weeks later</w:t>
      </w:r>
    </w:p>
    <w:p w14:paraId="5B581D38" w14:textId="77777777" w:rsidR="00083319" w:rsidRPr="00083319" w:rsidRDefault="00083319" w:rsidP="009A6C8A">
      <w:r w:rsidRPr="00083319">
        <w:t>Clinicians at clinics A, B, and C, and the STD clinic collect specimens for culture and repeat gonorrhea NAAT testing from all four index cases (i.e., the 3 patients seen by clinicians at clinics A, B, and C and the 1 patient seen at the STD clinic) at all potentially exposed anatomic sites. Following specimen collection, all patients were re-treated.</w:t>
      </w:r>
    </w:p>
    <w:p w14:paraId="5E65C3E2" w14:textId="664ADC55" w:rsidR="00083319" w:rsidRPr="00083319" w:rsidRDefault="00083319" w:rsidP="009A6C8A">
      <w:r w:rsidRPr="00083319">
        <w:t xml:space="preserve">Among three of the four patients, culture specimens display growth of </w:t>
      </w:r>
      <w:r w:rsidRPr="00BD5C2D">
        <w:rPr>
          <w:i/>
          <w:iCs/>
        </w:rPr>
        <w:t>Neisseria gonorrhoeae</w:t>
      </w:r>
      <w:r w:rsidRPr="00083319">
        <w:t xml:space="preserve"> (meaning cultures are positive). The </w:t>
      </w:r>
      <w:r w:rsidRPr="00283AF3">
        <w:rPr>
          <w:i/>
          <w:iCs/>
        </w:rPr>
        <w:t>N. gonorrhoeae</w:t>
      </w:r>
      <w:r w:rsidRPr="00083319">
        <w:t xml:space="preserve"> isolates undergo antibiotic susceptibility testing (Table 1). All four of the </w:t>
      </w:r>
      <w:r w:rsidRPr="00283AF3">
        <w:rPr>
          <w:i/>
          <w:iCs/>
        </w:rPr>
        <w:t>N. gonorrhoeae</w:t>
      </w:r>
      <w:r w:rsidRPr="00083319">
        <w:t xml:space="preserve"> isolates demonstrate very concerning results: ceftriaxone minimum inhibitory concentration (MIC) of 1.0 µg/</w:t>
      </w:r>
      <w:proofErr w:type="spellStart"/>
      <w:r w:rsidRPr="00083319">
        <w:t>mL.</w:t>
      </w:r>
      <w:proofErr w:type="spellEnd"/>
    </w:p>
    <w:p w14:paraId="7417268E" w14:textId="1349A4D7" w:rsidR="00083319" w:rsidRPr="00083319" w:rsidRDefault="00083319" w:rsidP="009A6C8A">
      <w:r w:rsidRPr="00083319">
        <w:lastRenderedPageBreak/>
        <w:t xml:space="preserve">STD program leadership consults with CDC. CDC provides the following interpretation of the MIC results: </w:t>
      </w:r>
    </w:p>
    <w:p w14:paraId="2AC27097" w14:textId="77777777" w:rsidR="00083319" w:rsidRPr="00351571" w:rsidRDefault="00083319" w:rsidP="00CD6D64">
      <w:pPr>
        <w:spacing w:after="240"/>
        <w:ind w:left="720"/>
      </w:pPr>
      <w:r w:rsidRPr="00351571">
        <w:t xml:space="preserve">There is no clearly defined antibiotic resistance cutoff point for ceftriaxone, but treatment failures have been reported with ceftriaxone MICs </w:t>
      </w:r>
      <w:r w:rsidRPr="00351571">
        <w:rPr>
          <w:rFonts w:ascii="Arial" w:hAnsi="Arial"/>
        </w:rPr>
        <w:t>≥</w:t>
      </w:r>
      <w:r w:rsidRPr="00351571">
        <w:t xml:space="preserve"> 0.5 µg/mL and the Clinical and Laboratory Standards Institute (CLSI) defines ceftriaxone MICs </w:t>
      </w:r>
      <w:r w:rsidRPr="00351571">
        <w:rPr>
          <w:rFonts w:ascii="Arial" w:hAnsi="Arial"/>
        </w:rPr>
        <w:t>≥</w:t>
      </w:r>
      <w:r w:rsidRPr="00351571">
        <w:t xml:space="preserve"> 0.5 µg/mL as non-susceptible. </w:t>
      </w:r>
    </w:p>
    <w:p w14:paraId="60748473" w14:textId="0F5DA96A" w:rsidR="00083319" w:rsidRDefault="00083319" w:rsidP="009A6C8A">
      <w:r w:rsidRPr="00083319">
        <w:t xml:space="preserve">For </w:t>
      </w:r>
      <w:r w:rsidRPr="00083319">
        <w:rPr>
          <w:b/>
          <w:bCs/>
        </w:rPr>
        <w:t>Patient 2</w:t>
      </w:r>
      <w:r w:rsidRPr="00083319">
        <w:t xml:space="preserve">, the urethral NAAT test detects </w:t>
      </w:r>
      <w:r w:rsidRPr="00BD5C2D">
        <w:rPr>
          <w:i/>
          <w:iCs/>
        </w:rPr>
        <w:t>N. gonorrhoeae</w:t>
      </w:r>
      <w:r w:rsidRPr="00083319">
        <w:t xml:space="preserve"> (is positive for gonorrhea).  </w:t>
      </w:r>
      <w:r w:rsidRPr="00083319">
        <w:rPr>
          <w:b/>
          <w:bCs/>
        </w:rPr>
        <w:t xml:space="preserve">Patient 2’s </w:t>
      </w:r>
      <w:r w:rsidRPr="00083319">
        <w:t xml:space="preserve">urethral culture specimen does not grow (culture is negative). So antibiotic susceptibility testing is not done for this patient. </w:t>
      </w:r>
    </w:p>
    <w:p w14:paraId="370D61D7" w14:textId="10F7F38D" w:rsidR="00F4779F" w:rsidRPr="007D51B9" w:rsidRDefault="00F4779F" w:rsidP="009A6C8A">
      <w:pPr>
        <w:pStyle w:val="HeadingFive"/>
      </w:pPr>
      <w:r w:rsidRPr="007D51B9">
        <w:t xml:space="preserve">Table 1. </w:t>
      </w:r>
      <w:r w:rsidR="00083319" w:rsidRPr="00083319">
        <w:t xml:space="preserve">Specimen test results of persons with gonorrhea </w:t>
      </w:r>
      <w:r w:rsidRPr="007D51B9">
        <w:rPr>
          <w:u w:val="single"/>
        </w:rPr>
        <w:t>at retreatment visit</w:t>
      </w:r>
    </w:p>
    <w:tbl>
      <w:tblPr>
        <w:tblStyle w:val="ListTable4-Accent4"/>
        <w:tblW w:w="0" w:type="auto"/>
        <w:tblLook w:val="04A0" w:firstRow="1" w:lastRow="0" w:firstColumn="1" w:lastColumn="0" w:noHBand="0" w:noVBand="1"/>
      </w:tblPr>
      <w:tblGrid>
        <w:gridCol w:w="1361"/>
        <w:gridCol w:w="1435"/>
        <w:gridCol w:w="1457"/>
        <w:gridCol w:w="1326"/>
        <w:gridCol w:w="1462"/>
        <w:gridCol w:w="2759"/>
      </w:tblGrid>
      <w:tr w:rsidR="00F302CE" w:rsidRPr="007D51B9" w14:paraId="6BC0D915" w14:textId="77777777" w:rsidTr="00F302CE">
        <w:trPr>
          <w:cnfStyle w:val="100000000000" w:firstRow="1" w:lastRow="0" w:firstColumn="0" w:lastColumn="0" w:oddVBand="0" w:evenVBand="0" w:oddHBand="0" w:evenHBand="0" w:firstRowFirstColumn="0" w:firstRowLastColumn="0" w:lastRowFirstColumn="0" w:lastRowLastColumn="0"/>
          <w:trHeight w:val="1939"/>
        </w:trPr>
        <w:tc>
          <w:tcPr>
            <w:cnfStyle w:val="001000000000" w:firstRow="0" w:lastRow="0" w:firstColumn="1" w:lastColumn="0" w:oddVBand="0" w:evenVBand="0" w:oddHBand="0" w:evenHBand="0" w:firstRowFirstColumn="0" w:firstRowLastColumn="0" w:lastRowFirstColumn="0" w:lastRowLastColumn="0"/>
            <w:tcW w:w="1361" w:type="dxa"/>
          </w:tcPr>
          <w:p w14:paraId="226E4006" w14:textId="77777777" w:rsidR="00F302CE" w:rsidRPr="007D51B9" w:rsidRDefault="00F302CE" w:rsidP="009A6C8A">
            <w:r w:rsidRPr="007D51B9">
              <w:t>Patient No.</w:t>
            </w:r>
          </w:p>
        </w:tc>
        <w:tc>
          <w:tcPr>
            <w:tcW w:w="1435" w:type="dxa"/>
          </w:tcPr>
          <w:p w14:paraId="2163564B" w14:textId="0538B8BE" w:rsidR="00F302CE" w:rsidRPr="007D51B9" w:rsidRDefault="00F302CE" w:rsidP="009A6C8A">
            <w:pPr>
              <w:cnfStyle w:val="100000000000" w:firstRow="1" w:lastRow="0" w:firstColumn="0" w:lastColumn="0" w:oddVBand="0" w:evenVBand="0" w:oddHBand="0" w:evenHBand="0" w:firstRowFirstColumn="0" w:firstRowLastColumn="0" w:lastRowFirstColumn="0" w:lastRowLastColumn="0"/>
            </w:pPr>
            <w:r>
              <w:t>Gender</w:t>
            </w:r>
          </w:p>
        </w:tc>
        <w:tc>
          <w:tcPr>
            <w:tcW w:w="1457" w:type="dxa"/>
          </w:tcPr>
          <w:p w14:paraId="38C63791" w14:textId="77777777" w:rsidR="00F302CE" w:rsidRPr="007D51B9" w:rsidRDefault="00F302CE" w:rsidP="009A6C8A">
            <w:pPr>
              <w:cnfStyle w:val="100000000000" w:firstRow="1" w:lastRow="0" w:firstColumn="0" w:lastColumn="0" w:oddVBand="0" w:evenVBand="0" w:oddHBand="0" w:evenHBand="0" w:firstRowFirstColumn="0" w:firstRowLastColumn="0" w:lastRowFirstColumn="0" w:lastRowLastColumn="0"/>
            </w:pPr>
            <w:r w:rsidRPr="007D51B9">
              <w:t>Anatomic site</w:t>
            </w:r>
          </w:p>
        </w:tc>
        <w:tc>
          <w:tcPr>
            <w:tcW w:w="1326" w:type="dxa"/>
          </w:tcPr>
          <w:p w14:paraId="0D5FFB8F" w14:textId="77777777" w:rsidR="00F302CE" w:rsidRPr="007D51B9" w:rsidRDefault="00F302CE" w:rsidP="009A6C8A">
            <w:pPr>
              <w:cnfStyle w:val="100000000000" w:firstRow="1" w:lastRow="0" w:firstColumn="0" w:lastColumn="0" w:oddVBand="0" w:evenVBand="0" w:oddHBand="0" w:evenHBand="0" w:firstRowFirstColumn="0" w:firstRowLastColumn="0" w:lastRowFirstColumn="0" w:lastRowLastColumn="0"/>
            </w:pPr>
            <w:r w:rsidRPr="007D51B9">
              <w:t>NAAT result</w:t>
            </w:r>
          </w:p>
        </w:tc>
        <w:tc>
          <w:tcPr>
            <w:tcW w:w="1462" w:type="dxa"/>
          </w:tcPr>
          <w:p w14:paraId="27FA83F2" w14:textId="77777777" w:rsidR="00F302CE" w:rsidRPr="007D51B9" w:rsidRDefault="00F302CE" w:rsidP="009A6C8A">
            <w:pPr>
              <w:cnfStyle w:val="100000000000" w:firstRow="1" w:lastRow="0" w:firstColumn="0" w:lastColumn="0" w:oddVBand="0" w:evenVBand="0" w:oddHBand="0" w:evenHBand="0" w:firstRowFirstColumn="0" w:firstRowLastColumn="0" w:lastRowFirstColumn="0" w:lastRowLastColumn="0"/>
            </w:pPr>
            <w:r w:rsidRPr="007D51B9">
              <w:t>Culture results</w:t>
            </w:r>
          </w:p>
        </w:tc>
        <w:tc>
          <w:tcPr>
            <w:tcW w:w="2759" w:type="dxa"/>
          </w:tcPr>
          <w:p w14:paraId="50A4A22C" w14:textId="77777777" w:rsidR="00F302CE" w:rsidRPr="007D51B9" w:rsidRDefault="00F302CE" w:rsidP="009A6C8A">
            <w:pPr>
              <w:cnfStyle w:val="100000000000" w:firstRow="1" w:lastRow="0" w:firstColumn="0" w:lastColumn="0" w:oddVBand="0" w:evenVBand="0" w:oddHBand="0" w:evenHBand="0" w:firstRowFirstColumn="0" w:firstRowLastColumn="0" w:lastRowFirstColumn="0" w:lastRowLastColumn="0"/>
            </w:pPr>
            <w:r w:rsidRPr="007D51B9">
              <w:t>Antibiotic</w:t>
            </w:r>
          </w:p>
          <w:p w14:paraId="56EE41DB" w14:textId="77777777" w:rsidR="00F302CE" w:rsidRPr="007D51B9" w:rsidRDefault="00F302CE" w:rsidP="009A6C8A">
            <w:pPr>
              <w:cnfStyle w:val="100000000000" w:firstRow="1" w:lastRow="0" w:firstColumn="0" w:lastColumn="0" w:oddVBand="0" w:evenVBand="0" w:oddHBand="0" w:evenHBand="0" w:firstRowFirstColumn="0" w:firstRowLastColumn="0" w:lastRowFirstColumn="0" w:lastRowLastColumn="0"/>
            </w:pPr>
            <w:r w:rsidRPr="007D51B9">
              <w:t xml:space="preserve"> Susceptibility Testing </w:t>
            </w:r>
          </w:p>
          <w:p w14:paraId="0511F72E" w14:textId="77777777" w:rsidR="00F302CE" w:rsidRPr="007D51B9" w:rsidRDefault="00F302CE" w:rsidP="009A6C8A">
            <w:pPr>
              <w:cnfStyle w:val="100000000000" w:firstRow="1" w:lastRow="0" w:firstColumn="0" w:lastColumn="0" w:oddVBand="0" w:evenVBand="0" w:oddHBand="0" w:evenHBand="0" w:firstRowFirstColumn="0" w:firstRowLastColumn="0" w:lastRowFirstColumn="0" w:lastRowLastColumn="0"/>
              <w:rPr>
                <w:b w:val="0"/>
                <w:bCs w:val="0"/>
              </w:rPr>
            </w:pPr>
            <w:r w:rsidRPr="007D51B9">
              <w:t>(MIC [µg/mL])</w:t>
            </w:r>
          </w:p>
          <w:p w14:paraId="0D616087" w14:textId="1D44594C" w:rsidR="00F302CE" w:rsidRPr="007D51B9" w:rsidRDefault="00F302CE" w:rsidP="009A6C8A">
            <w:pPr>
              <w:cnfStyle w:val="100000000000" w:firstRow="1" w:lastRow="0" w:firstColumn="0" w:lastColumn="0" w:oddVBand="0" w:evenVBand="0" w:oddHBand="0" w:evenHBand="0" w:firstRowFirstColumn="0" w:firstRowLastColumn="0" w:lastRowFirstColumn="0" w:lastRowLastColumn="0"/>
            </w:pPr>
            <w:r w:rsidRPr="007D51B9">
              <w:t>Ceftriaxone</w:t>
            </w:r>
          </w:p>
        </w:tc>
      </w:tr>
      <w:tr w:rsidR="00083319" w:rsidRPr="007D51B9" w14:paraId="1D4938E4" w14:textId="77777777" w:rsidTr="00F30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317E2F51" w14:textId="77777777" w:rsidR="00083319" w:rsidRPr="007D51B9" w:rsidRDefault="00083319" w:rsidP="009A6C8A">
            <w:r w:rsidRPr="007D51B9">
              <w:t>1</w:t>
            </w:r>
          </w:p>
        </w:tc>
        <w:tc>
          <w:tcPr>
            <w:tcW w:w="1435" w:type="dxa"/>
          </w:tcPr>
          <w:p w14:paraId="50E9FDD5" w14:textId="462AD565" w:rsidR="00083319" w:rsidRPr="007D51B9" w:rsidRDefault="00083319" w:rsidP="009A6C8A">
            <w:pPr>
              <w:cnfStyle w:val="000000100000" w:firstRow="0" w:lastRow="0" w:firstColumn="0" w:lastColumn="0" w:oddVBand="0" w:evenVBand="0" w:oddHBand="1" w:evenHBand="0" w:firstRowFirstColumn="0" w:firstRowLastColumn="0" w:lastRowFirstColumn="0" w:lastRowLastColumn="0"/>
            </w:pPr>
            <w:r w:rsidRPr="00083319">
              <w:t>Cisgender male</w:t>
            </w:r>
          </w:p>
        </w:tc>
        <w:tc>
          <w:tcPr>
            <w:tcW w:w="1457" w:type="dxa"/>
          </w:tcPr>
          <w:p w14:paraId="3BBBB231" w14:textId="77777777" w:rsidR="00083319" w:rsidRPr="007D51B9" w:rsidRDefault="00083319" w:rsidP="009A6C8A">
            <w:pPr>
              <w:cnfStyle w:val="000000100000" w:firstRow="0" w:lastRow="0" w:firstColumn="0" w:lastColumn="0" w:oddVBand="0" w:evenVBand="0" w:oddHBand="1" w:evenHBand="0" w:firstRowFirstColumn="0" w:firstRowLastColumn="0" w:lastRowFirstColumn="0" w:lastRowLastColumn="0"/>
            </w:pPr>
            <w:r w:rsidRPr="007D51B9">
              <w:t>Urethral</w:t>
            </w:r>
          </w:p>
        </w:tc>
        <w:tc>
          <w:tcPr>
            <w:tcW w:w="1326" w:type="dxa"/>
          </w:tcPr>
          <w:p w14:paraId="2AAFC52A" w14:textId="77777777" w:rsidR="00083319" w:rsidRPr="007D51B9" w:rsidRDefault="00083319" w:rsidP="009A6C8A">
            <w:pPr>
              <w:cnfStyle w:val="000000100000" w:firstRow="0" w:lastRow="0" w:firstColumn="0" w:lastColumn="0" w:oddVBand="0" w:evenVBand="0" w:oddHBand="1" w:evenHBand="0" w:firstRowFirstColumn="0" w:firstRowLastColumn="0" w:lastRowFirstColumn="0" w:lastRowLastColumn="0"/>
            </w:pPr>
            <w:r w:rsidRPr="0003441D">
              <w:rPr>
                <w:color w:val="FF0000"/>
              </w:rPr>
              <w:t>Positive</w:t>
            </w:r>
          </w:p>
        </w:tc>
        <w:tc>
          <w:tcPr>
            <w:tcW w:w="1462" w:type="dxa"/>
          </w:tcPr>
          <w:p w14:paraId="342B9B0C" w14:textId="77777777" w:rsidR="00083319" w:rsidRPr="007D51B9" w:rsidRDefault="00083319" w:rsidP="009A6C8A">
            <w:pPr>
              <w:cnfStyle w:val="000000100000" w:firstRow="0" w:lastRow="0" w:firstColumn="0" w:lastColumn="0" w:oddVBand="0" w:evenVBand="0" w:oddHBand="1" w:evenHBand="0" w:firstRowFirstColumn="0" w:firstRowLastColumn="0" w:lastRowFirstColumn="0" w:lastRowLastColumn="0"/>
            </w:pPr>
            <w:r w:rsidRPr="0003441D">
              <w:rPr>
                <w:color w:val="FF0000"/>
              </w:rPr>
              <w:t>Positive</w:t>
            </w:r>
          </w:p>
        </w:tc>
        <w:tc>
          <w:tcPr>
            <w:tcW w:w="2759" w:type="dxa"/>
          </w:tcPr>
          <w:p w14:paraId="69F2A8F9" w14:textId="23EB306E" w:rsidR="00083319" w:rsidRPr="007D51B9" w:rsidRDefault="00083319" w:rsidP="009A6C8A">
            <w:pPr>
              <w:cnfStyle w:val="000000100000" w:firstRow="0" w:lastRow="0" w:firstColumn="0" w:lastColumn="0" w:oddVBand="0" w:evenVBand="0" w:oddHBand="1" w:evenHBand="0" w:firstRowFirstColumn="0" w:firstRowLastColumn="0" w:lastRowFirstColumn="0" w:lastRowLastColumn="0"/>
            </w:pPr>
            <w:r w:rsidRPr="007D51B9">
              <w:t>1.0*</w:t>
            </w:r>
          </w:p>
        </w:tc>
      </w:tr>
      <w:tr w:rsidR="00083319" w:rsidRPr="007D51B9" w14:paraId="2BDE846F" w14:textId="77777777" w:rsidTr="00F302CE">
        <w:tc>
          <w:tcPr>
            <w:cnfStyle w:val="001000000000" w:firstRow="0" w:lastRow="0" w:firstColumn="1" w:lastColumn="0" w:oddVBand="0" w:evenVBand="0" w:oddHBand="0" w:evenHBand="0" w:firstRowFirstColumn="0" w:firstRowLastColumn="0" w:lastRowFirstColumn="0" w:lastRowLastColumn="0"/>
            <w:tcW w:w="1361" w:type="dxa"/>
          </w:tcPr>
          <w:p w14:paraId="1D1853E7" w14:textId="77777777" w:rsidR="00083319" w:rsidRPr="007D51B9" w:rsidRDefault="00083319" w:rsidP="009A6C8A">
            <w:r w:rsidRPr="007D51B9">
              <w:t>2</w:t>
            </w:r>
          </w:p>
        </w:tc>
        <w:tc>
          <w:tcPr>
            <w:tcW w:w="1435" w:type="dxa"/>
          </w:tcPr>
          <w:p w14:paraId="49578CEC" w14:textId="3F2B49D8" w:rsidR="00083319" w:rsidRPr="007D51B9" w:rsidRDefault="00083319" w:rsidP="009A6C8A">
            <w:pPr>
              <w:cnfStyle w:val="000000000000" w:firstRow="0" w:lastRow="0" w:firstColumn="0" w:lastColumn="0" w:oddVBand="0" w:evenVBand="0" w:oddHBand="0" w:evenHBand="0" w:firstRowFirstColumn="0" w:firstRowLastColumn="0" w:lastRowFirstColumn="0" w:lastRowLastColumn="0"/>
            </w:pPr>
            <w:r w:rsidRPr="00083319">
              <w:t>Cisgender male</w:t>
            </w:r>
          </w:p>
        </w:tc>
        <w:tc>
          <w:tcPr>
            <w:tcW w:w="1457" w:type="dxa"/>
          </w:tcPr>
          <w:p w14:paraId="3EC628EE" w14:textId="77777777" w:rsidR="00083319" w:rsidRPr="007D51B9" w:rsidRDefault="00083319" w:rsidP="009A6C8A">
            <w:pPr>
              <w:cnfStyle w:val="000000000000" w:firstRow="0" w:lastRow="0" w:firstColumn="0" w:lastColumn="0" w:oddVBand="0" w:evenVBand="0" w:oddHBand="0" w:evenHBand="0" w:firstRowFirstColumn="0" w:firstRowLastColumn="0" w:lastRowFirstColumn="0" w:lastRowLastColumn="0"/>
            </w:pPr>
            <w:r w:rsidRPr="007D51B9">
              <w:t>Urethral</w:t>
            </w:r>
          </w:p>
        </w:tc>
        <w:tc>
          <w:tcPr>
            <w:tcW w:w="1326" w:type="dxa"/>
          </w:tcPr>
          <w:p w14:paraId="531CFB37" w14:textId="77777777" w:rsidR="00083319" w:rsidRPr="0003441D" w:rsidRDefault="00083319" w:rsidP="009A6C8A">
            <w:pPr>
              <w:cnfStyle w:val="000000000000" w:firstRow="0" w:lastRow="0" w:firstColumn="0" w:lastColumn="0" w:oddVBand="0" w:evenVBand="0" w:oddHBand="0" w:evenHBand="0" w:firstRowFirstColumn="0" w:firstRowLastColumn="0" w:lastRowFirstColumn="0" w:lastRowLastColumn="0"/>
              <w:rPr>
                <w:color w:val="FF0000"/>
              </w:rPr>
            </w:pPr>
            <w:r w:rsidRPr="0003441D">
              <w:rPr>
                <w:color w:val="FF0000"/>
              </w:rPr>
              <w:t>Positive</w:t>
            </w:r>
          </w:p>
        </w:tc>
        <w:tc>
          <w:tcPr>
            <w:tcW w:w="1462" w:type="dxa"/>
          </w:tcPr>
          <w:p w14:paraId="19DE5522" w14:textId="77777777" w:rsidR="00083319" w:rsidRPr="007D51B9" w:rsidRDefault="00083319" w:rsidP="009A6C8A">
            <w:pPr>
              <w:cnfStyle w:val="000000000000" w:firstRow="0" w:lastRow="0" w:firstColumn="0" w:lastColumn="0" w:oddVBand="0" w:evenVBand="0" w:oddHBand="0" w:evenHBand="0" w:firstRowFirstColumn="0" w:firstRowLastColumn="0" w:lastRowFirstColumn="0" w:lastRowLastColumn="0"/>
            </w:pPr>
            <w:r w:rsidRPr="007D51B9">
              <w:t>Negative</w:t>
            </w:r>
          </w:p>
        </w:tc>
        <w:tc>
          <w:tcPr>
            <w:tcW w:w="2759" w:type="dxa"/>
          </w:tcPr>
          <w:p w14:paraId="76DA32DF" w14:textId="54D4957E" w:rsidR="00083319" w:rsidRPr="007D51B9" w:rsidRDefault="00083319" w:rsidP="009A6C8A">
            <w:pPr>
              <w:cnfStyle w:val="000000000000" w:firstRow="0" w:lastRow="0" w:firstColumn="0" w:lastColumn="0" w:oddVBand="0" w:evenVBand="0" w:oddHBand="0" w:evenHBand="0" w:firstRowFirstColumn="0" w:firstRowLastColumn="0" w:lastRowFirstColumn="0" w:lastRowLastColumn="0"/>
            </w:pPr>
            <w:r w:rsidRPr="007D51B9">
              <w:t>--</w:t>
            </w:r>
          </w:p>
        </w:tc>
      </w:tr>
      <w:tr w:rsidR="00083319" w:rsidRPr="007D51B9" w14:paraId="7D40A461" w14:textId="77777777" w:rsidTr="00F30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128B593D" w14:textId="77777777" w:rsidR="00083319" w:rsidRPr="007D51B9" w:rsidRDefault="00083319" w:rsidP="009A6C8A">
            <w:r w:rsidRPr="007D51B9">
              <w:t>3</w:t>
            </w:r>
          </w:p>
        </w:tc>
        <w:tc>
          <w:tcPr>
            <w:tcW w:w="1435" w:type="dxa"/>
          </w:tcPr>
          <w:p w14:paraId="06EB3482" w14:textId="34D15BB8" w:rsidR="00083319" w:rsidRPr="007D51B9" w:rsidRDefault="00083319" w:rsidP="009A6C8A">
            <w:pPr>
              <w:cnfStyle w:val="000000100000" w:firstRow="0" w:lastRow="0" w:firstColumn="0" w:lastColumn="0" w:oddVBand="0" w:evenVBand="0" w:oddHBand="1" w:evenHBand="0" w:firstRowFirstColumn="0" w:firstRowLastColumn="0" w:lastRowFirstColumn="0" w:lastRowLastColumn="0"/>
            </w:pPr>
            <w:r w:rsidRPr="00083319">
              <w:t>Cisgender female</w:t>
            </w:r>
          </w:p>
        </w:tc>
        <w:tc>
          <w:tcPr>
            <w:tcW w:w="1457" w:type="dxa"/>
          </w:tcPr>
          <w:p w14:paraId="084A0D50" w14:textId="77777777" w:rsidR="00083319" w:rsidRPr="007D51B9" w:rsidRDefault="00083319" w:rsidP="009A6C8A">
            <w:pPr>
              <w:cnfStyle w:val="000000100000" w:firstRow="0" w:lastRow="0" w:firstColumn="0" w:lastColumn="0" w:oddVBand="0" w:evenVBand="0" w:oddHBand="1" w:evenHBand="0" w:firstRowFirstColumn="0" w:firstRowLastColumn="0" w:lastRowFirstColumn="0" w:lastRowLastColumn="0"/>
            </w:pPr>
            <w:r w:rsidRPr="007D51B9">
              <w:t>Cervical</w:t>
            </w:r>
          </w:p>
        </w:tc>
        <w:tc>
          <w:tcPr>
            <w:tcW w:w="1326" w:type="dxa"/>
          </w:tcPr>
          <w:p w14:paraId="1BED5E60" w14:textId="77777777" w:rsidR="00083319" w:rsidRPr="0003441D" w:rsidRDefault="00083319" w:rsidP="009A6C8A">
            <w:pPr>
              <w:cnfStyle w:val="000000100000" w:firstRow="0" w:lastRow="0" w:firstColumn="0" w:lastColumn="0" w:oddVBand="0" w:evenVBand="0" w:oddHBand="1" w:evenHBand="0" w:firstRowFirstColumn="0" w:firstRowLastColumn="0" w:lastRowFirstColumn="0" w:lastRowLastColumn="0"/>
              <w:rPr>
                <w:color w:val="FF0000"/>
              </w:rPr>
            </w:pPr>
            <w:r w:rsidRPr="0003441D">
              <w:rPr>
                <w:color w:val="FF0000"/>
              </w:rPr>
              <w:t>Positive</w:t>
            </w:r>
          </w:p>
        </w:tc>
        <w:tc>
          <w:tcPr>
            <w:tcW w:w="1462" w:type="dxa"/>
          </w:tcPr>
          <w:p w14:paraId="7C4A5812" w14:textId="77777777" w:rsidR="00083319" w:rsidRPr="0003441D" w:rsidRDefault="00083319" w:rsidP="009A6C8A">
            <w:pPr>
              <w:cnfStyle w:val="000000100000" w:firstRow="0" w:lastRow="0" w:firstColumn="0" w:lastColumn="0" w:oddVBand="0" w:evenVBand="0" w:oddHBand="1" w:evenHBand="0" w:firstRowFirstColumn="0" w:firstRowLastColumn="0" w:lastRowFirstColumn="0" w:lastRowLastColumn="0"/>
              <w:rPr>
                <w:color w:val="FF0000"/>
              </w:rPr>
            </w:pPr>
            <w:r w:rsidRPr="0003441D">
              <w:rPr>
                <w:color w:val="FF0000"/>
              </w:rPr>
              <w:t>Positive</w:t>
            </w:r>
          </w:p>
        </w:tc>
        <w:tc>
          <w:tcPr>
            <w:tcW w:w="2759" w:type="dxa"/>
          </w:tcPr>
          <w:p w14:paraId="65976D15" w14:textId="61B05CF2" w:rsidR="00083319" w:rsidRPr="007D51B9" w:rsidRDefault="00083319" w:rsidP="009A6C8A">
            <w:pPr>
              <w:cnfStyle w:val="000000100000" w:firstRow="0" w:lastRow="0" w:firstColumn="0" w:lastColumn="0" w:oddVBand="0" w:evenVBand="0" w:oddHBand="1" w:evenHBand="0" w:firstRowFirstColumn="0" w:firstRowLastColumn="0" w:lastRowFirstColumn="0" w:lastRowLastColumn="0"/>
            </w:pPr>
            <w:r w:rsidRPr="007D51B9">
              <w:t>1.0*</w:t>
            </w:r>
          </w:p>
        </w:tc>
      </w:tr>
      <w:tr w:rsidR="00083319" w:rsidRPr="007D51B9" w14:paraId="375C35AF" w14:textId="77777777" w:rsidTr="00F302CE">
        <w:tc>
          <w:tcPr>
            <w:cnfStyle w:val="001000000000" w:firstRow="0" w:lastRow="0" w:firstColumn="1" w:lastColumn="0" w:oddVBand="0" w:evenVBand="0" w:oddHBand="0" w:evenHBand="0" w:firstRowFirstColumn="0" w:firstRowLastColumn="0" w:lastRowFirstColumn="0" w:lastRowLastColumn="0"/>
            <w:tcW w:w="1361" w:type="dxa"/>
          </w:tcPr>
          <w:p w14:paraId="33EF10B4" w14:textId="77777777" w:rsidR="00083319" w:rsidRPr="007D51B9" w:rsidRDefault="00083319" w:rsidP="009A6C8A">
            <w:r w:rsidRPr="007D51B9">
              <w:t>3</w:t>
            </w:r>
          </w:p>
        </w:tc>
        <w:tc>
          <w:tcPr>
            <w:tcW w:w="1435" w:type="dxa"/>
          </w:tcPr>
          <w:p w14:paraId="75609FC8" w14:textId="640C55A9" w:rsidR="00083319" w:rsidRPr="007D51B9" w:rsidRDefault="00083319" w:rsidP="009A6C8A">
            <w:pPr>
              <w:cnfStyle w:val="000000000000" w:firstRow="0" w:lastRow="0" w:firstColumn="0" w:lastColumn="0" w:oddVBand="0" w:evenVBand="0" w:oddHBand="0" w:evenHBand="0" w:firstRowFirstColumn="0" w:firstRowLastColumn="0" w:lastRowFirstColumn="0" w:lastRowLastColumn="0"/>
            </w:pPr>
            <w:r w:rsidRPr="00083319">
              <w:t>Cisgender female</w:t>
            </w:r>
          </w:p>
        </w:tc>
        <w:tc>
          <w:tcPr>
            <w:tcW w:w="1457" w:type="dxa"/>
          </w:tcPr>
          <w:p w14:paraId="16DEA60F" w14:textId="77777777" w:rsidR="00083319" w:rsidRPr="007D51B9" w:rsidRDefault="00083319" w:rsidP="009A6C8A">
            <w:pPr>
              <w:cnfStyle w:val="000000000000" w:firstRow="0" w:lastRow="0" w:firstColumn="0" w:lastColumn="0" w:oddVBand="0" w:evenVBand="0" w:oddHBand="0" w:evenHBand="0" w:firstRowFirstColumn="0" w:firstRowLastColumn="0" w:lastRowFirstColumn="0" w:lastRowLastColumn="0"/>
            </w:pPr>
            <w:r w:rsidRPr="007D51B9">
              <w:t>Pharyngeal</w:t>
            </w:r>
          </w:p>
        </w:tc>
        <w:tc>
          <w:tcPr>
            <w:tcW w:w="1326" w:type="dxa"/>
          </w:tcPr>
          <w:p w14:paraId="76953E39" w14:textId="77777777" w:rsidR="00083319" w:rsidRPr="0003441D" w:rsidRDefault="00083319" w:rsidP="009A6C8A">
            <w:pPr>
              <w:cnfStyle w:val="000000000000" w:firstRow="0" w:lastRow="0" w:firstColumn="0" w:lastColumn="0" w:oddVBand="0" w:evenVBand="0" w:oddHBand="0" w:evenHBand="0" w:firstRowFirstColumn="0" w:firstRowLastColumn="0" w:lastRowFirstColumn="0" w:lastRowLastColumn="0"/>
              <w:rPr>
                <w:color w:val="FF0000"/>
              </w:rPr>
            </w:pPr>
            <w:r w:rsidRPr="0003441D">
              <w:rPr>
                <w:color w:val="FF0000"/>
              </w:rPr>
              <w:t>Positive</w:t>
            </w:r>
          </w:p>
        </w:tc>
        <w:tc>
          <w:tcPr>
            <w:tcW w:w="1462" w:type="dxa"/>
          </w:tcPr>
          <w:p w14:paraId="56811A6D" w14:textId="77777777" w:rsidR="00083319" w:rsidRPr="0003441D" w:rsidRDefault="00083319" w:rsidP="009A6C8A">
            <w:pPr>
              <w:cnfStyle w:val="000000000000" w:firstRow="0" w:lastRow="0" w:firstColumn="0" w:lastColumn="0" w:oddVBand="0" w:evenVBand="0" w:oddHBand="0" w:evenHBand="0" w:firstRowFirstColumn="0" w:firstRowLastColumn="0" w:lastRowFirstColumn="0" w:lastRowLastColumn="0"/>
              <w:rPr>
                <w:color w:val="FF0000"/>
              </w:rPr>
            </w:pPr>
            <w:r w:rsidRPr="0003441D">
              <w:rPr>
                <w:color w:val="FF0000"/>
              </w:rPr>
              <w:t>Positive</w:t>
            </w:r>
          </w:p>
        </w:tc>
        <w:tc>
          <w:tcPr>
            <w:tcW w:w="2759" w:type="dxa"/>
          </w:tcPr>
          <w:p w14:paraId="6A7220AB" w14:textId="342EB347" w:rsidR="00083319" w:rsidRPr="007D51B9" w:rsidRDefault="00083319" w:rsidP="009A6C8A">
            <w:pPr>
              <w:cnfStyle w:val="000000000000" w:firstRow="0" w:lastRow="0" w:firstColumn="0" w:lastColumn="0" w:oddVBand="0" w:evenVBand="0" w:oddHBand="0" w:evenHBand="0" w:firstRowFirstColumn="0" w:firstRowLastColumn="0" w:lastRowFirstColumn="0" w:lastRowLastColumn="0"/>
            </w:pPr>
            <w:r w:rsidRPr="007D51B9">
              <w:t>1.0*</w:t>
            </w:r>
          </w:p>
        </w:tc>
      </w:tr>
      <w:tr w:rsidR="00083319" w:rsidRPr="007D51B9" w14:paraId="7BABA933" w14:textId="77777777" w:rsidTr="00F30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67845430" w14:textId="77777777" w:rsidR="00083319" w:rsidRPr="007D51B9" w:rsidRDefault="00083319" w:rsidP="009A6C8A">
            <w:r w:rsidRPr="007D51B9">
              <w:t>4</w:t>
            </w:r>
          </w:p>
        </w:tc>
        <w:tc>
          <w:tcPr>
            <w:tcW w:w="1435" w:type="dxa"/>
          </w:tcPr>
          <w:p w14:paraId="5A9E9891" w14:textId="3A72F308" w:rsidR="00083319" w:rsidRPr="007D51B9" w:rsidRDefault="00083319" w:rsidP="009A6C8A">
            <w:pPr>
              <w:cnfStyle w:val="000000100000" w:firstRow="0" w:lastRow="0" w:firstColumn="0" w:lastColumn="0" w:oddVBand="0" w:evenVBand="0" w:oddHBand="1" w:evenHBand="0" w:firstRowFirstColumn="0" w:firstRowLastColumn="0" w:lastRowFirstColumn="0" w:lastRowLastColumn="0"/>
            </w:pPr>
            <w:r w:rsidRPr="00083319">
              <w:t>Cisgender male</w:t>
            </w:r>
          </w:p>
        </w:tc>
        <w:tc>
          <w:tcPr>
            <w:tcW w:w="1457" w:type="dxa"/>
          </w:tcPr>
          <w:p w14:paraId="114FD86E" w14:textId="77777777" w:rsidR="00083319" w:rsidRPr="007D51B9" w:rsidRDefault="00083319" w:rsidP="009A6C8A">
            <w:pPr>
              <w:cnfStyle w:val="000000100000" w:firstRow="0" w:lastRow="0" w:firstColumn="0" w:lastColumn="0" w:oddVBand="0" w:evenVBand="0" w:oddHBand="1" w:evenHBand="0" w:firstRowFirstColumn="0" w:firstRowLastColumn="0" w:lastRowFirstColumn="0" w:lastRowLastColumn="0"/>
            </w:pPr>
            <w:r w:rsidRPr="007D51B9">
              <w:t>Urethral</w:t>
            </w:r>
          </w:p>
        </w:tc>
        <w:tc>
          <w:tcPr>
            <w:tcW w:w="1326" w:type="dxa"/>
          </w:tcPr>
          <w:p w14:paraId="3F2EC110" w14:textId="77777777" w:rsidR="00083319" w:rsidRPr="0003441D" w:rsidRDefault="00083319" w:rsidP="009A6C8A">
            <w:pPr>
              <w:cnfStyle w:val="000000100000" w:firstRow="0" w:lastRow="0" w:firstColumn="0" w:lastColumn="0" w:oddVBand="0" w:evenVBand="0" w:oddHBand="1" w:evenHBand="0" w:firstRowFirstColumn="0" w:firstRowLastColumn="0" w:lastRowFirstColumn="0" w:lastRowLastColumn="0"/>
              <w:rPr>
                <w:color w:val="FF0000"/>
              </w:rPr>
            </w:pPr>
            <w:r w:rsidRPr="0003441D">
              <w:rPr>
                <w:color w:val="FF0000"/>
              </w:rPr>
              <w:t>Positive</w:t>
            </w:r>
          </w:p>
        </w:tc>
        <w:tc>
          <w:tcPr>
            <w:tcW w:w="1462" w:type="dxa"/>
          </w:tcPr>
          <w:p w14:paraId="7FB15920" w14:textId="77777777" w:rsidR="00083319" w:rsidRPr="0003441D" w:rsidRDefault="00083319" w:rsidP="009A6C8A">
            <w:pPr>
              <w:cnfStyle w:val="000000100000" w:firstRow="0" w:lastRow="0" w:firstColumn="0" w:lastColumn="0" w:oddVBand="0" w:evenVBand="0" w:oddHBand="1" w:evenHBand="0" w:firstRowFirstColumn="0" w:firstRowLastColumn="0" w:lastRowFirstColumn="0" w:lastRowLastColumn="0"/>
              <w:rPr>
                <w:color w:val="FF0000"/>
              </w:rPr>
            </w:pPr>
            <w:r w:rsidRPr="0003441D">
              <w:rPr>
                <w:color w:val="FF0000"/>
              </w:rPr>
              <w:t>Positive</w:t>
            </w:r>
          </w:p>
        </w:tc>
        <w:tc>
          <w:tcPr>
            <w:tcW w:w="2759" w:type="dxa"/>
          </w:tcPr>
          <w:p w14:paraId="2E292636" w14:textId="764A2B29" w:rsidR="00083319" w:rsidRPr="007D51B9" w:rsidRDefault="00083319" w:rsidP="009A6C8A">
            <w:pPr>
              <w:cnfStyle w:val="000000100000" w:firstRow="0" w:lastRow="0" w:firstColumn="0" w:lastColumn="0" w:oddVBand="0" w:evenVBand="0" w:oddHBand="1" w:evenHBand="0" w:firstRowFirstColumn="0" w:firstRowLastColumn="0" w:lastRowFirstColumn="0" w:lastRowLastColumn="0"/>
            </w:pPr>
            <w:r w:rsidRPr="007D51B9">
              <w:t>1.0*</w:t>
            </w:r>
          </w:p>
        </w:tc>
      </w:tr>
    </w:tbl>
    <w:p w14:paraId="6DA16748" w14:textId="35841781" w:rsidR="00F4779F" w:rsidRPr="00CD6D64" w:rsidRDefault="00F4779F" w:rsidP="00CD6D64">
      <w:pPr>
        <w:spacing w:after="240"/>
        <w:rPr>
          <w:sz w:val="20"/>
          <w:szCs w:val="20"/>
        </w:rPr>
      </w:pPr>
      <w:r w:rsidRPr="00CD6D64">
        <w:rPr>
          <w:sz w:val="20"/>
          <w:szCs w:val="20"/>
        </w:rPr>
        <w:t>*Interpretation for ceftriaxone MIC=1 µg/mL: non-susceptible</w:t>
      </w:r>
    </w:p>
    <w:p w14:paraId="10603D85" w14:textId="711D24D6" w:rsidR="00F4779F" w:rsidRPr="003726A7" w:rsidRDefault="00F4779F" w:rsidP="009A6C8A">
      <w:r w:rsidRPr="003726A7">
        <w:t xml:space="preserve">Note: Gonorrhea culture is not 100% sensitive. In CDC’s </w:t>
      </w:r>
      <w:r w:rsidR="00083319" w:rsidRPr="00083319">
        <w:t>Strengthening US Response to Resistant Gonorrhea (SURRG) project</w:t>
      </w:r>
      <w:r w:rsidRPr="003726A7">
        <w:t xml:space="preserve">, urethral cultures </w:t>
      </w:r>
      <w:r w:rsidR="00083319">
        <w:t xml:space="preserve">were </w:t>
      </w:r>
      <w:r w:rsidRPr="003726A7">
        <w:t>~95% sensitive</w:t>
      </w:r>
      <w:r w:rsidR="00083319">
        <w:t xml:space="preserve"> but</w:t>
      </w:r>
      <w:r w:rsidRPr="003726A7">
        <w:t xml:space="preserve"> endocervical and extragenital cultures </w:t>
      </w:r>
      <w:r w:rsidR="00083319">
        <w:t>were</w:t>
      </w:r>
      <w:r w:rsidRPr="003726A7">
        <w:t xml:space="preserve">  &lt;60% </w:t>
      </w:r>
      <w:r w:rsidR="00083319">
        <w:t xml:space="preserve">sensitive </w:t>
      </w:r>
      <w:r w:rsidRPr="003726A7">
        <w:t xml:space="preserve">when </w:t>
      </w:r>
      <w:r w:rsidR="00083319" w:rsidRPr="00083319">
        <w:t xml:space="preserve">measured against positive NAAT results performed on specimens from the same anatomic site of the same patient on the same day.  </w:t>
      </w:r>
    </w:p>
    <w:p w14:paraId="4F67B4D4" w14:textId="09A3362A" w:rsidR="00083319" w:rsidRPr="00083319" w:rsidRDefault="00083319" w:rsidP="009A6C8A">
      <w:r w:rsidRPr="00083319">
        <w:t xml:space="preserve">The local health department asks all four patients to come to the local STD clinic for a test of cure (using NAAT and culture) after re-treatment. However, only </w:t>
      </w:r>
      <w:r w:rsidRPr="00083319">
        <w:rPr>
          <w:b/>
          <w:bCs/>
        </w:rPr>
        <w:t>Patients 1-3</w:t>
      </w:r>
      <w:r w:rsidRPr="00083319">
        <w:t xml:space="preserve"> show up. </w:t>
      </w:r>
      <w:r w:rsidRPr="00083319">
        <w:rPr>
          <w:b/>
          <w:bCs/>
        </w:rPr>
        <w:t>Patient 4</w:t>
      </w:r>
      <w:r w:rsidRPr="00083319">
        <w:t xml:space="preserve"> does not return for re-testing.   </w:t>
      </w:r>
    </w:p>
    <w:p w14:paraId="58910853" w14:textId="4944ABD7" w:rsidR="00083319" w:rsidRPr="00083319" w:rsidRDefault="00083319" w:rsidP="009A6C8A">
      <w:r w:rsidRPr="00083319">
        <w:t xml:space="preserve">At follow-up, </w:t>
      </w:r>
      <w:r w:rsidRPr="00083319">
        <w:rPr>
          <w:b/>
          <w:bCs/>
        </w:rPr>
        <w:t>Patient 2’s</w:t>
      </w:r>
      <w:r w:rsidRPr="00083319">
        <w:t xml:space="preserve"> testing show that he’s been cured (had negative NAAT and culture results). </w:t>
      </w:r>
    </w:p>
    <w:p w14:paraId="45B22DA1" w14:textId="050CE532" w:rsidR="00083319" w:rsidRDefault="00083319" w:rsidP="00541A1B">
      <w:pPr>
        <w:spacing w:after="240"/>
      </w:pPr>
      <w:r w:rsidRPr="00083319">
        <w:lastRenderedPageBreak/>
        <w:t xml:space="preserve">However, </w:t>
      </w:r>
      <w:r w:rsidRPr="00083319">
        <w:rPr>
          <w:b/>
          <w:bCs/>
        </w:rPr>
        <w:t>Patients 1 and 3</w:t>
      </w:r>
      <w:r w:rsidRPr="00083319">
        <w:t xml:space="preserve"> have not been cured (again test positive by both NAAT and culture at the test of cure visit).  </w:t>
      </w:r>
      <w:r w:rsidRPr="00083319">
        <w:rPr>
          <w:b/>
          <w:bCs/>
        </w:rPr>
        <w:t>Patients 1 and 3</w:t>
      </w:r>
      <w:r w:rsidRPr="00083319">
        <w:t xml:space="preserve"> remain infected despite having been treated twice. Both patients appear to have ceftriaxone-resistant infections.  </w:t>
      </w:r>
    </w:p>
    <w:p w14:paraId="5F3468A2" w14:textId="722C8A92" w:rsidR="00F4779F" w:rsidRPr="007D51B9" w:rsidRDefault="00F4779F" w:rsidP="009A6C8A">
      <w:pPr>
        <w:pStyle w:val="HeadingFive"/>
      </w:pPr>
      <w:r w:rsidRPr="007D51B9">
        <w:t xml:space="preserve">Table 2. Initial test of cure results for </w:t>
      </w:r>
      <w:r w:rsidR="00083319" w:rsidRPr="00083319">
        <w:t>persons with gonorrhea</w:t>
      </w:r>
    </w:p>
    <w:tbl>
      <w:tblPr>
        <w:tblStyle w:val="ListTable4-Accent4"/>
        <w:tblW w:w="0" w:type="auto"/>
        <w:jc w:val="center"/>
        <w:tblLook w:val="04A0" w:firstRow="1" w:lastRow="0" w:firstColumn="1" w:lastColumn="0" w:noHBand="0" w:noVBand="1"/>
      </w:tblPr>
      <w:tblGrid>
        <w:gridCol w:w="1569"/>
        <w:gridCol w:w="1511"/>
        <w:gridCol w:w="1511"/>
        <w:gridCol w:w="1435"/>
        <w:gridCol w:w="1577"/>
      </w:tblGrid>
      <w:tr w:rsidR="00F4779F" w:rsidRPr="007D51B9" w14:paraId="51EC1890" w14:textId="77777777" w:rsidTr="006C1A6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9" w:type="dxa"/>
          </w:tcPr>
          <w:p w14:paraId="789EE64A" w14:textId="77777777" w:rsidR="00F4779F" w:rsidRPr="007D51B9" w:rsidRDefault="00F4779F" w:rsidP="009A6C8A">
            <w:r w:rsidRPr="007D51B9">
              <w:t>Patient</w:t>
            </w:r>
          </w:p>
        </w:tc>
        <w:tc>
          <w:tcPr>
            <w:tcW w:w="1511" w:type="dxa"/>
          </w:tcPr>
          <w:p w14:paraId="02F5A41D" w14:textId="77777777" w:rsidR="00F4779F" w:rsidRPr="007D51B9" w:rsidRDefault="00F4779F" w:rsidP="009A6C8A">
            <w:pPr>
              <w:cnfStyle w:val="100000000000" w:firstRow="1" w:lastRow="0" w:firstColumn="0" w:lastColumn="0" w:oddVBand="0" w:evenVBand="0" w:oddHBand="0" w:evenHBand="0" w:firstRowFirstColumn="0" w:firstRowLastColumn="0" w:lastRowFirstColumn="0" w:lastRowLastColumn="0"/>
            </w:pPr>
            <w:r w:rsidRPr="007D51B9">
              <w:t>Sex</w:t>
            </w:r>
          </w:p>
        </w:tc>
        <w:tc>
          <w:tcPr>
            <w:tcW w:w="1511" w:type="dxa"/>
          </w:tcPr>
          <w:p w14:paraId="24A5B07F" w14:textId="77777777" w:rsidR="00F4779F" w:rsidRPr="007D51B9" w:rsidRDefault="00F4779F" w:rsidP="009A6C8A">
            <w:pPr>
              <w:cnfStyle w:val="100000000000" w:firstRow="1" w:lastRow="0" w:firstColumn="0" w:lastColumn="0" w:oddVBand="0" w:evenVBand="0" w:oddHBand="0" w:evenHBand="0" w:firstRowFirstColumn="0" w:firstRowLastColumn="0" w:lastRowFirstColumn="0" w:lastRowLastColumn="0"/>
            </w:pPr>
            <w:r w:rsidRPr="007D51B9">
              <w:t>Anatomic site</w:t>
            </w:r>
          </w:p>
        </w:tc>
        <w:tc>
          <w:tcPr>
            <w:tcW w:w="1435" w:type="dxa"/>
          </w:tcPr>
          <w:p w14:paraId="0370C851" w14:textId="77777777" w:rsidR="00F4779F" w:rsidRPr="007D51B9" w:rsidRDefault="00F4779F" w:rsidP="009A6C8A">
            <w:pPr>
              <w:cnfStyle w:val="100000000000" w:firstRow="1" w:lastRow="0" w:firstColumn="0" w:lastColumn="0" w:oddVBand="0" w:evenVBand="0" w:oddHBand="0" w:evenHBand="0" w:firstRowFirstColumn="0" w:firstRowLastColumn="0" w:lastRowFirstColumn="0" w:lastRowLastColumn="0"/>
            </w:pPr>
            <w:r w:rsidRPr="007D51B9">
              <w:t>NAAT result</w:t>
            </w:r>
          </w:p>
        </w:tc>
        <w:tc>
          <w:tcPr>
            <w:tcW w:w="1577" w:type="dxa"/>
          </w:tcPr>
          <w:p w14:paraId="18C17D2E" w14:textId="77777777" w:rsidR="00F4779F" w:rsidRPr="007D51B9" w:rsidRDefault="00F4779F" w:rsidP="009A6C8A">
            <w:pPr>
              <w:cnfStyle w:val="100000000000" w:firstRow="1" w:lastRow="0" w:firstColumn="0" w:lastColumn="0" w:oddVBand="0" w:evenVBand="0" w:oddHBand="0" w:evenHBand="0" w:firstRowFirstColumn="0" w:firstRowLastColumn="0" w:lastRowFirstColumn="0" w:lastRowLastColumn="0"/>
            </w:pPr>
            <w:r w:rsidRPr="007D51B9">
              <w:t>Culture results</w:t>
            </w:r>
          </w:p>
        </w:tc>
      </w:tr>
      <w:tr w:rsidR="00F4779F" w:rsidRPr="007D51B9" w14:paraId="4C105620" w14:textId="77777777" w:rsidTr="006C1A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9" w:type="dxa"/>
          </w:tcPr>
          <w:p w14:paraId="697737C2" w14:textId="77777777" w:rsidR="00F4779F" w:rsidRPr="007D51B9" w:rsidRDefault="00F4779F" w:rsidP="009A6C8A">
            <w:r w:rsidRPr="007D51B9">
              <w:t>1</w:t>
            </w:r>
          </w:p>
        </w:tc>
        <w:tc>
          <w:tcPr>
            <w:tcW w:w="1511" w:type="dxa"/>
          </w:tcPr>
          <w:p w14:paraId="1DA2F973" w14:textId="77777777" w:rsidR="00F4779F" w:rsidRPr="007D51B9" w:rsidRDefault="00F4779F" w:rsidP="009A6C8A">
            <w:pPr>
              <w:cnfStyle w:val="000000100000" w:firstRow="0" w:lastRow="0" w:firstColumn="0" w:lastColumn="0" w:oddVBand="0" w:evenVBand="0" w:oddHBand="1" w:evenHBand="0" w:firstRowFirstColumn="0" w:firstRowLastColumn="0" w:lastRowFirstColumn="0" w:lastRowLastColumn="0"/>
            </w:pPr>
            <w:r w:rsidRPr="007D51B9">
              <w:t>Male</w:t>
            </w:r>
          </w:p>
        </w:tc>
        <w:tc>
          <w:tcPr>
            <w:tcW w:w="1511" w:type="dxa"/>
          </w:tcPr>
          <w:p w14:paraId="104880CE" w14:textId="77777777" w:rsidR="00F4779F" w:rsidRPr="007D51B9" w:rsidRDefault="00F4779F" w:rsidP="009A6C8A">
            <w:pPr>
              <w:cnfStyle w:val="000000100000" w:firstRow="0" w:lastRow="0" w:firstColumn="0" w:lastColumn="0" w:oddVBand="0" w:evenVBand="0" w:oddHBand="1" w:evenHBand="0" w:firstRowFirstColumn="0" w:firstRowLastColumn="0" w:lastRowFirstColumn="0" w:lastRowLastColumn="0"/>
            </w:pPr>
            <w:r w:rsidRPr="007D51B9">
              <w:t>Urethral</w:t>
            </w:r>
          </w:p>
        </w:tc>
        <w:tc>
          <w:tcPr>
            <w:tcW w:w="1435" w:type="dxa"/>
          </w:tcPr>
          <w:p w14:paraId="48821203" w14:textId="77777777" w:rsidR="00F4779F" w:rsidRPr="007D51B9" w:rsidRDefault="00F4779F" w:rsidP="009A6C8A">
            <w:pPr>
              <w:cnfStyle w:val="000000100000" w:firstRow="0" w:lastRow="0" w:firstColumn="0" w:lastColumn="0" w:oddVBand="0" w:evenVBand="0" w:oddHBand="1" w:evenHBand="0" w:firstRowFirstColumn="0" w:firstRowLastColumn="0" w:lastRowFirstColumn="0" w:lastRowLastColumn="0"/>
            </w:pPr>
            <w:r w:rsidRPr="00541A1B">
              <w:rPr>
                <w:color w:val="FF0000"/>
              </w:rPr>
              <w:t>Positive</w:t>
            </w:r>
          </w:p>
        </w:tc>
        <w:tc>
          <w:tcPr>
            <w:tcW w:w="1577" w:type="dxa"/>
          </w:tcPr>
          <w:p w14:paraId="40F9D940" w14:textId="77777777" w:rsidR="00F4779F" w:rsidRPr="00541A1B" w:rsidRDefault="00F4779F" w:rsidP="009A6C8A">
            <w:pPr>
              <w:cnfStyle w:val="000000100000" w:firstRow="0" w:lastRow="0" w:firstColumn="0" w:lastColumn="0" w:oddVBand="0" w:evenVBand="0" w:oddHBand="1" w:evenHBand="0" w:firstRowFirstColumn="0" w:firstRowLastColumn="0" w:lastRowFirstColumn="0" w:lastRowLastColumn="0"/>
              <w:rPr>
                <w:color w:val="FF0000"/>
              </w:rPr>
            </w:pPr>
            <w:r w:rsidRPr="00541A1B">
              <w:rPr>
                <w:color w:val="FF0000"/>
              </w:rPr>
              <w:t>Positive</w:t>
            </w:r>
          </w:p>
        </w:tc>
      </w:tr>
      <w:tr w:rsidR="00F4779F" w:rsidRPr="007D51B9" w14:paraId="50350553" w14:textId="77777777" w:rsidTr="006C1A68">
        <w:trPr>
          <w:jc w:val="center"/>
        </w:trPr>
        <w:tc>
          <w:tcPr>
            <w:cnfStyle w:val="001000000000" w:firstRow="0" w:lastRow="0" w:firstColumn="1" w:lastColumn="0" w:oddVBand="0" w:evenVBand="0" w:oddHBand="0" w:evenHBand="0" w:firstRowFirstColumn="0" w:firstRowLastColumn="0" w:lastRowFirstColumn="0" w:lastRowLastColumn="0"/>
            <w:tcW w:w="1569" w:type="dxa"/>
          </w:tcPr>
          <w:p w14:paraId="29C4D65A" w14:textId="77777777" w:rsidR="00F4779F" w:rsidRPr="007D51B9" w:rsidRDefault="00F4779F" w:rsidP="009A6C8A">
            <w:r w:rsidRPr="007D51B9">
              <w:t>2</w:t>
            </w:r>
          </w:p>
        </w:tc>
        <w:tc>
          <w:tcPr>
            <w:tcW w:w="1511" w:type="dxa"/>
          </w:tcPr>
          <w:p w14:paraId="7F601488" w14:textId="77777777" w:rsidR="00F4779F" w:rsidRPr="007D51B9" w:rsidRDefault="00F4779F" w:rsidP="009A6C8A">
            <w:pPr>
              <w:cnfStyle w:val="000000000000" w:firstRow="0" w:lastRow="0" w:firstColumn="0" w:lastColumn="0" w:oddVBand="0" w:evenVBand="0" w:oddHBand="0" w:evenHBand="0" w:firstRowFirstColumn="0" w:firstRowLastColumn="0" w:lastRowFirstColumn="0" w:lastRowLastColumn="0"/>
            </w:pPr>
            <w:r w:rsidRPr="007D51B9">
              <w:t>Male</w:t>
            </w:r>
          </w:p>
        </w:tc>
        <w:tc>
          <w:tcPr>
            <w:tcW w:w="1511" w:type="dxa"/>
          </w:tcPr>
          <w:p w14:paraId="24009D72" w14:textId="77777777" w:rsidR="00F4779F" w:rsidRPr="007D51B9" w:rsidRDefault="00F4779F" w:rsidP="009A6C8A">
            <w:pPr>
              <w:cnfStyle w:val="000000000000" w:firstRow="0" w:lastRow="0" w:firstColumn="0" w:lastColumn="0" w:oddVBand="0" w:evenVBand="0" w:oddHBand="0" w:evenHBand="0" w:firstRowFirstColumn="0" w:firstRowLastColumn="0" w:lastRowFirstColumn="0" w:lastRowLastColumn="0"/>
            </w:pPr>
            <w:r w:rsidRPr="007D51B9">
              <w:t>Urethral</w:t>
            </w:r>
          </w:p>
        </w:tc>
        <w:tc>
          <w:tcPr>
            <w:tcW w:w="1435" w:type="dxa"/>
          </w:tcPr>
          <w:p w14:paraId="46A4D197" w14:textId="77777777" w:rsidR="00F4779F" w:rsidRPr="007D51B9" w:rsidRDefault="00F4779F" w:rsidP="009A6C8A">
            <w:pPr>
              <w:cnfStyle w:val="000000000000" w:firstRow="0" w:lastRow="0" w:firstColumn="0" w:lastColumn="0" w:oddVBand="0" w:evenVBand="0" w:oddHBand="0" w:evenHBand="0" w:firstRowFirstColumn="0" w:firstRowLastColumn="0" w:lastRowFirstColumn="0" w:lastRowLastColumn="0"/>
            </w:pPr>
            <w:r w:rsidRPr="007D51B9">
              <w:t>Negative</w:t>
            </w:r>
          </w:p>
        </w:tc>
        <w:tc>
          <w:tcPr>
            <w:tcW w:w="1577" w:type="dxa"/>
          </w:tcPr>
          <w:p w14:paraId="3C096A05" w14:textId="77777777" w:rsidR="00F4779F" w:rsidRPr="007D51B9" w:rsidRDefault="00F4779F" w:rsidP="009A6C8A">
            <w:pPr>
              <w:cnfStyle w:val="000000000000" w:firstRow="0" w:lastRow="0" w:firstColumn="0" w:lastColumn="0" w:oddVBand="0" w:evenVBand="0" w:oddHBand="0" w:evenHBand="0" w:firstRowFirstColumn="0" w:firstRowLastColumn="0" w:lastRowFirstColumn="0" w:lastRowLastColumn="0"/>
            </w:pPr>
            <w:r w:rsidRPr="007D51B9">
              <w:t xml:space="preserve">Negative </w:t>
            </w:r>
          </w:p>
        </w:tc>
      </w:tr>
      <w:tr w:rsidR="00F4779F" w:rsidRPr="007D51B9" w14:paraId="1F9B8DA0" w14:textId="77777777" w:rsidTr="006C1A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9" w:type="dxa"/>
          </w:tcPr>
          <w:p w14:paraId="1D1A343F" w14:textId="77777777" w:rsidR="00F4779F" w:rsidRPr="007D51B9" w:rsidRDefault="00F4779F" w:rsidP="009A6C8A">
            <w:r w:rsidRPr="007D51B9">
              <w:t>3</w:t>
            </w:r>
          </w:p>
        </w:tc>
        <w:tc>
          <w:tcPr>
            <w:tcW w:w="1511" w:type="dxa"/>
          </w:tcPr>
          <w:p w14:paraId="1153085E" w14:textId="77777777" w:rsidR="00F4779F" w:rsidRPr="007D51B9" w:rsidRDefault="00F4779F" w:rsidP="009A6C8A">
            <w:pPr>
              <w:cnfStyle w:val="000000100000" w:firstRow="0" w:lastRow="0" w:firstColumn="0" w:lastColumn="0" w:oddVBand="0" w:evenVBand="0" w:oddHBand="1" w:evenHBand="0" w:firstRowFirstColumn="0" w:firstRowLastColumn="0" w:lastRowFirstColumn="0" w:lastRowLastColumn="0"/>
            </w:pPr>
            <w:r w:rsidRPr="007D51B9">
              <w:t>Female</w:t>
            </w:r>
          </w:p>
        </w:tc>
        <w:tc>
          <w:tcPr>
            <w:tcW w:w="1511" w:type="dxa"/>
          </w:tcPr>
          <w:p w14:paraId="3974A975" w14:textId="77777777" w:rsidR="00F4779F" w:rsidRPr="007D51B9" w:rsidRDefault="00F4779F" w:rsidP="009A6C8A">
            <w:pPr>
              <w:cnfStyle w:val="000000100000" w:firstRow="0" w:lastRow="0" w:firstColumn="0" w:lastColumn="0" w:oddVBand="0" w:evenVBand="0" w:oddHBand="1" w:evenHBand="0" w:firstRowFirstColumn="0" w:firstRowLastColumn="0" w:lastRowFirstColumn="0" w:lastRowLastColumn="0"/>
            </w:pPr>
            <w:r w:rsidRPr="007D51B9">
              <w:t>Cervical</w:t>
            </w:r>
          </w:p>
        </w:tc>
        <w:tc>
          <w:tcPr>
            <w:tcW w:w="1435" w:type="dxa"/>
          </w:tcPr>
          <w:p w14:paraId="4B95C6E5" w14:textId="77777777" w:rsidR="00F4779F" w:rsidRPr="007D51B9" w:rsidRDefault="00F4779F" w:rsidP="009A6C8A">
            <w:pPr>
              <w:cnfStyle w:val="000000100000" w:firstRow="0" w:lastRow="0" w:firstColumn="0" w:lastColumn="0" w:oddVBand="0" w:evenVBand="0" w:oddHBand="1" w:evenHBand="0" w:firstRowFirstColumn="0" w:firstRowLastColumn="0" w:lastRowFirstColumn="0" w:lastRowLastColumn="0"/>
            </w:pPr>
            <w:r w:rsidRPr="007D51B9">
              <w:t>Negative</w:t>
            </w:r>
          </w:p>
        </w:tc>
        <w:tc>
          <w:tcPr>
            <w:tcW w:w="1577" w:type="dxa"/>
          </w:tcPr>
          <w:p w14:paraId="4BFC0D6B" w14:textId="77777777" w:rsidR="00F4779F" w:rsidRPr="007D51B9" w:rsidRDefault="00F4779F" w:rsidP="009A6C8A">
            <w:pPr>
              <w:cnfStyle w:val="000000100000" w:firstRow="0" w:lastRow="0" w:firstColumn="0" w:lastColumn="0" w:oddVBand="0" w:evenVBand="0" w:oddHBand="1" w:evenHBand="0" w:firstRowFirstColumn="0" w:firstRowLastColumn="0" w:lastRowFirstColumn="0" w:lastRowLastColumn="0"/>
            </w:pPr>
            <w:r w:rsidRPr="007D51B9">
              <w:t>Negative</w:t>
            </w:r>
          </w:p>
        </w:tc>
      </w:tr>
      <w:tr w:rsidR="00F4779F" w:rsidRPr="007D51B9" w14:paraId="3ADCDFDA" w14:textId="77777777" w:rsidTr="006C1A68">
        <w:trPr>
          <w:jc w:val="center"/>
        </w:trPr>
        <w:tc>
          <w:tcPr>
            <w:cnfStyle w:val="001000000000" w:firstRow="0" w:lastRow="0" w:firstColumn="1" w:lastColumn="0" w:oddVBand="0" w:evenVBand="0" w:oddHBand="0" w:evenHBand="0" w:firstRowFirstColumn="0" w:firstRowLastColumn="0" w:lastRowFirstColumn="0" w:lastRowLastColumn="0"/>
            <w:tcW w:w="1569" w:type="dxa"/>
          </w:tcPr>
          <w:p w14:paraId="2D94FF1B" w14:textId="77777777" w:rsidR="00F4779F" w:rsidRPr="007D51B9" w:rsidRDefault="00F4779F" w:rsidP="009A6C8A">
            <w:r w:rsidRPr="007D51B9">
              <w:t>3</w:t>
            </w:r>
          </w:p>
        </w:tc>
        <w:tc>
          <w:tcPr>
            <w:tcW w:w="1511" w:type="dxa"/>
          </w:tcPr>
          <w:p w14:paraId="480B6954" w14:textId="77777777" w:rsidR="00F4779F" w:rsidRPr="007D51B9" w:rsidRDefault="00F4779F" w:rsidP="009A6C8A">
            <w:pPr>
              <w:cnfStyle w:val="000000000000" w:firstRow="0" w:lastRow="0" w:firstColumn="0" w:lastColumn="0" w:oddVBand="0" w:evenVBand="0" w:oddHBand="0" w:evenHBand="0" w:firstRowFirstColumn="0" w:firstRowLastColumn="0" w:lastRowFirstColumn="0" w:lastRowLastColumn="0"/>
            </w:pPr>
            <w:r w:rsidRPr="007D51B9">
              <w:t>Female</w:t>
            </w:r>
          </w:p>
        </w:tc>
        <w:tc>
          <w:tcPr>
            <w:tcW w:w="1511" w:type="dxa"/>
          </w:tcPr>
          <w:p w14:paraId="78D49008" w14:textId="77777777" w:rsidR="00F4779F" w:rsidRPr="007D51B9" w:rsidRDefault="00F4779F" w:rsidP="009A6C8A">
            <w:pPr>
              <w:cnfStyle w:val="000000000000" w:firstRow="0" w:lastRow="0" w:firstColumn="0" w:lastColumn="0" w:oddVBand="0" w:evenVBand="0" w:oddHBand="0" w:evenHBand="0" w:firstRowFirstColumn="0" w:firstRowLastColumn="0" w:lastRowFirstColumn="0" w:lastRowLastColumn="0"/>
            </w:pPr>
            <w:r w:rsidRPr="007D51B9">
              <w:t>Pharyngeal</w:t>
            </w:r>
          </w:p>
        </w:tc>
        <w:tc>
          <w:tcPr>
            <w:tcW w:w="1435" w:type="dxa"/>
          </w:tcPr>
          <w:p w14:paraId="0DA67EEA" w14:textId="77777777" w:rsidR="00F4779F" w:rsidRPr="007D51B9" w:rsidRDefault="00F4779F" w:rsidP="009A6C8A">
            <w:pPr>
              <w:cnfStyle w:val="000000000000" w:firstRow="0" w:lastRow="0" w:firstColumn="0" w:lastColumn="0" w:oddVBand="0" w:evenVBand="0" w:oddHBand="0" w:evenHBand="0" w:firstRowFirstColumn="0" w:firstRowLastColumn="0" w:lastRowFirstColumn="0" w:lastRowLastColumn="0"/>
            </w:pPr>
            <w:r w:rsidRPr="00541A1B">
              <w:rPr>
                <w:color w:val="FF0000"/>
              </w:rPr>
              <w:t>Positive</w:t>
            </w:r>
          </w:p>
        </w:tc>
        <w:tc>
          <w:tcPr>
            <w:tcW w:w="1577" w:type="dxa"/>
          </w:tcPr>
          <w:p w14:paraId="475FA229" w14:textId="77777777" w:rsidR="00F4779F" w:rsidRPr="007D51B9" w:rsidRDefault="00F4779F" w:rsidP="009A6C8A">
            <w:pPr>
              <w:cnfStyle w:val="000000000000" w:firstRow="0" w:lastRow="0" w:firstColumn="0" w:lastColumn="0" w:oddVBand="0" w:evenVBand="0" w:oddHBand="0" w:evenHBand="0" w:firstRowFirstColumn="0" w:firstRowLastColumn="0" w:lastRowFirstColumn="0" w:lastRowLastColumn="0"/>
            </w:pPr>
            <w:r w:rsidRPr="00541A1B">
              <w:rPr>
                <w:color w:val="FF0000"/>
              </w:rPr>
              <w:t>Positive</w:t>
            </w:r>
          </w:p>
        </w:tc>
      </w:tr>
      <w:tr w:rsidR="00F4779F" w:rsidRPr="007D51B9" w14:paraId="71DC4147" w14:textId="77777777" w:rsidTr="006C1A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9" w:type="dxa"/>
          </w:tcPr>
          <w:p w14:paraId="468489AF" w14:textId="77777777" w:rsidR="00F4779F" w:rsidRPr="007D51B9" w:rsidRDefault="00F4779F" w:rsidP="009A6C8A">
            <w:r w:rsidRPr="007D51B9">
              <w:t>4</w:t>
            </w:r>
          </w:p>
        </w:tc>
        <w:tc>
          <w:tcPr>
            <w:tcW w:w="1511" w:type="dxa"/>
          </w:tcPr>
          <w:p w14:paraId="65A2D018" w14:textId="77777777" w:rsidR="00F4779F" w:rsidRPr="007D51B9" w:rsidRDefault="00F4779F" w:rsidP="009A6C8A">
            <w:pPr>
              <w:cnfStyle w:val="000000100000" w:firstRow="0" w:lastRow="0" w:firstColumn="0" w:lastColumn="0" w:oddVBand="0" w:evenVBand="0" w:oddHBand="1" w:evenHBand="0" w:firstRowFirstColumn="0" w:firstRowLastColumn="0" w:lastRowFirstColumn="0" w:lastRowLastColumn="0"/>
            </w:pPr>
            <w:r w:rsidRPr="007D51B9">
              <w:t>Male</w:t>
            </w:r>
          </w:p>
        </w:tc>
        <w:tc>
          <w:tcPr>
            <w:tcW w:w="1511" w:type="dxa"/>
          </w:tcPr>
          <w:p w14:paraId="32161A89" w14:textId="77777777" w:rsidR="00F4779F" w:rsidRPr="007D51B9" w:rsidRDefault="00F4779F" w:rsidP="009A6C8A">
            <w:pPr>
              <w:cnfStyle w:val="000000100000" w:firstRow="0" w:lastRow="0" w:firstColumn="0" w:lastColumn="0" w:oddVBand="0" w:evenVBand="0" w:oddHBand="1" w:evenHBand="0" w:firstRowFirstColumn="0" w:firstRowLastColumn="0" w:lastRowFirstColumn="0" w:lastRowLastColumn="0"/>
            </w:pPr>
            <w:r w:rsidRPr="007D51B9">
              <w:t>--</w:t>
            </w:r>
          </w:p>
        </w:tc>
        <w:tc>
          <w:tcPr>
            <w:tcW w:w="1435" w:type="dxa"/>
          </w:tcPr>
          <w:p w14:paraId="1504D03D" w14:textId="77777777" w:rsidR="00F4779F" w:rsidRPr="007D51B9" w:rsidRDefault="00F4779F" w:rsidP="009A6C8A">
            <w:pPr>
              <w:cnfStyle w:val="000000100000" w:firstRow="0" w:lastRow="0" w:firstColumn="0" w:lastColumn="0" w:oddVBand="0" w:evenVBand="0" w:oddHBand="1" w:evenHBand="0" w:firstRowFirstColumn="0" w:firstRowLastColumn="0" w:lastRowFirstColumn="0" w:lastRowLastColumn="0"/>
            </w:pPr>
            <w:r w:rsidRPr="007D51B9">
              <w:t>--</w:t>
            </w:r>
          </w:p>
        </w:tc>
        <w:tc>
          <w:tcPr>
            <w:tcW w:w="1577" w:type="dxa"/>
          </w:tcPr>
          <w:p w14:paraId="74B57F29" w14:textId="77777777" w:rsidR="00F4779F" w:rsidRPr="007D51B9" w:rsidRDefault="00F4779F" w:rsidP="009A6C8A">
            <w:pPr>
              <w:cnfStyle w:val="000000100000" w:firstRow="0" w:lastRow="0" w:firstColumn="0" w:lastColumn="0" w:oddVBand="0" w:evenVBand="0" w:oddHBand="1" w:evenHBand="0" w:firstRowFirstColumn="0" w:firstRowLastColumn="0" w:lastRowFirstColumn="0" w:lastRowLastColumn="0"/>
            </w:pPr>
            <w:r w:rsidRPr="007D51B9">
              <w:t>--</w:t>
            </w:r>
          </w:p>
        </w:tc>
      </w:tr>
    </w:tbl>
    <w:p w14:paraId="29C12486" w14:textId="77777777" w:rsidR="00F4779F" w:rsidRPr="007D51B9" w:rsidRDefault="00F4779F" w:rsidP="009A6C8A"/>
    <w:p w14:paraId="5AD87CDF" w14:textId="77777777" w:rsidR="00083319" w:rsidRPr="00541A1B" w:rsidRDefault="00083319" w:rsidP="009A6C8A">
      <w:pPr>
        <w:rPr>
          <w:b/>
          <w:bCs/>
        </w:rPr>
      </w:pPr>
      <w:r w:rsidRPr="00541A1B">
        <w:rPr>
          <w:b/>
          <w:bCs/>
        </w:rPr>
        <w:t xml:space="preserve">Key Points: </w:t>
      </w:r>
    </w:p>
    <w:p w14:paraId="3E3B665B" w14:textId="7618E4E9" w:rsidR="00083319" w:rsidRPr="00083319" w:rsidRDefault="00083319" w:rsidP="009A6C8A">
      <w:pPr>
        <w:pStyle w:val="ListParagraph"/>
        <w:numPr>
          <w:ilvl w:val="0"/>
          <w:numId w:val="13"/>
        </w:numPr>
      </w:pPr>
      <w:r w:rsidRPr="00083319">
        <w:t>Four patients (</w:t>
      </w:r>
      <w:r w:rsidRPr="00083319">
        <w:rPr>
          <w:b/>
          <w:bCs/>
        </w:rPr>
        <w:t>Patients 1–4</w:t>
      </w:r>
      <w:r w:rsidRPr="00083319">
        <w:t xml:space="preserve">) were not cured after initial treatment with CDC-recommended therapy. </w:t>
      </w:r>
    </w:p>
    <w:p w14:paraId="07D287C1" w14:textId="760305A5" w:rsidR="00083319" w:rsidRPr="00083319" w:rsidRDefault="00083319" w:rsidP="009A6C8A">
      <w:pPr>
        <w:pStyle w:val="ListParagraph"/>
        <w:numPr>
          <w:ilvl w:val="0"/>
          <w:numId w:val="13"/>
        </w:numPr>
      </w:pPr>
      <w:r w:rsidRPr="00083319">
        <w:t>For the 3 patients for whom laboratory antibiotic susceptibility tests are available (</w:t>
      </w:r>
      <w:r w:rsidRPr="00083319">
        <w:rPr>
          <w:b/>
          <w:bCs/>
        </w:rPr>
        <w:t xml:space="preserve">Patients 1, 3, and 4), </w:t>
      </w:r>
      <w:r w:rsidRPr="00083319">
        <w:t xml:space="preserve">their infections are </w:t>
      </w:r>
      <w:proofErr w:type="gramStart"/>
      <w:r w:rsidRPr="00083319">
        <w:t>ceftriaxone-resistant</w:t>
      </w:r>
      <w:proofErr w:type="gramEnd"/>
      <w:r w:rsidRPr="00083319">
        <w:t>. (</w:t>
      </w:r>
      <w:r w:rsidRPr="00083319">
        <w:rPr>
          <w:b/>
          <w:bCs/>
        </w:rPr>
        <w:t>Patient 2’s</w:t>
      </w:r>
      <w:r w:rsidRPr="00083319">
        <w:t xml:space="preserve"> infection may also be resistant but antibiotic susceptibility results aren’t available to confirm this</w:t>
      </w:r>
      <w:r w:rsidR="00BD5C2D">
        <w:t>.</w:t>
      </w:r>
      <w:r w:rsidRPr="00083319">
        <w:t>)</w:t>
      </w:r>
    </w:p>
    <w:p w14:paraId="32AEB0A9" w14:textId="5F849FD0" w:rsidR="00083319" w:rsidRPr="00083319" w:rsidRDefault="00083319" w:rsidP="009A6C8A">
      <w:pPr>
        <w:pStyle w:val="ListParagraph"/>
        <w:numPr>
          <w:ilvl w:val="0"/>
          <w:numId w:val="13"/>
        </w:numPr>
      </w:pPr>
      <w:r w:rsidRPr="00083319">
        <w:t xml:space="preserve">Based on testing done at the follow-up visits, </w:t>
      </w:r>
      <w:r w:rsidRPr="00083319">
        <w:rPr>
          <w:b/>
          <w:bCs/>
        </w:rPr>
        <w:t>Patient 2</w:t>
      </w:r>
      <w:r w:rsidRPr="00083319">
        <w:t xml:space="preserve"> has been cured. </w:t>
      </w:r>
      <w:r w:rsidRPr="00083319">
        <w:rPr>
          <w:b/>
          <w:bCs/>
        </w:rPr>
        <w:t>Patients 1 and 3</w:t>
      </w:r>
      <w:r w:rsidRPr="00083319">
        <w:t xml:space="preserve"> are still infected due to antibiotic-resistant infections. </w:t>
      </w:r>
    </w:p>
    <w:p w14:paraId="3271DED0" w14:textId="043F6E88" w:rsidR="00083319" w:rsidRPr="00083319" w:rsidRDefault="00083319" w:rsidP="009A6C8A">
      <w:pPr>
        <w:pStyle w:val="ListParagraph"/>
        <w:numPr>
          <w:ilvl w:val="0"/>
          <w:numId w:val="13"/>
        </w:numPr>
      </w:pPr>
      <w:r w:rsidRPr="00083319">
        <w:rPr>
          <w:b/>
          <w:bCs/>
        </w:rPr>
        <w:t>Patient 4</w:t>
      </w:r>
      <w:r w:rsidRPr="00083319">
        <w:t xml:space="preserve"> did not return for follow-up testing. It’s unknown whether he was cured or remains infected.</w:t>
      </w:r>
    </w:p>
    <w:p w14:paraId="7C2E06AD" w14:textId="77777777" w:rsidR="00083319" w:rsidRPr="00083319" w:rsidRDefault="00083319" w:rsidP="009A6C8A">
      <w:r w:rsidRPr="00083319">
        <w:t xml:space="preserve">At this point, the local health department consults with CDC about the clinical management of </w:t>
      </w:r>
      <w:r w:rsidRPr="00083319">
        <w:rPr>
          <w:b/>
          <w:bCs/>
        </w:rPr>
        <w:t>Patients 1 and 3</w:t>
      </w:r>
      <w:r w:rsidRPr="00083319">
        <w:t xml:space="preserve">.  The local jurisdiction sends isolates from </w:t>
      </w:r>
      <w:r w:rsidRPr="00083319">
        <w:rPr>
          <w:b/>
          <w:bCs/>
        </w:rPr>
        <w:t>Patients 1, 3, and 4</w:t>
      </w:r>
      <w:r w:rsidRPr="00083319">
        <w:t xml:space="preserve"> to CDC. As a reminder, </w:t>
      </w:r>
      <w:r w:rsidRPr="00083319">
        <w:rPr>
          <w:b/>
          <w:bCs/>
        </w:rPr>
        <w:t>Patient 4</w:t>
      </w:r>
      <w:r w:rsidRPr="00083319">
        <w:t xml:space="preserve"> was lost to follow-up.</w:t>
      </w:r>
    </w:p>
    <w:p w14:paraId="31902EE3" w14:textId="3C63191F" w:rsidR="00083319" w:rsidRPr="00083319" w:rsidRDefault="00083319" w:rsidP="009A6C8A">
      <w:r w:rsidRPr="00083319">
        <w:t>CDC performs additional antibiotic susceptibility testing and confirms that the isolates demonstrate reduced ceftriaxone susceptibility. The isolates also demonstrate resistance or reduced susceptibility to penicillin, gentamicin, ciprofloxacin, azithromycin, and tetracycline.  CDC recommends treating both patients with persistent infections (</w:t>
      </w:r>
      <w:r w:rsidRPr="007368C4">
        <w:rPr>
          <w:b/>
          <w:bCs/>
        </w:rPr>
        <w:t xml:space="preserve">Patients 1 </w:t>
      </w:r>
      <w:r w:rsidRPr="007368C4">
        <w:t>and</w:t>
      </w:r>
      <w:r w:rsidRPr="007368C4">
        <w:rPr>
          <w:b/>
          <w:bCs/>
        </w:rPr>
        <w:t xml:space="preserve"> 3</w:t>
      </w:r>
      <w:r w:rsidRPr="00083319">
        <w:t xml:space="preserve">) with a higher dosage of ceftriaxone and performing another test of cure </w:t>
      </w:r>
      <w:r w:rsidR="00B51BDB">
        <w:t xml:space="preserve">(with the timing as per CDC recommendations) </w:t>
      </w:r>
      <w:r w:rsidRPr="00083319">
        <w:t>after re-treatment.  CDC also performs whole genome sequencing on the isolates to identify strain type and any known resistance markers.</w:t>
      </w:r>
    </w:p>
    <w:p w14:paraId="1DE9E9C3" w14:textId="77777777" w:rsidR="00083319" w:rsidRPr="00083319" w:rsidRDefault="00083319" w:rsidP="009A6C8A">
      <w:r w:rsidRPr="007368C4">
        <w:rPr>
          <w:b/>
          <w:bCs/>
        </w:rPr>
        <w:t>Patients</w:t>
      </w:r>
      <w:r w:rsidRPr="00083319">
        <w:t xml:space="preserve"> </w:t>
      </w:r>
      <w:r w:rsidRPr="007368C4">
        <w:rPr>
          <w:b/>
          <w:bCs/>
        </w:rPr>
        <w:t>1</w:t>
      </w:r>
      <w:r w:rsidRPr="00083319">
        <w:t xml:space="preserve"> and </w:t>
      </w:r>
      <w:r w:rsidRPr="007368C4">
        <w:rPr>
          <w:b/>
          <w:bCs/>
        </w:rPr>
        <w:t>3</w:t>
      </w:r>
      <w:r w:rsidRPr="00083319">
        <w:t xml:space="preserve"> are re-treated with the higher ceftriaxone dose. </w:t>
      </w:r>
    </w:p>
    <w:p w14:paraId="37A0FB3F" w14:textId="77777777" w:rsidR="00083319" w:rsidRPr="00083319" w:rsidRDefault="00083319" w:rsidP="009A6C8A">
      <w:r w:rsidRPr="00083319">
        <w:t xml:space="preserve">At the follow-up visits after re-treatment, </w:t>
      </w:r>
      <w:r w:rsidRPr="007368C4">
        <w:rPr>
          <w:b/>
          <w:bCs/>
        </w:rPr>
        <w:t>Patient</w:t>
      </w:r>
      <w:r w:rsidRPr="00083319">
        <w:t xml:space="preserve"> </w:t>
      </w:r>
      <w:r w:rsidRPr="007368C4">
        <w:rPr>
          <w:b/>
          <w:bCs/>
        </w:rPr>
        <w:t>1</w:t>
      </w:r>
      <w:r w:rsidRPr="00083319">
        <w:t xml:space="preserve"> tests negative for gonorrhea by NAAT and culture. </w:t>
      </w:r>
    </w:p>
    <w:p w14:paraId="35D35EAD" w14:textId="0243B570" w:rsidR="00083319" w:rsidRPr="00083319" w:rsidRDefault="00083319" w:rsidP="009A6C8A">
      <w:r w:rsidRPr="00083319">
        <w:lastRenderedPageBreak/>
        <w:t xml:space="preserve">However, </w:t>
      </w:r>
      <w:r w:rsidRPr="007368C4">
        <w:rPr>
          <w:b/>
          <w:bCs/>
        </w:rPr>
        <w:t>Patient</w:t>
      </w:r>
      <w:r w:rsidRPr="00083319">
        <w:t xml:space="preserve"> </w:t>
      </w:r>
      <w:r w:rsidRPr="007368C4">
        <w:rPr>
          <w:b/>
          <w:bCs/>
        </w:rPr>
        <w:t>3’s</w:t>
      </w:r>
      <w:r w:rsidRPr="00083319">
        <w:t xml:space="preserve"> pharyngeal specimen tests positive on both NAAT and culture. Thus, </w:t>
      </w:r>
      <w:r w:rsidRPr="007368C4">
        <w:rPr>
          <w:b/>
          <w:bCs/>
        </w:rPr>
        <w:t>Patient</w:t>
      </w:r>
      <w:r w:rsidRPr="00083319">
        <w:t xml:space="preserve"> </w:t>
      </w:r>
      <w:r w:rsidRPr="007368C4">
        <w:rPr>
          <w:b/>
          <w:bCs/>
        </w:rPr>
        <w:t>3</w:t>
      </w:r>
      <w:r w:rsidRPr="00083319">
        <w:t xml:space="preserve"> remains infected. </w:t>
      </w:r>
      <w:r w:rsidRPr="007368C4">
        <w:rPr>
          <w:b/>
          <w:bCs/>
        </w:rPr>
        <w:t>Patient 3</w:t>
      </w:r>
      <w:r w:rsidRPr="00083319">
        <w:t xml:space="preserve"> denies having had sex in the prior 3 weeks.  </w:t>
      </w:r>
    </w:p>
    <w:p w14:paraId="6040094C" w14:textId="6CFC9029" w:rsidR="00B51BDB" w:rsidRPr="00083319" w:rsidRDefault="00B51BDB" w:rsidP="009A6C8A">
      <w:r w:rsidRPr="00083319">
        <w:t xml:space="preserve">The health department again consults with CDC. Because of the challenges faced with treatment of this patient, CDC performs </w:t>
      </w:r>
      <w:r>
        <w:t>additional</w:t>
      </w:r>
      <w:r w:rsidRPr="00083319">
        <w:t xml:space="preserve"> susceptibility testing. </w:t>
      </w:r>
      <w:r>
        <w:t xml:space="preserve">In light of the inability to cure the infection with ceftriaxone and the new susceptibility results, </w:t>
      </w:r>
      <w:r w:rsidRPr="00083319">
        <w:t xml:space="preserve">CDC </w:t>
      </w:r>
      <w:r>
        <w:t xml:space="preserve">provides guidance beyond what is in the STD Treatment Guidelines and </w:t>
      </w:r>
      <w:r w:rsidRPr="00083319">
        <w:t xml:space="preserve">suggests that the health department arrange for </w:t>
      </w:r>
      <w:r w:rsidRPr="007368C4">
        <w:rPr>
          <w:b/>
          <w:bCs/>
        </w:rPr>
        <w:t>Patient 3</w:t>
      </w:r>
      <w:r w:rsidRPr="00083319">
        <w:t xml:space="preserve"> to receive</w:t>
      </w:r>
      <w:r>
        <w:t xml:space="preserve"> an</w:t>
      </w:r>
      <w:r w:rsidRPr="00083319">
        <w:t xml:space="preserve"> </w:t>
      </w:r>
      <w:r>
        <w:t>intravenous (IV) antibiotic treatment</w:t>
      </w:r>
      <w:r w:rsidRPr="00083319">
        <w:t xml:space="preserve"> and perform another test of cure </w:t>
      </w:r>
      <w:r>
        <w:t>after treatment (with timing as per CDC recommendations)</w:t>
      </w:r>
      <w:r w:rsidRPr="00083319">
        <w:t xml:space="preserve">. </w:t>
      </w:r>
    </w:p>
    <w:p w14:paraId="5364D157" w14:textId="77777777" w:rsidR="00083319" w:rsidRPr="00083319" w:rsidRDefault="00083319" w:rsidP="009A6C8A">
      <w:r w:rsidRPr="00083319">
        <w:t xml:space="preserve">At the follow-up visit, </w:t>
      </w:r>
      <w:r w:rsidRPr="007368C4">
        <w:rPr>
          <w:b/>
          <w:bCs/>
        </w:rPr>
        <w:t>Patient 3</w:t>
      </w:r>
      <w:r w:rsidRPr="00083319">
        <w:t xml:space="preserve"> has a negative pharyngeal culture and NAAT and is considered cured.</w:t>
      </w:r>
    </w:p>
    <w:p w14:paraId="3FBC960C" w14:textId="25C0214A" w:rsidR="00F4779F" w:rsidRDefault="00083319" w:rsidP="009A6C8A">
      <w:r w:rsidRPr="00083319">
        <w:t xml:space="preserve">Since the initial four cases were reported, six new patients with suspected treatment failures are reported to the local or state health department. Two of the patients are cisgender men who were seen at the local STD clinic and reported recent sex with other men, and recently tested HIV-negative.  </w:t>
      </w:r>
    </w:p>
    <w:p w14:paraId="7822EF04" w14:textId="60027C8F" w:rsidR="00F4779F" w:rsidRDefault="000E5FF5" w:rsidP="009A6C8A">
      <w:pPr>
        <w:pStyle w:val="HeadingFive"/>
      </w:pPr>
      <w:r w:rsidRPr="007D51B9">
        <w:t>Questions:</w:t>
      </w:r>
    </w:p>
    <w:p w14:paraId="0A53BADE" w14:textId="12F30852" w:rsidR="003053CC" w:rsidRDefault="003053CC" w:rsidP="009A6C8A">
      <w:pPr>
        <w:pStyle w:val="ListParagraph"/>
        <w:numPr>
          <w:ilvl w:val="0"/>
          <w:numId w:val="25"/>
        </w:numPr>
      </w:pPr>
      <w:r w:rsidRPr="003053CC">
        <w:t xml:space="preserve">Given this current situation, are there changes to whether an ICS is established at the local or state level, or in which ICS components are stood up? </w:t>
      </w:r>
    </w:p>
    <w:p w14:paraId="020DC37F" w14:textId="6381ABD8" w:rsidR="003053CC" w:rsidRDefault="00B51BDB" w:rsidP="009A6C8A">
      <w:pPr>
        <w:pStyle w:val="ListParagraph"/>
        <w:numPr>
          <w:ilvl w:val="0"/>
          <w:numId w:val="25"/>
        </w:numPr>
      </w:pPr>
      <w:r>
        <w:t>If so, w</w:t>
      </w:r>
      <w:r w:rsidR="003053CC" w:rsidRPr="003053CC">
        <w:t xml:space="preserve">ho leads the response? </w:t>
      </w:r>
    </w:p>
    <w:p w14:paraId="6BA70150" w14:textId="79CF47F4" w:rsidR="003053CC" w:rsidRPr="003053CC" w:rsidRDefault="003053CC" w:rsidP="009A6C8A">
      <w:pPr>
        <w:pStyle w:val="ListParagraph"/>
        <w:numPr>
          <w:ilvl w:val="0"/>
          <w:numId w:val="25"/>
        </w:numPr>
      </w:pPr>
      <w:r w:rsidRPr="003053CC">
        <w:t xml:space="preserve">Given the confirmed local presence of ceftriaxone-resistant gonorrhea, what, if any, additional actions would the state and/or local health departments take? </w:t>
      </w:r>
    </w:p>
    <w:p w14:paraId="0B83FDE4" w14:textId="42137791" w:rsidR="003053CC" w:rsidRDefault="003053CC" w:rsidP="009A6C8A">
      <w:pPr>
        <w:pStyle w:val="ListParagraph"/>
        <w:numPr>
          <w:ilvl w:val="0"/>
          <w:numId w:val="25"/>
        </w:numPr>
      </w:pPr>
      <w:r w:rsidRPr="003053CC">
        <w:t xml:space="preserve">What guidance will be provided to local healthcare providers regarding gonorrhea testing, treatment, and follow-up, and who will provide the guidance to healthcare providers? </w:t>
      </w:r>
    </w:p>
    <w:p w14:paraId="0C3AA176" w14:textId="77777777" w:rsidR="003053CC" w:rsidRDefault="003053CC" w:rsidP="009A6C8A">
      <w:pPr>
        <w:pStyle w:val="ListParagraph"/>
        <w:numPr>
          <w:ilvl w:val="0"/>
          <w:numId w:val="25"/>
        </w:numPr>
      </w:pPr>
      <w:r w:rsidRPr="003053CC">
        <w:t xml:space="preserve">Does the health department conduct efforts to increase local access to specimen collection for GC culture, AST, or molecular surveillance? </w:t>
      </w:r>
    </w:p>
    <w:p w14:paraId="39DE4B65" w14:textId="6E16E497" w:rsidR="003053CC" w:rsidRPr="003053CC" w:rsidRDefault="003053CC" w:rsidP="009A6C8A">
      <w:pPr>
        <w:pStyle w:val="ListParagraph"/>
        <w:numPr>
          <w:ilvl w:val="0"/>
          <w:numId w:val="27"/>
        </w:numPr>
      </w:pPr>
      <w:r w:rsidRPr="003053CC">
        <w:t xml:space="preserve">How are these efforts funded? </w:t>
      </w:r>
    </w:p>
    <w:p w14:paraId="0C6D991D" w14:textId="61CBA594" w:rsidR="003053CC" w:rsidRPr="00642F99" w:rsidRDefault="003053CC" w:rsidP="00BD5C2D">
      <w:pPr>
        <w:ind w:left="1080"/>
        <w:rPr>
          <w:color w:val="FF0000"/>
        </w:rPr>
      </w:pPr>
      <w:r w:rsidRPr="00642F99">
        <w:t>FACILITATOR PROBES</w:t>
      </w:r>
      <w:r w:rsidR="00642F99" w:rsidRPr="00642F99">
        <w:t xml:space="preserve"> for Question 5</w:t>
      </w:r>
      <w:r w:rsidRPr="00642F99">
        <w:t>:</w:t>
      </w:r>
    </w:p>
    <w:p w14:paraId="63979CBD" w14:textId="77777777" w:rsidR="003053CC" w:rsidRPr="00642F99" w:rsidRDefault="003053CC" w:rsidP="009A6C8A">
      <w:pPr>
        <w:pStyle w:val="ListParagraph"/>
        <w:numPr>
          <w:ilvl w:val="0"/>
          <w:numId w:val="20"/>
        </w:numPr>
      </w:pPr>
      <w:r w:rsidRPr="00642F99">
        <w:t xml:space="preserve">Where can patients have specimens collected for culture?  </w:t>
      </w:r>
    </w:p>
    <w:p w14:paraId="4A64E922" w14:textId="77777777" w:rsidR="003053CC" w:rsidRPr="00642F99" w:rsidRDefault="003053CC" w:rsidP="009A6C8A">
      <w:pPr>
        <w:pStyle w:val="ListParagraph"/>
        <w:numPr>
          <w:ilvl w:val="0"/>
          <w:numId w:val="20"/>
        </w:numPr>
      </w:pPr>
      <w:r w:rsidRPr="00642F99">
        <w:t xml:space="preserve">Especially if specimens collected for culture in settings other than an STD clinic, how will these activities be organized? </w:t>
      </w:r>
    </w:p>
    <w:p w14:paraId="1C509B77" w14:textId="77777777" w:rsidR="003053CC" w:rsidRPr="00642F99" w:rsidRDefault="003053CC" w:rsidP="009A6C8A">
      <w:pPr>
        <w:pStyle w:val="ListParagraph"/>
        <w:numPr>
          <w:ilvl w:val="0"/>
          <w:numId w:val="20"/>
        </w:numPr>
      </w:pPr>
      <w:r w:rsidRPr="00642F99">
        <w:t xml:space="preserve">Who will supply and distribute specimen collection materials and transport media (such as </w:t>
      </w:r>
      <w:proofErr w:type="spellStart"/>
      <w:r w:rsidRPr="00642F99">
        <w:t>InTray</w:t>
      </w:r>
      <w:proofErr w:type="spellEnd"/>
      <w:r w:rsidRPr="00642F99">
        <w:t xml:space="preserve"> or BBL swabs) to clinicians?</w:t>
      </w:r>
    </w:p>
    <w:p w14:paraId="5B68DD1A" w14:textId="77777777" w:rsidR="003053CC" w:rsidRPr="00642F99" w:rsidRDefault="003053CC" w:rsidP="009A6C8A">
      <w:pPr>
        <w:pStyle w:val="ListParagraph"/>
        <w:numPr>
          <w:ilvl w:val="0"/>
          <w:numId w:val="20"/>
        </w:numPr>
      </w:pPr>
      <w:r w:rsidRPr="00642F99">
        <w:t>How will specimens be transported to a laboratory that can perform culture and AST?</w:t>
      </w:r>
    </w:p>
    <w:p w14:paraId="60F7031D" w14:textId="77777777" w:rsidR="003053CC" w:rsidRPr="00642F99" w:rsidRDefault="003053CC" w:rsidP="009A6C8A">
      <w:pPr>
        <w:pStyle w:val="ListParagraph"/>
        <w:numPr>
          <w:ilvl w:val="0"/>
          <w:numId w:val="20"/>
        </w:numPr>
      </w:pPr>
      <w:r w:rsidRPr="00642F99">
        <w:t xml:space="preserve">If AST capacity exists at a local or state lab, does that lab have the capacity to increase testing if the outbreak continues to expand?  </w:t>
      </w:r>
    </w:p>
    <w:p w14:paraId="7F3F531C" w14:textId="77777777" w:rsidR="003053CC" w:rsidRPr="00642F99" w:rsidRDefault="003053CC" w:rsidP="009A6C8A">
      <w:pPr>
        <w:pStyle w:val="ListParagraph"/>
        <w:numPr>
          <w:ilvl w:val="0"/>
          <w:numId w:val="20"/>
        </w:numPr>
      </w:pPr>
      <w:r w:rsidRPr="00642F99">
        <w:lastRenderedPageBreak/>
        <w:t xml:space="preserve">Are sufficient supplies and staffing available for expanded testing? If not, what, if any, planning needs to happen now to begin preparing for expanding antibiotic susceptibility testing capacity? </w:t>
      </w:r>
    </w:p>
    <w:p w14:paraId="1612CF0A" w14:textId="30337399" w:rsidR="003053CC" w:rsidRDefault="003053CC" w:rsidP="009A6C8A">
      <w:pPr>
        <w:pStyle w:val="ListParagraph"/>
        <w:numPr>
          <w:ilvl w:val="0"/>
          <w:numId w:val="20"/>
        </w:numPr>
      </w:pPr>
      <w:r w:rsidRPr="00642F99">
        <w:t xml:space="preserve">If there is no current local AST capacity, what other options would the health department consider </w:t>
      </w:r>
      <w:proofErr w:type="gramStart"/>
      <w:r w:rsidRPr="00642F99">
        <w:t>to facilitate</w:t>
      </w:r>
      <w:proofErr w:type="gramEnd"/>
      <w:r w:rsidRPr="00642F99">
        <w:t xml:space="preserve"> access to AST (e.g.</w:t>
      </w:r>
      <w:r w:rsidR="00B51BDB">
        <w:t>,</w:t>
      </w:r>
      <w:r w:rsidRPr="00642F99">
        <w:t xml:space="preserve"> developing capacity, establishing agreements with other laboratories, sending to CDC or a designated regional ARGC laboratory)</w:t>
      </w:r>
      <w:r w:rsidR="00BD5C2D">
        <w:t>?</w:t>
      </w:r>
      <w:r w:rsidRPr="00642F99">
        <w:t xml:space="preserve"> </w:t>
      </w:r>
    </w:p>
    <w:p w14:paraId="2681E8C6" w14:textId="21454923" w:rsidR="003053CC" w:rsidRDefault="003053CC" w:rsidP="009A6C8A">
      <w:pPr>
        <w:pStyle w:val="ListParagraph"/>
        <w:numPr>
          <w:ilvl w:val="0"/>
          <w:numId w:val="25"/>
        </w:numPr>
      </w:pPr>
      <w:r w:rsidRPr="003053CC">
        <w:t xml:space="preserve">How will you arrange intravenous </w:t>
      </w:r>
      <w:r w:rsidR="00B51BDB">
        <w:t xml:space="preserve">antibiotic drug </w:t>
      </w:r>
      <w:r w:rsidRPr="003053CC">
        <w:t>administration?</w:t>
      </w:r>
    </w:p>
    <w:p w14:paraId="3332340B" w14:textId="589009C6" w:rsidR="003053CC" w:rsidRDefault="003053CC" w:rsidP="00BD5C2D">
      <w:pPr>
        <w:pStyle w:val="ListParagraph"/>
        <w:numPr>
          <w:ilvl w:val="0"/>
          <w:numId w:val="25"/>
        </w:numPr>
      </w:pPr>
      <w:r w:rsidRPr="003053CC">
        <w:t>What role will DIS continue to play with this outbreak? Are any protocol modifications are needed for how DIS respond to these cases?</w:t>
      </w:r>
      <w:r>
        <w:t xml:space="preserve">  </w:t>
      </w:r>
    </w:p>
    <w:p w14:paraId="28035CB8" w14:textId="1B101626" w:rsidR="003053CC" w:rsidRPr="00642F99" w:rsidRDefault="003053CC" w:rsidP="00BD5C2D">
      <w:pPr>
        <w:ind w:left="1080"/>
        <w:rPr>
          <w:color w:val="FF0000"/>
        </w:rPr>
      </w:pPr>
      <w:r w:rsidRPr="00642F99">
        <w:t>FACILITATOR PROBES</w:t>
      </w:r>
      <w:r w:rsidR="00642F99" w:rsidRPr="00642F99">
        <w:t xml:space="preserve"> for Question 7</w:t>
      </w:r>
      <w:r w:rsidRPr="00642F99">
        <w:t>:</w:t>
      </w:r>
    </w:p>
    <w:p w14:paraId="2408C6B4" w14:textId="77777777" w:rsidR="003053CC" w:rsidRPr="00642F99" w:rsidRDefault="003053CC" w:rsidP="009A6C8A">
      <w:pPr>
        <w:pStyle w:val="ListParagraph"/>
        <w:numPr>
          <w:ilvl w:val="0"/>
          <w:numId w:val="20"/>
        </w:numPr>
      </w:pPr>
      <w:r w:rsidRPr="00642F99">
        <w:t>Does the jurisdiction need to change any DIS scripts, tasks, data collection processes, and/or protocols to best respond to these cases?</w:t>
      </w:r>
    </w:p>
    <w:p w14:paraId="7FBBA248" w14:textId="77777777" w:rsidR="003053CC" w:rsidRPr="00642F99" w:rsidRDefault="003053CC" w:rsidP="009A6C8A">
      <w:pPr>
        <w:pStyle w:val="ListParagraph"/>
        <w:numPr>
          <w:ilvl w:val="0"/>
          <w:numId w:val="20"/>
        </w:numPr>
      </w:pPr>
      <w:r w:rsidRPr="00642F99">
        <w:t xml:space="preserve">Will DIS be asked to change their current approach for field investigations? </w:t>
      </w:r>
    </w:p>
    <w:p w14:paraId="5C4D9B84" w14:textId="77777777" w:rsidR="003053CC" w:rsidRPr="00642F99" w:rsidRDefault="003053CC" w:rsidP="009A6C8A">
      <w:pPr>
        <w:pStyle w:val="ListParagraph"/>
        <w:numPr>
          <w:ilvl w:val="0"/>
          <w:numId w:val="20"/>
        </w:numPr>
      </w:pPr>
      <w:r w:rsidRPr="00642F99">
        <w:t xml:space="preserve">Consider what the DIS approach will be when clients or partners do not respond, do not provide locating information about partners, or do not follow-up for care and testing. </w:t>
      </w:r>
    </w:p>
    <w:p w14:paraId="2853FE6E" w14:textId="77777777" w:rsidR="003053CC" w:rsidRPr="00642F99" w:rsidRDefault="003053CC" w:rsidP="009A6C8A">
      <w:pPr>
        <w:pStyle w:val="ListParagraph"/>
        <w:numPr>
          <w:ilvl w:val="0"/>
          <w:numId w:val="20"/>
        </w:numPr>
      </w:pPr>
      <w:r w:rsidRPr="00642F99">
        <w:t xml:space="preserve">Are the local or state policies to guide the approach?  </w:t>
      </w:r>
    </w:p>
    <w:p w14:paraId="7D06C35C" w14:textId="0D9E97EA" w:rsidR="003053CC" w:rsidRDefault="003053CC" w:rsidP="009A6C8A">
      <w:pPr>
        <w:pStyle w:val="ListParagraph"/>
        <w:numPr>
          <w:ilvl w:val="0"/>
          <w:numId w:val="20"/>
        </w:numPr>
      </w:pPr>
      <w:r w:rsidRPr="00642F99">
        <w:t xml:space="preserve">Are additional resources needed for DIS to work this outbreak or if the outbreak expands? Where would the additional resources come from? </w:t>
      </w:r>
    </w:p>
    <w:p w14:paraId="0E986336" w14:textId="77777777" w:rsidR="00642F99" w:rsidRDefault="003053CC" w:rsidP="009A6C8A">
      <w:pPr>
        <w:pStyle w:val="ListParagraph"/>
        <w:numPr>
          <w:ilvl w:val="0"/>
          <w:numId w:val="25"/>
        </w:numPr>
      </w:pPr>
      <w:r w:rsidRPr="003053CC">
        <w:t>Given the expanding outbreak and involvement of gay, bisexual, and men who have sex with men (MSM), what communication activities would be implemented or modified?</w:t>
      </w:r>
      <w:r>
        <w:t xml:space="preserve"> </w:t>
      </w:r>
    </w:p>
    <w:p w14:paraId="2E6A22C7" w14:textId="5F6ECE3A" w:rsidR="00642F99" w:rsidRDefault="003053CC" w:rsidP="009A6C8A">
      <w:pPr>
        <w:pStyle w:val="ListParagraph"/>
        <w:numPr>
          <w:ilvl w:val="1"/>
          <w:numId w:val="25"/>
        </w:numPr>
      </w:pPr>
      <w:r w:rsidRPr="00642F99">
        <w:t xml:space="preserve">Who leads the communication efforts and any clearing of messaging? </w:t>
      </w:r>
    </w:p>
    <w:p w14:paraId="0FF6AEBD" w14:textId="436C2C46" w:rsidR="003053CC" w:rsidRPr="00642F99" w:rsidRDefault="003053CC" w:rsidP="00BD5C2D">
      <w:pPr>
        <w:ind w:left="1080"/>
      </w:pPr>
      <w:r w:rsidRPr="00642F99">
        <w:t>FACILITATOR PROBES</w:t>
      </w:r>
      <w:r w:rsidR="00642F99" w:rsidRPr="00642F99">
        <w:t xml:space="preserve"> for Question 8</w:t>
      </w:r>
      <w:r w:rsidRPr="00642F99">
        <w:t>:</w:t>
      </w:r>
    </w:p>
    <w:p w14:paraId="059A45A8" w14:textId="77777777" w:rsidR="003053CC" w:rsidRPr="00642F99" w:rsidRDefault="003053CC" w:rsidP="009A6C8A">
      <w:pPr>
        <w:pStyle w:val="ListParagraph"/>
        <w:numPr>
          <w:ilvl w:val="0"/>
          <w:numId w:val="20"/>
        </w:numPr>
      </w:pPr>
      <w:r w:rsidRPr="00642F99">
        <w:t xml:space="preserve">Think about continued communication/revised messaging with CDC, local and state health department, local government, neighboring state health departments, the </w:t>
      </w:r>
      <w:proofErr w:type="gramStart"/>
      <w:r w:rsidRPr="00642F99">
        <w:t>general public</w:t>
      </w:r>
      <w:proofErr w:type="gramEnd"/>
      <w:r w:rsidRPr="00642F99">
        <w:t xml:space="preserve">, local providers, and the media.  </w:t>
      </w:r>
    </w:p>
    <w:p w14:paraId="0A6EEBF7" w14:textId="77777777" w:rsidR="003053CC" w:rsidRPr="00642F99" w:rsidRDefault="003053CC" w:rsidP="009A6C8A">
      <w:pPr>
        <w:pStyle w:val="ListParagraph"/>
        <w:numPr>
          <w:ilvl w:val="0"/>
          <w:numId w:val="20"/>
        </w:numPr>
      </w:pPr>
      <w:r w:rsidRPr="00642F99">
        <w:t>Given that the outbreak has now been identified as involving MSM, what communication efforts would be useful when engaging community healthcare providers, businesses, community leaders, and media who serve the LGBTQ communities?</w:t>
      </w:r>
    </w:p>
    <w:p w14:paraId="5C5F2378" w14:textId="77777777" w:rsidR="003053CC" w:rsidRPr="00642F99" w:rsidRDefault="003053CC" w:rsidP="009A6C8A">
      <w:pPr>
        <w:pStyle w:val="ListParagraph"/>
        <w:numPr>
          <w:ilvl w:val="0"/>
          <w:numId w:val="20"/>
        </w:numPr>
      </w:pPr>
      <w:r w:rsidRPr="00642F99">
        <w:t>Who should develop communication materials and/or clear all related outbreak messaging?  How would these messages differ by audience? What draft messages are available already? What communications resources are needed?</w:t>
      </w:r>
    </w:p>
    <w:p w14:paraId="691C5422" w14:textId="6EF3A80A" w:rsidR="003053CC" w:rsidRPr="00642F99" w:rsidRDefault="003053CC" w:rsidP="00BD5C2D">
      <w:pPr>
        <w:pStyle w:val="ListParagraph"/>
        <w:numPr>
          <w:ilvl w:val="0"/>
          <w:numId w:val="25"/>
        </w:numPr>
        <w:spacing w:after="960"/>
      </w:pPr>
      <w:r w:rsidRPr="00642F99">
        <w:t xml:space="preserve">Are there any other public health activities that would occur at the local and state level? </w:t>
      </w:r>
    </w:p>
    <w:p w14:paraId="7ED48685" w14:textId="6F06119F" w:rsidR="003053CC" w:rsidRPr="00642F99" w:rsidRDefault="003053CC" w:rsidP="00BD5C2D">
      <w:pPr>
        <w:ind w:left="1080"/>
      </w:pPr>
      <w:r w:rsidRPr="00642F99">
        <w:lastRenderedPageBreak/>
        <w:t>FACILITATOR PROBES</w:t>
      </w:r>
      <w:r w:rsidR="00642F99" w:rsidRPr="00642F99">
        <w:t xml:space="preserve"> for Question 9</w:t>
      </w:r>
      <w:r w:rsidRPr="00642F99">
        <w:t>:</w:t>
      </w:r>
    </w:p>
    <w:p w14:paraId="3A39AB48" w14:textId="77777777" w:rsidR="003053CC" w:rsidRPr="00642F99" w:rsidRDefault="003053CC" w:rsidP="009A6C8A">
      <w:pPr>
        <w:pStyle w:val="ListParagraph"/>
        <w:numPr>
          <w:ilvl w:val="0"/>
          <w:numId w:val="20"/>
        </w:numPr>
      </w:pPr>
      <w:r w:rsidRPr="00642F99">
        <w:t xml:space="preserve">Are there any changes to surveillance activities, such as increased gonorrhea screening, increased case monitoring (such as monitoring of test of cure results), expanded culture and susceptibility testing, initiation of molecular surveillance to look for genetic markers of resistance identified in the isolates of resistant cases? </w:t>
      </w:r>
    </w:p>
    <w:p w14:paraId="516CB283" w14:textId="77777777" w:rsidR="003053CC" w:rsidRPr="00642F99" w:rsidRDefault="003053CC" w:rsidP="009A6C8A">
      <w:pPr>
        <w:pStyle w:val="ListParagraph"/>
        <w:numPr>
          <w:ilvl w:val="0"/>
          <w:numId w:val="20"/>
        </w:numPr>
      </w:pPr>
      <w:r w:rsidRPr="00642F99">
        <w:t xml:space="preserve">Would additional community engagement or clinician education/outreach be worthwhile or necessary? </w:t>
      </w:r>
    </w:p>
    <w:p w14:paraId="52091EC2" w14:textId="77777777" w:rsidR="003053CC" w:rsidRPr="00642F99" w:rsidRDefault="003053CC" w:rsidP="009A6C8A">
      <w:pPr>
        <w:pStyle w:val="ListParagraph"/>
        <w:numPr>
          <w:ilvl w:val="0"/>
          <w:numId w:val="20"/>
        </w:numPr>
      </w:pPr>
      <w:r w:rsidRPr="00642F99">
        <w:t>Who would be responsible for these activities?</w:t>
      </w:r>
    </w:p>
    <w:p w14:paraId="1ACB5EDF" w14:textId="77777777" w:rsidR="00F4779F" w:rsidRPr="00BD5C2D" w:rsidRDefault="00F4779F" w:rsidP="009A6C8A">
      <w:pPr>
        <w:pStyle w:val="HeadingFive"/>
        <w:rPr>
          <w:rStyle w:val="HeadingFour"/>
          <w:b/>
          <w:bCs/>
          <w:i w:val="0"/>
          <w:iCs w:val="0"/>
        </w:rPr>
      </w:pPr>
      <w:r w:rsidRPr="00BD5C2D">
        <w:rPr>
          <w:rStyle w:val="HeadingFour"/>
          <w:b/>
          <w:bCs/>
          <w:i w:val="0"/>
          <w:iCs w:val="0"/>
        </w:rPr>
        <w:t>MODULE 3: Recovery</w:t>
      </w:r>
    </w:p>
    <w:p w14:paraId="253EABE0" w14:textId="77777777" w:rsidR="00F4779F" w:rsidRDefault="00F4779F" w:rsidP="009A6C8A">
      <w:r w:rsidRPr="007D51B9">
        <w:t>3 months later</w:t>
      </w:r>
    </w:p>
    <w:p w14:paraId="12E8FD35" w14:textId="0F3A1BE0" w:rsidR="007368C4" w:rsidRDefault="007368C4" w:rsidP="009A6C8A">
      <w:r w:rsidRPr="007368C4">
        <w:t xml:space="preserve">Over the ensuing eight weeks, 12 more treatment failures and/or ceftriaxone-resistant gonorrhea cases are identified (for a total of 22 cases).  Some of these cases were identified after they experienced persistent symptoms despite having been treated with CDC recommended treatment. Others were identified through enhanced surveillance activities. </w:t>
      </w:r>
      <w:proofErr w:type="gramStart"/>
      <w:r w:rsidRPr="007368C4">
        <w:t>All of</w:t>
      </w:r>
      <w:proofErr w:type="gramEnd"/>
      <w:r w:rsidRPr="007368C4">
        <w:t xml:space="preserve"> the cases were cured with the treatment regimen that CDC advised for these resistant cases. All available isolates from these patients had ceftriaxone MICs of 1.0 µg/</w:t>
      </w:r>
      <w:proofErr w:type="spellStart"/>
      <w:r w:rsidRPr="007368C4">
        <w:t>mL.</w:t>
      </w:r>
      <w:proofErr w:type="spellEnd"/>
      <w:r w:rsidRPr="007368C4">
        <w:t xml:space="preserve"> Additionally, multiple partners were contacted, tested</w:t>
      </w:r>
      <w:r w:rsidR="00BD5C2D">
        <w:t>,</w:t>
      </w:r>
      <w:r w:rsidRPr="007368C4">
        <w:t xml:space="preserve"> and treated.</w:t>
      </w:r>
    </w:p>
    <w:p w14:paraId="12ED0DD6" w14:textId="614B7BAA" w:rsidR="00F4779F" w:rsidRDefault="007368C4" w:rsidP="009A6C8A">
      <w:r w:rsidRPr="007368C4">
        <w:t>A month passes since the last patient with a resistant infection was identified and cured. No new cases of treatment failure and/or ceftriaxone-resistance have been identified.</w:t>
      </w:r>
    </w:p>
    <w:p w14:paraId="6F4FA4E5" w14:textId="150998DF" w:rsidR="00F4779F" w:rsidRDefault="00642F99" w:rsidP="009A6C8A">
      <w:pPr>
        <w:pStyle w:val="HeadingFive"/>
      </w:pPr>
      <w:r w:rsidRPr="007D51B9">
        <w:t>Questions:</w:t>
      </w:r>
    </w:p>
    <w:p w14:paraId="3D7BACC2" w14:textId="4CCBFE1C" w:rsidR="00642F99" w:rsidRPr="00642F99" w:rsidRDefault="00642F99" w:rsidP="005108F7">
      <w:pPr>
        <w:pStyle w:val="ListParagraph"/>
        <w:numPr>
          <w:ilvl w:val="0"/>
          <w:numId w:val="28"/>
        </w:numPr>
        <w:spacing w:after="200"/>
        <w:contextualSpacing w:val="0"/>
      </w:pPr>
      <w:r w:rsidRPr="00642F99">
        <w:t xml:space="preserve">How will you determine when to scale back response activities and determine that the outbreak is over?   </w:t>
      </w:r>
    </w:p>
    <w:p w14:paraId="16A87A84" w14:textId="7AE9AE33" w:rsidR="00642F99" w:rsidRPr="00642F99" w:rsidRDefault="00642F99" w:rsidP="005108F7">
      <w:pPr>
        <w:pStyle w:val="ListParagraph"/>
        <w:numPr>
          <w:ilvl w:val="0"/>
          <w:numId w:val="28"/>
        </w:numPr>
        <w:spacing w:after="200"/>
        <w:contextualSpacing w:val="0"/>
      </w:pPr>
      <w:r w:rsidRPr="00642F99">
        <w:t xml:space="preserve">What management/operational changes will happen at that point? </w:t>
      </w:r>
    </w:p>
    <w:p w14:paraId="54E8F373" w14:textId="0C81CAF6" w:rsidR="00642F99" w:rsidRPr="00CB6787" w:rsidRDefault="00642F99" w:rsidP="005108F7">
      <w:pPr>
        <w:pStyle w:val="ListParagraph"/>
        <w:numPr>
          <w:ilvl w:val="0"/>
          <w:numId w:val="28"/>
        </w:numPr>
        <w:spacing w:after="200"/>
        <w:contextualSpacing w:val="0"/>
      </w:pPr>
      <w:r w:rsidRPr="00CB6787">
        <w:t>What data would you like to be able to evaluate this response?</w:t>
      </w:r>
    </w:p>
    <w:p w14:paraId="0080B0D0" w14:textId="2184BA12" w:rsidR="00642F99" w:rsidRPr="00642F99" w:rsidRDefault="00642F99" w:rsidP="005108F7">
      <w:pPr>
        <w:pStyle w:val="ListParagraph"/>
        <w:numPr>
          <w:ilvl w:val="0"/>
          <w:numId w:val="28"/>
        </w:numPr>
        <w:spacing w:after="200"/>
        <w:contextualSpacing w:val="0"/>
      </w:pPr>
      <w:r w:rsidRPr="00642F99">
        <w:t xml:space="preserve">Would any recommendations for testing, treatment, or surveillance change? </w:t>
      </w:r>
    </w:p>
    <w:p w14:paraId="40E56F9C" w14:textId="055374D0" w:rsidR="00642F99" w:rsidRPr="00642F99" w:rsidRDefault="00642F99" w:rsidP="005108F7">
      <w:pPr>
        <w:pStyle w:val="ListParagraph"/>
        <w:numPr>
          <w:ilvl w:val="0"/>
          <w:numId w:val="28"/>
        </w:numPr>
        <w:spacing w:after="200"/>
        <w:contextualSpacing w:val="0"/>
      </w:pPr>
      <w:r w:rsidRPr="00CB6787">
        <w:t xml:space="preserve">Which, if any, new </w:t>
      </w:r>
      <w:proofErr w:type="gramStart"/>
      <w:r w:rsidRPr="00CB6787">
        <w:t>processes</w:t>
      </w:r>
      <w:proofErr w:type="gramEnd"/>
      <w:r w:rsidRPr="00CB6787">
        <w:t xml:space="preserve"> or recommendations will be continued? </w:t>
      </w:r>
    </w:p>
    <w:p w14:paraId="3C6A34A7" w14:textId="5A0777B6" w:rsidR="00642F99" w:rsidRPr="00CB6787" w:rsidRDefault="00642F99" w:rsidP="005108F7">
      <w:pPr>
        <w:pStyle w:val="ListParagraph"/>
        <w:numPr>
          <w:ilvl w:val="0"/>
          <w:numId w:val="28"/>
        </w:numPr>
        <w:spacing w:after="200"/>
        <w:contextualSpacing w:val="0"/>
      </w:pPr>
      <w:r w:rsidRPr="00CB6787">
        <w:t xml:space="preserve">Which, if any, </w:t>
      </w:r>
      <w:proofErr w:type="gramStart"/>
      <w:r w:rsidRPr="00CB6787">
        <w:t>processes</w:t>
      </w:r>
      <w:proofErr w:type="gramEnd"/>
      <w:r w:rsidRPr="00CB6787">
        <w:t xml:space="preserve"> or recommendations will revert to those that were in place prior to the outbreak? </w:t>
      </w:r>
    </w:p>
    <w:p w14:paraId="3BB2B7D9" w14:textId="0A9156C4" w:rsidR="00642F99" w:rsidRPr="00CB6787" w:rsidRDefault="00642F99" w:rsidP="005108F7">
      <w:pPr>
        <w:pStyle w:val="ListParagraph"/>
        <w:numPr>
          <w:ilvl w:val="0"/>
          <w:numId w:val="28"/>
        </w:numPr>
        <w:spacing w:after="200"/>
        <w:contextualSpacing w:val="0"/>
      </w:pPr>
      <w:r w:rsidRPr="00CB6787">
        <w:t xml:space="preserve">What, if any, media messages would you distribute when the outbreak is over and to whom? </w:t>
      </w:r>
    </w:p>
    <w:p w14:paraId="4D8405BF" w14:textId="7EC923CC" w:rsidR="00F4779F" w:rsidRDefault="00642F99" w:rsidP="006C5668">
      <w:pPr>
        <w:pStyle w:val="ListParagraph"/>
        <w:numPr>
          <w:ilvl w:val="0"/>
          <w:numId w:val="28"/>
        </w:numPr>
        <w:spacing w:after="200"/>
        <w:contextualSpacing w:val="0"/>
      </w:pPr>
      <w:r w:rsidRPr="00CB6787">
        <w:t xml:space="preserve">Based on your experience today, do you want to make any changes to your ceftriaxone-resistant gonorrhea outbreak response plans or preparedness activities?  If so, whose responsibility will it be to update the plan or implement any other preparedness activities? </w:t>
      </w:r>
    </w:p>
    <w:p w14:paraId="18DF4EE4" w14:textId="77777777" w:rsidR="00D02218" w:rsidRDefault="00D02218" w:rsidP="009A6C8A">
      <w:pPr>
        <w:sectPr w:rsidR="00D02218" w:rsidSect="00CB72E9">
          <w:headerReference w:type="default" r:id="rId15"/>
          <w:footerReference w:type="default" r:id="rId16"/>
          <w:pgSz w:w="12240" w:h="15840" w:code="1"/>
          <w:pgMar w:top="1440" w:right="1170" w:bottom="1440" w:left="1260" w:header="432" w:footer="576" w:gutter="0"/>
          <w:pgNumType w:start="1"/>
          <w:cols w:space="720"/>
          <w:docGrid w:linePitch="360"/>
        </w:sectPr>
      </w:pPr>
    </w:p>
    <w:p w14:paraId="6D373BDE" w14:textId="2C3A5DE8" w:rsidR="003D5527" w:rsidRDefault="003D5527" w:rsidP="009A6C8A">
      <w:pPr>
        <w:pStyle w:val="Heading2"/>
      </w:pPr>
      <w:bookmarkStart w:id="87" w:name="_Toc69913745"/>
      <w:bookmarkStart w:id="88" w:name="_Toc69914008"/>
      <w:r w:rsidRPr="00516036">
        <w:lastRenderedPageBreak/>
        <w:t xml:space="preserve">Appendix </w:t>
      </w:r>
      <w:r w:rsidR="00A4247A">
        <w:t>B</w:t>
      </w:r>
      <w:r w:rsidRPr="00516036">
        <w:t xml:space="preserve">:  </w:t>
      </w:r>
      <w:r w:rsidR="00077961">
        <w:t xml:space="preserve">ARGC </w:t>
      </w:r>
      <w:r w:rsidR="00A4247A">
        <w:t>TTX Participants</w:t>
      </w:r>
      <w:bookmarkEnd w:id="87"/>
      <w:bookmarkEnd w:id="88"/>
    </w:p>
    <w:p w14:paraId="56315E47" w14:textId="32CEC2D4" w:rsidR="00105A18" w:rsidRPr="005108F7" w:rsidRDefault="00105A18" w:rsidP="005108F7">
      <w:pPr>
        <w:jc w:val="center"/>
        <w:rPr>
          <w:color w:val="FF0000"/>
        </w:rPr>
      </w:pPr>
    </w:p>
    <w:tbl>
      <w:tblPr>
        <w:tblStyle w:val="GridTable5Dark-Accent4"/>
        <w:tblW w:w="10710" w:type="dxa"/>
        <w:tblInd w:w="-365" w:type="dxa"/>
        <w:tblLook w:val="0420" w:firstRow="1" w:lastRow="0" w:firstColumn="0" w:lastColumn="0" w:noHBand="0" w:noVBand="1"/>
      </w:tblPr>
      <w:tblGrid>
        <w:gridCol w:w="2717"/>
        <w:gridCol w:w="2205"/>
        <w:gridCol w:w="2458"/>
        <w:gridCol w:w="3330"/>
      </w:tblGrid>
      <w:tr w:rsidR="00237BF2" w:rsidRPr="003E19E6" w14:paraId="0450CF30" w14:textId="77777777" w:rsidTr="008A606B">
        <w:trPr>
          <w:cnfStyle w:val="100000000000" w:firstRow="1" w:lastRow="0" w:firstColumn="0" w:lastColumn="0" w:oddVBand="0" w:evenVBand="0" w:oddHBand="0" w:evenHBand="0" w:firstRowFirstColumn="0" w:firstRowLastColumn="0" w:lastRowFirstColumn="0" w:lastRowLastColumn="0"/>
        </w:trPr>
        <w:tc>
          <w:tcPr>
            <w:tcW w:w="2717" w:type="dxa"/>
          </w:tcPr>
          <w:p w14:paraId="172ADCD1" w14:textId="6A5F8049" w:rsidR="0078093A" w:rsidRPr="003E19E6" w:rsidRDefault="0078093A" w:rsidP="0078093A">
            <w:pPr>
              <w:pStyle w:val="DPPParas"/>
              <w:spacing w:after="120"/>
              <w:jc w:val="center"/>
              <w:rPr>
                <w:rFonts w:cstheme="minorHAnsi"/>
                <w:b w:val="0"/>
                <w:sz w:val="22"/>
                <w:szCs w:val="22"/>
              </w:rPr>
            </w:pPr>
            <w:r w:rsidRPr="003E19E6">
              <w:rPr>
                <w:rFonts w:cstheme="minorHAnsi"/>
                <w:sz w:val="22"/>
                <w:szCs w:val="22"/>
              </w:rPr>
              <w:t>Name</w:t>
            </w:r>
          </w:p>
        </w:tc>
        <w:tc>
          <w:tcPr>
            <w:tcW w:w="2205" w:type="dxa"/>
          </w:tcPr>
          <w:p w14:paraId="6265FEE3" w14:textId="45A9E727" w:rsidR="0078093A" w:rsidRPr="003E19E6" w:rsidRDefault="0078093A" w:rsidP="0078093A">
            <w:pPr>
              <w:pStyle w:val="DPPParas"/>
              <w:spacing w:after="120"/>
              <w:jc w:val="center"/>
              <w:rPr>
                <w:rFonts w:cstheme="minorHAnsi"/>
                <w:b w:val="0"/>
                <w:sz w:val="22"/>
                <w:szCs w:val="22"/>
              </w:rPr>
            </w:pPr>
            <w:r w:rsidRPr="003E19E6">
              <w:rPr>
                <w:rFonts w:cstheme="minorHAnsi"/>
                <w:sz w:val="22"/>
                <w:szCs w:val="22"/>
              </w:rPr>
              <w:t>Title</w:t>
            </w:r>
          </w:p>
        </w:tc>
        <w:tc>
          <w:tcPr>
            <w:tcW w:w="2458" w:type="dxa"/>
          </w:tcPr>
          <w:p w14:paraId="7DF036CF" w14:textId="1D028F68" w:rsidR="0078093A" w:rsidRPr="003E19E6" w:rsidRDefault="00E660CB" w:rsidP="0078093A">
            <w:pPr>
              <w:pStyle w:val="DPPParas"/>
              <w:spacing w:after="120"/>
              <w:jc w:val="center"/>
              <w:rPr>
                <w:rFonts w:cstheme="minorHAnsi"/>
                <w:b w:val="0"/>
                <w:sz w:val="22"/>
                <w:szCs w:val="22"/>
              </w:rPr>
            </w:pPr>
            <w:r>
              <w:rPr>
                <w:rFonts w:cstheme="minorHAnsi"/>
                <w:sz w:val="22"/>
                <w:szCs w:val="22"/>
              </w:rPr>
              <w:t>Agency/</w:t>
            </w:r>
            <w:r w:rsidR="0078093A" w:rsidRPr="003E19E6">
              <w:rPr>
                <w:rFonts w:cstheme="minorHAnsi"/>
                <w:sz w:val="22"/>
                <w:szCs w:val="22"/>
              </w:rPr>
              <w:t>Office</w:t>
            </w:r>
          </w:p>
        </w:tc>
        <w:tc>
          <w:tcPr>
            <w:tcW w:w="3330" w:type="dxa"/>
          </w:tcPr>
          <w:p w14:paraId="03739611" w14:textId="5E91ABB7" w:rsidR="0078093A" w:rsidRPr="003E19E6" w:rsidRDefault="0078093A" w:rsidP="0078093A">
            <w:pPr>
              <w:pStyle w:val="DPPParas"/>
              <w:spacing w:after="120"/>
              <w:jc w:val="center"/>
              <w:rPr>
                <w:rFonts w:cstheme="minorHAnsi"/>
                <w:b w:val="0"/>
                <w:sz w:val="22"/>
                <w:szCs w:val="22"/>
              </w:rPr>
            </w:pPr>
            <w:r w:rsidRPr="003E19E6">
              <w:rPr>
                <w:rFonts w:cstheme="minorHAnsi"/>
                <w:sz w:val="22"/>
                <w:szCs w:val="22"/>
              </w:rPr>
              <w:t>Role</w:t>
            </w:r>
          </w:p>
        </w:tc>
      </w:tr>
      <w:tr w:rsidR="00237BF2" w:rsidRPr="003E19E6" w14:paraId="33FFAF62" w14:textId="77777777" w:rsidTr="008A606B">
        <w:trPr>
          <w:cnfStyle w:val="000000100000" w:firstRow="0" w:lastRow="0" w:firstColumn="0" w:lastColumn="0" w:oddVBand="0" w:evenVBand="0" w:oddHBand="1" w:evenHBand="0" w:firstRowFirstColumn="0" w:firstRowLastColumn="0" w:lastRowFirstColumn="0" w:lastRowLastColumn="0"/>
          <w:trHeight w:val="300"/>
        </w:trPr>
        <w:tc>
          <w:tcPr>
            <w:tcW w:w="2717" w:type="dxa"/>
            <w:noWrap/>
          </w:tcPr>
          <w:p w14:paraId="5C2F0590" w14:textId="334C5BDB" w:rsidR="003E19E6" w:rsidRPr="003E19E6" w:rsidRDefault="003E19E6" w:rsidP="009A6C8A"/>
        </w:tc>
        <w:tc>
          <w:tcPr>
            <w:tcW w:w="2205" w:type="dxa"/>
          </w:tcPr>
          <w:p w14:paraId="12F54513" w14:textId="6433D3AC" w:rsidR="003E19E6" w:rsidRPr="003E19E6" w:rsidRDefault="003E19E6" w:rsidP="009A6C8A"/>
        </w:tc>
        <w:tc>
          <w:tcPr>
            <w:tcW w:w="2458" w:type="dxa"/>
            <w:noWrap/>
          </w:tcPr>
          <w:p w14:paraId="6667A29F" w14:textId="66EE6F61" w:rsidR="003E19E6" w:rsidRPr="003E19E6" w:rsidRDefault="003E19E6" w:rsidP="009A6C8A"/>
        </w:tc>
        <w:tc>
          <w:tcPr>
            <w:tcW w:w="3330" w:type="dxa"/>
            <w:noWrap/>
          </w:tcPr>
          <w:p w14:paraId="30D69ADC" w14:textId="43D8958F" w:rsidR="003E19E6" w:rsidRPr="003E19E6" w:rsidRDefault="003E19E6" w:rsidP="009A6C8A"/>
        </w:tc>
      </w:tr>
      <w:tr w:rsidR="00237BF2" w:rsidRPr="003E19E6" w14:paraId="5864AB67" w14:textId="77777777" w:rsidTr="008A606B">
        <w:trPr>
          <w:trHeight w:val="300"/>
        </w:trPr>
        <w:tc>
          <w:tcPr>
            <w:tcW w:w="2717" w:type="dxa"/>
            <w:noWrap/>
          </w:tcPr>
          <w:p w14:paraId="224EF7D3" w14:textId="26537191" w:rsidR="00237BF2" w:rsidRPr="003E19E6" w:rsidRDefault="00237BF2" w:rsidP="009A6C8A"/>
        </w:tc>
        <w:tc>
          <w:tcPr>
            <w:tcW w:w="2205" w:type="dxa"/>
          </w:tcPr>
          <w:p w14:paraId="4A86270E" w14:textId="237A4FC8" w:rsidR="00237BF2" w:rsidRPr="003E19E6" w:rsidRDefault="00237BF2" w:rsidP="009A6C8A"/>
        </w:tc>
        <w:tc>
          <w:tcPr>
            <w:tcW w:w="2458" w:type="dxa"/>
            <w:noWrap/>
          </w:tcPr>
          <w:p w14:paraId="17950FEB" w14:textId="4AAB2A15" w:rsidR="00237BF2" w:rsidRPr="003E19E6" w:rsidRDefault="00237BF2" w:rsidP="009A6C8A"/>
        </w:tc>
        <w:tc>
          <w:tcPr>
            <w:tcW w:w="3330" w:type="dxa"/>
            <w:noWrap/>
          </w:tcPr>
          <w:p w14:paraId="4C9056F4" w14:textId="136CA964" w:rsidR="00237BF2" w:rsidRPr="003E19E6" w:rsidRDefault="00237BF2" w:rsidP="009A6C8A"/>
        </w:tc>
      </w:tr>
      <w:tr w:rsidR="00237BF2" w:rsidRPr="003E19E6" w14:paraId="6810B7DE" w14:textId="77777777" w:rsidTr="008A606B">
        <w:trPr>
          <w:cnfStyle w:val="000000100000" w:firstRow="0" w:lastRow="0" w:firstColumn="0" w:lastColumn="0" w:oddVBand="0" w:evenVBand="0" w:oddHBand="1" w:evenHBand="0" w:firstRowFirstColumn="0" w:firstRowLastColumn="0" w:lastRowFirstColumn="0" w:lastRowLastColumn="0"/>
          <w:trHeight w:val="296"/>
        </w:trPr>
        <w:tc>
          <w:tcPr>
            <w:tcW w:w="2717" w:type="dxa"/>
            <w:noWrap/>
          </w:tcPr>
          <w:p w14:paraId="72F804AF" w14:textId="797A9C3A" w:rsidR="003E19E6" w:rsidRPr="003E19E6" w:rsidRDefault="003E19E6" w:rsidP="009A6C8A"/>
        </w:tc>
        <w:tc>
          <w:tcPr>
            <w:tcW w:w="2205" w:type="dxa"/>
          </w:tcPr>
          <w:p w14:paraId="2FD8B5B8" w14:textId="647BB925" w:rsidR="003E19E6" w:rsidRPr="003E19E6" w:rsidRDefault="003E19E6" w:rsidP="009A6C8A"/>
        </w:tc>
        <w:tc>
          <w:tcPr>
            <w:tcW w:w="2458" w:type="dxa"/>
            <w:noWrap/>
          </w:tcPr>
          <w:p w14:paraId="27C02F55" w14:textId="168E19AD" w:rsidR="003E19E6" w:rsidRPr="003E19E6" w:rsidRDefault="003E19E6" w:rsidP="009A6C8A"/>
        </w:tc>
        <w:tc>
          <w:tcPr>
            <w:tcW w:w="3330" w:type="dxa"/>
            <w:noWrap/>
          </w:tcPr>
          <w:p w14:paraId="12E4A167" w14:textId="6A388D35" w:rsidR="003E19E6" w:rsidRPr="003E19E6" w:rsidRDefault="003E19E6" w:rsidP="009A6C8A"/>
        </w:tc>
      </w:tr>
      <w:tr w:rsidR="00237BF2" w:rsidRPr="003E19E6" w14:paraId="3CA5CA12" w14:textId="77777777" w:rsidTr="008A606B">
        <w:trPr>
          <w:trHeight w:val="300"/>
        </w:trPr>
        <w:tc>
          <w:tcPr>
            <w:tcW w:w="2717" w:type="dxa"/>
            <w:noWrap/>
          </w:tcPr>
          <w:p w14:paraId="646ABC7A" w14:textId="7AD7FB04" w:rsidR="003E19E6" w:rsidRPr="003E19E6" w:rsidRDefault="003E19E6" w:rsidP="009A6C8A"/>
        </w:tc>
        <w:tc>
          <w:tcPr>
            <w:tcW w:w="2205" w:type="dxa"/>
          </w:tcPr>
          <w:p w14:paraId="6DCD85AF" w14:textId="5D32A45A" w:rsidR="003E19E6" w:rsidRPr="003E19E6" w:rsidRDefault="003E19E6" w:rsidP="009A6C8A"/>
        </w:tc>
        <w:tc>
          <w:tcPr>
            <w:tcW w:w="2458" w:type="dxa"/>
            <w:noWrap/>
          </w:tcPr>
          <w:p w14:paraId="008E83F6" w14:textId="71DD988F" w:rsidR="003E19E6" w:rsidRPr="003E19E6" w:rsidRDefault="003E19E6" w:rsidP="009A6C8A"/>
        </w:tc>
        <w:tc>
          <w:tcPr>
            <w:tcW w:w="3330" w:type="dxa"/>
            <w:noWrap/>
          </w:tcPr>
          <w:p w14:paraId="766931BB" w14:textId="6FC84A77" w:rsidR="003E19E6" w:rsidRPr="003E19E6" w:rsidRDefault="003E19E6" w:rsidP="009A6C8A"/>
        </w:tc>
      </w:tr>
      <w:tr w:rsidR="00237BF2" w:rsidRPr="003E19E6" w14:paraId="7326EF6C" w14:textId="77777777" w:rsidTr="008A606B">
        <w:trPr>
          <w:cnfStyle w:val="000000100000" w:firstRow="0" w:lastRow="0" w:firstColumn="0" w:lastColumn="0" w:oddVBand="0" w:evenVBand="0" w:oddHBand="1" w:evenHBand="0" w:firstRowFirstColumn="0" w:firstRowLastColumn="0" w:lastRowFirstColumn="0" w:lastRowLastColumn="0"/>
          <w:trHeight w:val="300"/>
        </w:trPr>
        <w:tc>
          <w:tcPr>
            <w:tcW w:w="2717" w:type="dxa"/>
            <w:noWrap/>
          </w:tcPr>
          <w:p w14:paraId="3F45F293" w14:textId="465DD081" w:rsidR="003E19E6" w:rsidRPr="003E19E6" w:rsidRDefault="003E19E6" w:rsidP="009A6C8A"/>
        </w:tc>
        <w:tc>
          <w:tcPr>
            <w:tcW w:w="2205" w:type="dxa"/>
          </w:tcPr>
          <w:p w14:paraId="7977C9AA" w14:textId="7C25849F" w:rsidR="003E19E6" w:rsidRPr="003E19E6" w:rsidRDefault="003E19E6" w:rsidP="009A6C8A"/>
        </w:tc>
        <w:tc>
          <w:tcPr>
            <w:tcW w:w="2458" w:type="dxa"/>
            <w:noWrap/>
          </w:tcPr>
          <w:p w14:paraId="03807DEA" w14:textId="1F3CD78A" w:rsidR="003E19E6" w:rsidRPr="003E19E6" w:rsidRDefault="003E19E6" w:rsidP="009A6C8A"/>
        </w:tc>
        <w:tc>
          <w:tcPr>
            <w:tcW w:w="3330" w:type="dxa"/>
            <w:noWrap/>
          </w:tcPr>
          <w:p w14:paraId="736B36EC" w14:textId="4AC5BEFD" w:rsidR="003E19E6" w:rsidRPr="003E19E6" w:rsidRDefault="003E19E6" w:rsidP="009A6C8A"/>
        </w:tc>
      </w:tr>
      <w:tr w:rsidR="00237BF2" w:rsidRPr="003E19E6" w14:paraId="21B019FB" w14:textId="77777777" w:rsidTr="008A606B">
        <w:trPr>
          <w:trHeight w:val="300"/>
        </w:trPr>
        <w:tc>
          <w:tcPr>
            <w:tcW w:w="2717" w:type="dxa"/>
            <w:noWrap/>
          </w:tcPr>
          <w:p w14:paraId="771C2041" w14:textId="67A528B1" w:rsidR="003E19E6" w:rsidRPr="003E19E6" w:rsidRDefault="003E19E6" w:rsidP="009A6C8A"/>
        </w:tc>
        <w:tc>
          <w:tcPr>
            <w:tcW w:w="2205" w:type="dxa"/>
          </w:tcPr>
          <w:p w14:paraId="0D0E5CD8" w14:textId="45123C6E" w:rsidR="003E19E6" w:rsidRPr="003E19E6" w:rsidRDefault="003E19E6" w:rsidP="009A6C8A"/>
        </w:tc>
        <w:tc>
          <w:tcPr>
            <w:tcW w:w="2458" w:type="dxa"/>
            <w:noWrap/>
          </w:tcPr>
          <w:p w14:paraId="7B0C8E6D" w14:textId="71BEF036" w:rsidR="003E19E6" w:rsidRPr="003E19E6" w:rsidRDefault="003E19E6" w:rsidP="009A6C8A"/>
        </w:tc>
        <w:tc>
          <w:tcPr>
            <w:tcW w:w="3330" w:type="dxa"/>
            <w:noWrap/>
          </w:tcPr>
          <w:p w14:paraId="2BC0E223" w14:textId="1814D1BD" w:rsidR="003E19E6" w:rsidRPr="003E19E6" w:rsidRDefault="003E19E6" w:rsidP="009A6C8A"/>
        </w:tc>
      </w:tr>
      <w:tr w:rsidR="00237BF2" w:rsidRPr="003E19E6" w14:paraId="085FBB0C" w14:textId="77777777" w:rsidTr="008A606B">
        <w:trPr>
          <w:cnfStyle w:val="000000100000" w:firstRow="0" w:lastRow="0" w:firstColumn="0" w:lastColumn="0" w:oddVBand="0" w:evenVBand="0" w:oddHBand="1" w:evenHBand="0" w:firstRowFirstColumn="0" w:firstRowLastColumn="0" w:lastRowFirstColumn="0" w:lastRowLastColumn="0"/>
          <w:trHeight w:val="300"/>
        </w:trPr>
        <w:tc>
          <w:tcPr>
            <w:tcW w:w="2717" w:type="dxa"/>
            <w:noWrap/>
          </w:tcPr>
          <w:p w14:paraId="7BE16DAC" w14:textId="68ABC802" w:rsidR="003E19E6" w:rsidRPr="003E19E6" w:rsidRDefault="003E19E6" w:rsidP="009A6C8A"/>
        </w:tc>
        <w:tc>
          <w:tcPr>
            <w:tcW w:w="2205" w:type="dxa"/>
          </w:tcPr>
          <w:p w14:paraId="1239683B" w14:textId="0632DF43" w:rsidR="003E19E6" w:rsidRPr="003E19E6" w:rsidRDefault="003E19E6" w:rsidP="009A6C8A"/>
        </w:tc>
        <w:tc>
          <w:tcPr>
            <w:tcW w:w="2458" w:type="dxa"/>
            <w:noWrap/>
          </w:tcPr>
          <w:p w14:paraId="3F6065F1" w14:textId="7AB17DC5" w:rsidR="003E19E6" w:rsidRPr="003E19E6" w:rsidRDefault="003E19E6" w:rsidP="009A6C8A"/>
        </w:tc>
        <w:tc>
          <w:tcPr>
            <w:tcW w:w="3330" w:type="dxa"/>
            <w:noWrap/>
          </w:tcPr>
          <w:p w14:paraId="7033A577" w14:textId="4616FB3F" w:rsidR="003E19E6" w:rsidRPr="003E19E6" w:rsidRDefault="003E19E6" w:rsidP="009A6C8A"/>
        </w:tc>
      </w:tr>
      <w:tr w:rsidR="00237BF2" w:rsidRPr="003E19E6" w14:paraId="0C1B4B5C" w14:textId="77777777" w:rsidTr="008A606B">
        <w:trPr>
          <w:trHeight w:val="377"/>
        </w:trPr>
        <w:tc>
          <w:tcPr>
            <w:tcW w:w="2717" w:type="dxa"/>
            <w:noWrap/>
          </w:tcPr>
          <w:p w14:paraId="5B9775BA" w14:textId="461193C0" w:rsidR="003E19E6" w:rsidRPr="003E19E6" w:rsidRDefault="003E19E6" w:rsidP="009A6C8A"/>
        </w:tc>
        <w:tc>
          <w:tcPr>
            <w:tcW w:w="2205" w:type="dxa"/>
          </w:tcPr>
          <w:p w14:paraId="5C8C4D84" w14:textId="050C5B27" w:rsidR="003E19E6" w:rsidRPr="003E19E6" w:rsidRDefault="003E19E6" w:rsidP="009A6C8A"/>
        </w:tc>
        <w:tc>
          <w:tcPr>
            <w:tcW w:w="2458" w:type="dxa"/>
            <w:noWrap/>
          </w:tcPr>
          <w:p w14:paraId="0D869ED7" w14:textId="1D5FF37A" w:rsidR="003E19E6" w:rsidRPr="003E19E6" w:rsidRDefault="003E19E6" w:rsidP="009A6C8A"/>
        </w:tc>
        <w:tc>
          <w:tcPr>
            <w:tcW w:w="3330" w:type="dxa"/>
            <w:noWrap/>
          </w:tcPr>
          <w:p w14:paraId="00886870" w14:textId="2124D72F" w:rsidR="003E19E6" w:rsidRPr="003E19E6" w:rsidRDefault="003E19E6" w:rsidP="009A6C8A"/>
        </w:tc>
      </w:tr>
      <w:tr w:rsidR="00237BF2" w:rsidRPr="003E19E6" w14:paraId="77D02460" w14:textId="77777777" w:rsidTr="008A606B">
        <w:trPr>
          <w:cnfStyle w:val="000000100000" w:firstRow="0" w:lastRow="0" w:firstColumn="0" w:lastColumn="0" w:oddVBand="0" w:evenVBand="0" w:oddHBand="1" w:evenHBand="0" w:firstRowFirstColumn="0" w:firstRowLastColumn="0" w:lastRowFirstColumn="0" w:lastRowLastColumn="0"/>
          <w:trHeight w:val="300"/>
        </w:trPr>
        <w:tc>
          <w:tcPr>
            <w:tcW w:w="2717" w:type="dxa"/>
            <w:noWrap/>
          </w:tcPr>
          <w:p w14:paraId="0E26C485" w14:textId="273E8C76" w:rsidR="003E19E6" w:rsidRPr="003E19E6" w:rsidRDefault="003E19E6" w:rsidP="009A6C8A"/>
        </w:tc>
        <w:tc>
          <w:tcPr>
            <w:tcW w:w="2205" w:type="dxa"/>
          </w:tcPr>
          <w:p w14:paraId="004DD4DC" w14:textId="77E8562A" w:rsidR="003E19E6" w:rsidRPr="003E19E6" w:rsidRDefault="003E19E6" w:rsidP="009A6C8A"/>
        </w:tc>
        <w:tc>
          <w:tcPr>
            <w:tcW w:w="2458" w:type="dxa"/>
            <w:noWrap/>
          </w:tcPr>
          <w:p w14:paraId="44EBB009" w14:textId="519FBB7C" w:rsidR="003E19E6" w:rsidRPr="003E19E6" w:rsidRDefault="003E19E6" w:rsidP="009A6C8A"/>
        </w:tc>
        <w:tc>
          <w:tcPr>
            <w:tcW w:w="3330" w:type="dxa"/>
            <w:noWrap/>
          </w:tcPr>
          <w:p w14:paraId="20CD1CA2" w14:textId="2B5E0983" w:rsidR="003E19E6" w:rsidRPr="003E19E6" w:rsidRDefault="003E19E6" w:rsidP="009A6C8A"/>
        </w:tc>
      </w:tr>
      <w:tr w:rsidR="00B9691D" w:rsidRPr="003873CB" w14:paraId="12DC5CD4" w14:textId="77777777" w:rsidTr="008A606B">
        <w:trPr>
          <w:trHeight w:val="422"/>
        </w:trPr>
        <w:tc>
          <w:tcPr>
            <w:tcW w:w="2717" w:type="dxa"/>
            <w:noWrap/>
          </w:tcPr>
          <w:p w14:paraId="130057F2" w14:textId="59DEF8FF" w:rsidR="00B9691D" w:rsidRPr="003873CB" w:rsidRDefault="00B9691D" w:rsidP="009A6C8A"/>
        </w:tc>
        <w:tc>
          <w:tcPr>
            <w:tcW w:w="2205" w:type="dxa"/>
          </w:tcPr>
          <w:p w14:paraId="0F3A9457" w14:textId="3C3F0CE8" w:rsidR="00B9691D" w:rsidRPr="003873CB" w:rsidRDefault="00B9691D" w:rsidP="009A6C8A"/>
        </w:tc>
        <w:tc>
          <w:tcPr>
            <w:tcW w:w="2458" w:type="dxa"/>
            <w:noWrap/>
          </w:tcPr>
          <w:p w14:paraId="555994A3" w14:textId="69780404" w:rsidR="00B9691D" w:rsidRPr="003873CB" w:rsidRDefault="00B9691D" w:rsidP="009A6C8A"/>
        </w:tc>
        <w:tc>
          <w:tcPr>
            <w:tcW w:w="3330" w:type="dxa"/>
            <w:noWrap/>
          </w:tcPr>
          <w:p w14:paraId="68A8128B" w14:textId="259F4071" w:rsidR="00B9691D" w:rsidRPr="003873CB" w:rsidRDefault="00B9691D" w:rsidP="009A6C8A"/>
        </w:tc>
      </w:tr>
      <w:tr w:rsidR="00107142" w:rsidRPr="00107142" w14:paraId="7BE290B2" w14:textId="77777777" w:rsidTr="008A606B">
        <w:trPr>
          <w:cnfStyle w:val="000000100000" w:firstRow="0" w:lastRow="0" w:firstColumn="0" w:lastColumn="0" w:oddVBand="0" w:evenVBand="0" w:oddHBand="1" w:evenHBand="0" w:firstRowFirstColumn="0" w:firstRowLastColumn="0" w:lastRowFirstColumn="0" w:lastRowLastColumn="0"/>
          <w:trHeight w:val="600"/>
        </w:trPr>
        <w:tc>
          <w:tcPr>
            <w:tcW w:w="2717" w:type="dxa"/>
            <w:noWrap/>
          </w:tcPr>
          <w:p w14:paraId="5EC5CBF6" w14:textId="0DF45C7A" w:rsidR="00107142" w:rsidRPr="00107142" w:rsidRDefault="00107142" w:rsidP="009A6C8A"/>
        </w:tc>
        <w:tc>
          <w:tcPr>
            <w:tcW w:w="2205" w:type="dxa"/>
          </w:tcPr>
          <w:p w14:paraId="652E930D" w14:textId="3504A32A" w:rsidR="00107142" w:rsidRPr="00107142" w:rsidRDefault="00107142" w:rsidP="009A6C8A"/>
        </w:tc>
        <w:tc>
          <w:tcPr>
            <w:tcW w:w="2458" w:type="dxa"/>
            <w:noWrap/>
          </w:tcPr>
          <w:p w14:paraId="46CC4F23" w14:textId="46909DDB" w:rsidR="00107142" w:rsidRPr="00107142" w:rsidRDefault="00107142" w:rsidP="009A6C8A"/>
        </w:tc>
        <w:tc>
          <w:tcPr>
            <w:tcW w:w="3330" w:type="dxa"/>
            <w:noWrap/>
          </w:tcPr>
          <w:p w14:paraId="2704BD65" w14:textId="5A032ADF" w:rsidR="00107142" w:rsidRPr="00107142" w:rsidRDefault="00107142" w:rsidP="009A6C8A"/>
        </w:tc>
      </w:tr>
    </w:tbl>
    <w:p w14:paraId="3C7057E1" w14:textId="1151AD87" w:rsidR="00B9691D" w:rsidRDefault="00B9691D" w:rsidP="00494275">
      <w:pPr>
        <w:pStyle w:val="DPPParas"/>
        <w:spacing w:after="120"/>
        <w:jc w:val="center"/>
        <w:rPr>
          <w:rFonts w:ascii="Arial" w:hAnsi="Arial" w:cs="Arial"/>
          <w:sz w:val="28"/>
          <w:szCs w:val="28"/>
        </w:rPr>
      </w:pPr>
    </w:p>
    <w:p w14:paraId="057AE019" w14:textId="59FB69B0" w:rsidR="006375C7" w:rsidRDefault="006375C7" w:rsidP="00494275">
      <w:pPr>
        <w:pStyle w:val="DPPParas"/>
        <w:spacing w:after="120"/>
        <w:jc w:val="center"/>
        <w:rPr>
          <w:rFonts w:ascii="Arial" w:hAnsi="Arial" w:cs="Arial"/>
          <w:sz w:val="28"/>
          <w:szCs w:val="28"/>
        </w:rPr>
      </w:pPr>
    </w:p>
    <w:p w14:paraId="1D126F0A" w14:textId="3153AB6C" w:rsidR="006375C7" w:rsidRDefault="006375C7" w:rsidP="00494275">
      <w:pPr>
        <w:pStyle w:val="DPPParas"/>
        <w:spacing w:after="120"/>
        <w:jc w:val="center"/>
        <w:rPr>
          <w:rFonts w:ascii="Arial" w:hAnsi="Arial" w:cs="Arial"/>
          <w:sz w:val="28"/>
          <w:szCs w:val="28"/>
        </w:rPr>
      </w:pPr>
    </w:p>
    <w:p w14:paraId="71E42C6B" w14:textId="626206D7" w:rsidR="006375C7" w:rsidRDefault="006375C7" w:rsidP="00494275">
      <w:pPr>
        <w:pStyle w:val="DPPParas"/>
        <w:spacing w:after="120"/>
        <w:jc w:val="center"/>
        <w:rPr>
          <w:rFonts w:ascii="Arial" w:hAnsi="Arial" w:cs="Arial"/>
          <w:sz w:val="28"/>
          <w:szCs w:val="28"/>
        </w:rPr>
      </w:pPr>
    </w:p>
    <w:p w14:paraId="65AD4EDA" w14:textId="600AEC1D" w:rsidR="006375C7" w:rsidRDefault="006375C7" w:rsidP="00494275">
      <w:pPr>
        <w:pStyle w:val="DPPParas"/>
        <w:spacing w:after="120"/>
        <w:jc w:val="center"/>
        <w:rPr>
          <w:rFonts w:ascii="Arial" w:hAnsi="Arial" w:cs="Arial"/>
          <w:sz w:val="28"/>
          <w:szCs w:val="28"/>
        </w:rPr>
      </w:pPr>
    </w:p>
    <w:p w14:paraId="1E110CF3" w14:textId="25C6EB23" w:rsidR="006375C7" w:rsidRDefault="006375C7" w:rsidP="00494275">
      <w:pPr>
        <w:pStyle w:val="DPPParas"/>
        <w:spacing w:after="120"/>
        <w:jc w:val="center"/>
        <w:rPr>
          <w:rFonts w:ascii="Arial" w:hAnsi="Arial" w:cs="Arial"/>
          <w:sz w:val="28"/>
          <w:szCs w:val="28"/>
        </w:rPr>
      </w:pPr>
    </w:p>
    <w:p w14:paraId="5B37638C" w14:textId="365DACB2" w:rsidR="006375C7" w:rsidRDefault="006375C7" w:rsidP="00494275">
      <w:pPr>
        <w:pStyle w:val="DPPParas"/>
        <w:spacing w:after="120"/>
        <w:jc w:val="center"/>
        <w:rPr>
          <w:rFonts w:ascii="Arial" w:hAnsi="Arial" w:cs="Arial"/>
          <w:sz w:val="28"/>
          <w:szCs w:val="28"/>
        </w:rPr>
      </w:pPr>
    </w:p>
    <w:p w14:paraId="42B6FAB6" w14:textId="1F9CE9D4" w:rsidR="006375C7" w:rsidRDefault="006375C7" w:rsidP="00494275">
      <w:pPr>
        <w:pStyle w:val="DPPParas"/>
        <w:spacing w:after="120"/>
        <w:jc w:val="center"/>
        <w:rPr>
          <w:rFonts w:ascii="Arial" w:hAnsi="Arial" w:cs="Arial"/>
          <w:sz w:val="28"/>
          <w:szCs w:val="28"/>
        </w:rPr>
      </w:pPr>
    </w:p>
    <w:p w14:paraId="61C32F2C" w14:textId="6AE83CBE" w:rsidR="006375C7" w:rsidRDefault="006375C7" w:rsidP="00494275">
      <w:pPr>
        <w:pStyle w:val="DPPParas"/>
        <w:spacing w:after="120"/>
        <w:jc w:val="center"/>
        <w:rPr>
          <w:rFonts w:ascii="Arial" w:hAnsi="Arial" w:cs="Arial"/>
          <w:sz w:val="28"/>
          <w:szCs w:val="28"/>
        </w:rPr>
      </w:pPr>
    </w:p>
    <w:p w14:paraId="6A6F2262" w14:textId="35FC127E" w:rsidR="006375C7" w:rsidRDefault="006375C7" w:rsidP="00494275">
      <w:pPr>
        <w:pStyle w:val="DPPParas"/>
        <w:spacing w:after="120"/>
        <w:jc w:val="center"/>
        <w:rPr>
          <w:rFonts w:ascii="Arial" w:hAnsi="Arial" w:cs="Arial"/>
          <w:sz w:val="28"/>
          <w:szCs w:val="28"/>
        </w:rPr>
      </w:pPr>
    </w:p>
    <w:p w14:paraId="225E37FA" w14:textId="242EBE91" w:rsidR="006375C7" w:rsidRDefault="006375C7" w:rsidP="00494275">
      <w:pPr>
        <w:pStyle w:val="DPPParas"/>
        <w:spacing w:after="120"/>
        <w:jc w:val="center"/>
        <w:rPr>
          <w:rFonts w:ascii="Arial" w:hAnsi="Arial" w:cs="Arial"/>
          <w:sz w:val="28"/>
          <w:szCs w:val="28"/>
        </w:rPr>
      </w:pPr>
    </w:p>
    <w:p w14:paraId="30518144" w14:textId="49C2B7D4" w:rsidR="006375C7" w:rsidRDefault="006375C7" w:rsidP="00494275">
      <w:pPr>
        <w:pStyle w:val="DPPParas"/>
        <w:spacing w:after="120"/>
        <w:jc w:val="center"/>
        <w:rPr>
          <w:rFonts w:ascii="Arial" w:hAnsi="Arial" w:cs="Arial"/>
          <w:sz w:val="28"/>
          <w:szCs w:val="28"/>
        </w:rPr>
      </w:pPr>
    </w:p>
    <w:p w14:paraId="4E1328D7" w14:textId="0E20FAB6" w:rsidR="006375C7" w:rsidRDefault="006375C7" w:rsidP="00494275">
      <w:pPr>
        <w:pStyle w:val="DPPParas"/>
        <w:spacing w:after="120"/>
        <w:jc w:val="center"/>
        <w:rPr>
          <w:rFonts w:ascii="Arial" w:hAnsi="Arial" w:cs="Arial"/>
          <w:sz w:val="28"/>
          <w:szCs w:val="28"/>
        </w:rPr>
      </w:pPr>
    </w:p>
    <w:p w14:paraId="3F7F8BAA" w14:textId="4AA52459" w:rsidR="00DE5FE4" w:rsidRDefault="00DE5FE4" w:rsidP="006375C7">
      <w:pPr>
        <w:pStyle w:val="DPPParas"/>
        <w:spacing w:after="120"/>
        <w:rPr>
          <w:rFonts w:ascii="Arial" w:hAnsi="Arial" w:cs="Arial"/>
          <w:sz w:val="28"/>
          <w:szCs w:val="28"/>
        </w:rPr>
        <w:sectPr w:rsidR="00DE5FE4" w:rsidSect="00CB72E9">
          <w:headerReference w:type="default" r:id="rId17"/>
          <w:footerReference w:type="default" r:id="rId18"/>
          <w:pgSz w:w="12240" w:h="15840" w:code="1"/>
          <w:pgMar w:top="1440" w:right="1170" w:bottom="1440" w:left="1260" w:header="432" w:footer="576" w:gutter="0"/>
          <w:pgNumType w:start="1"/>
          <w:cols w:space="720"/>
          <w:docGrid w:linePitch="360"/>
        </w:sectPr>
      </w:pPr>
    </w:p>
    <w:p w14:paraId="2CAB231B" w14:textId="1D8C5643" w:rsidR="00156288" w:rsidRPr="00041DCC" w:rsidRDefault="00156288" w:rsidP="009A6C8A">
      <w:pPr>
        <w:pStyle w:val="Heading2"/>
      </w:pPr>
      <w:bookmarkStart w:id="89" w:name="_Toc69913746"/>
      <w:bookmarkStart w:id="90" w:name="_Toc69914009"/>
      <w:r w:rsidRPr="00494275">
        <w:lastRenderedPageBreak/>
        <w:t xml:space="preserve">Appendix </w:t>
      </w:r>
      <w:r w:rsidR="00300427">
        <w:t>C</w:t>
      </w:r>
      <w:r w:rsidRPr="00494275">
        <w:t xml:space="preserve">: </w:t>
      </w:r>
      <w:r>
        <w:t xml:space="preserve"> Glossary</w:t>
      </w:r>
      <w:bookmarkEnd w:id="89"/>
      <w:bookmarkEnd w:id="90"/>
    </w:p>
    <w:p w14:paraId="1C816392" w14:textId="2C4B2035" w:rsidR="007368C4" w:rsidRPr="007368C4" w:rsidRDefault="007368C4" w:rsidP="009A6C8A">
      <w:pPr>
        <w:pStyle w:val="Heading3"/>
      </w:pPr>
      <w:bookmarkStart w:id="91" w:name="_Toc69913747"/>
      <w:bookmarkStart w:id="92" w:name="_Toc69914010"/>
      <w:r w:rsidRPr="007368C4">
        <w:t>Antibiotic</w:t>
      </w:r>
      <w:bookmarkEnd w:id="91"/>
      <w:bookmarkEnd w:id="92"/>
    </w:p>
    <w:p w14:paraId="2AD59256" w14:textId="77777777" w:rsidR="007368C4" w:rsidRPr="007368C4" w:rsidRDefault="007368C4" w:rsidP="009A6C8A">
      <w:r w:rsidRPr="007368C4">
        <w:t>A medicine that kills or inhibits the growth of bacteria. In medical usage, antibiotics refer specifically to antibacterial medicines that are produced naturally by a microorganism (such as penicillin).</w:t>
      </w:r>
    </w:p>
    <w:p w14:paraId="7E032F90" w14:textId="07832E9C" w:rsidR="007368C4" w:rsidRPr="007368C4" w:rsidRDefault="007368C4" w:rsidP="009A6C8A">
      <w:pPr>
        <w:pStyle w:val="Heading3"/>
      </w:pPr>
      <w:bookmarkStart w:id="93" w:name="_Toc69913748"/>
      <w:bookmarkStart w:id="94" w:name="_Toc69914011"/>
      <w:r w:rsidRPr="007368C4">
        <w:t>Antibiotic-Resistant Gonorrhea (ARGC)</w:t>
      </w:r>
      <w:bookmarkEnd w:id="93"/>
      <w:bookmarkEnd w:id="94"/>
    </w:p>
    <w:p w14:paraId="7179E01D" w14:textId="68BB4ADC" w:rsidR="007368C4" w:rsidRPr="007368C4" w:rsidRDefault="007368C4" w:rsidP="009A6C8A">
      <w:r w:rsidRPr="007368C4">
        <w:t xml:space="preserve">A general designation of a gonococcal infection that demonstrates resistance to at least one antimicrobial agent. While a useful term for communicating with the general public, the clinical and public health importance of the infection is better conveyed to providers and public health officials by labeling the infection with the specific antimicrobials to which the infection is resistant (such as ceftriaxone-resistant </w:t>
      </w:r>
      <w:r w:rsidRPr="00283AF3">
        <w:rPr>
          <w:i/>
          <w:iCs/>
        </w:rPr>
        <w:t>Neisseria gonorrhoeae</w:t>
      </w:r>
      <w:r w:rsidRPr="007368C4">
        <w:t>; see below)</w:t>
      </w:r>
    </w:p>
    <w:p w14:paraId="6B97B690" w14:textId="374DC43B" w:rsidR="007368C4" w:rsidRPr="007368C4" w:rsidRDefault="007368C4" w:rsidP="009A6C8A">
      <w:pPr>
        <w:pStyle w:val="Heading3"/>
      </w:pPr>
      <w:bookmarkStart w:id="95" w:name="_Toc69913749"/>
      <w:bookmarkStart w:id="96" w:name="_Toc69914012"/>
      <w:r w:rsidRPr="007368C4">
        <w:t>Antimicrobial</w:t>
      </w:r>
      <w:bookmarkEnd w:id="95"/>
      <w:bookmarkEnd w:id="96"/>
    </w:p>
    <w:p w14:paraId="5B66E341" w14:textId="5DFA534B" w:rsidR="007368C4" w:rsidRPr="007368C4" w:rsidRDefault="007368C4" w:rsidP="009A6C8A">
      <w:r w:rsidRPr="007368C4">
        <w:t xml:space="preserve">A broad category of medicines that kill or inhibit the growth of microorganisms, and includes </w:t>
      </w:r>
      <w:proofErr w:type="spellStart"/>
      <w:r w:rsidRPr="007368C4">
        <w:t>antibacterials</w:t>
      </w:r>
      <w:proofErr w:type="spellEnd"/>
      <w:r w:rsidRPr="007368C4">
        <w:t xml:space="preserve">, antivirals, and antifungals. Antimicrobials can be produced naturally by a microorganism (referred to as antibiotics) or can be synthetically produced. “Antimicrobial” is more precise than “antibiotic” when describing cefixime, ceftriaxone, and azithromycin; however, “antimicrobial” and “antibiotic” are often used interchangeably. </w:t>
      </w:r>
    </w:p>
    <w:p w14:paraId="2ACBFCED" w14:textId="662E2B5E" w:rsidR="00341F3C" w:rsidRPr="00341F3C" w:rsidRDefault="007368C4" w:rsidP="00341F3C">
      <w:pPr>
        <w:pStyle w:val="Heading3"/>
      </w:pPr>
      <w:bookmarkStart w:id="97" w:name="_Toc69913750"/>
      <w:bookmarkStart w:id="98" w:name="_Toc69914013"/>
      <w:r w:rsidRPr="007368C4">
        <w:t>Antibiotic Susceptibility Testing (AST)</w:t>
      </w:r>
      <w:bookmarkEnd w:id="97"/>
      <w:bookmarkEnd w:id="98"/>
    </w:p>
    <w:p w14:paraId="4EEB32A1" w14:textId="64AA5ADE" w:rsidR="007368C4" w:rsidRPr="007368C4" w:rsidRDefault="007368C4" w:rsidP="009A6C8A">
      <w:r w:rsidRPr="007368C4">
        <w:t xml:space="preserve">Laboratory testing of live bacteria (isolates) that involves exposing the bacteria to a series of concentrations of antimicrobials. AST is used to determine which antibiotics and at which antibiotic concentration keep a particular gonococcal infection from growing on an agar plate. Types of </w:t>
      </w:r>
      <w:r w:rsidRPr="00283AF3">
        <w:rPr>
          <w:i/>
          <w:iCs/>
        </w:rPr>
        <w:t>N. gonorrhoeae</w:t>
      </w:r>
      <w:r w:rsidRPr="007368C4">
        <w:t xml:space="preserve"> AST include disc diffusion, gradient strip testing such as </w:t>
      </w:r>
      <w:proofErr w:type="spellStart"/>
      <w:r w:rsidRPr="007368C4">
        <w:t>Etest</w:t>
      </w:r>
      <w:proofErr w:type="spellEnd"/>
      <w:r w:rsidRPr="007368C4">
        <w:t xml:space="preserve">™, and agar dilution.  Bacteria </w:t>
      </w:r>
      <w:proofErr w:type="gramStart"/>
      <w:r w:rsidRPr="007368C4">
        <w:t>are considered to be</w:t>
      </w:r>
      <w:proofErr w:type="gramEnd"/>
      <w:r w:rsidRPr="007368C4">
        <w:t xml:space="preserve"> susceptible to an antimicrobial agent if the bacteria do not grow in the presence of antibiotic. If bacteria grow in the presence of antibiotic, the bacteria may have reduced susceptibility to the antimicrobial agent.</w:t>
      </w:r>
    </w:p>
    <w:p w14:paraId="0D2EF69B" w14:textId="77777777" w:rsidR="00341F3C" w:rsidRDefault="00341F3C" w:rsidP="009A6C8A">
      <w:pPr>
        <w:pStyle w:val="Heading3"/>
      </w:pPr>
      <w:bookmarkStart w:id="99" w:name="_Toc69913751"/>
      <w:bookmarkStart w:id="100" w:name="_Toc69914014"/>
    </w:p>
    <w:p w14:paraId="30023B68" w14:textId="675A45A7" w:rsidR="007368C4" w:rsidRPr="007368C4" w:rsidRDefault="007368C4" w:rsidP="009A6C8A">
      <w:pPr>
        <w:pStyle w:val="Heading3"/>
      </w:pPr>
      <w:r w:rsidRPr="007368C4">
        <w:lastRenderedPageBreak/>
        <w:t>ARLN</w:t>
      </w:r>
      <w:bookmarkEnd w:id="99"/>
      <w:bookmarkEnd w:id="100"/>
    </w:p>
    <w:p w14:paraId="60ADD45A" w14:textId="77777777" w:rsidR="007368C4" w:rsidRPr="007368C4" w:rsidRDefault="007368C4" w:rsidP="009A6C8A">
      <w:r w:rsidRPr="007368C4">
        <w:t>The Antimicrobial Regional Laboratory Network is a network of regional public health laboratories equipped to respond to emerging health threats and provide cutting-edge antimicrobial resistance laboratory support. The ARLN has capacity for culture-based antimicrobial susceptibility testing and genomic sequencing.</w:t>
      </w:r>
    </w:p>
    <w:p w14:paraId="4BA60FB1" w14:textId="232CF785" w:rsidR="007368C4" w:rsidRPr="007368C4" w:rsidRDefault="007368C4" w:rsidP="009A6C8A">
      <w:pPr>
        <w:pStyle w:val="Heading3"/>
      </w:pPr>
      <w:bookmarkStart w:id="101" w:name="_Toc69913752"/>
      <w:bookmarkStart w:id="102" w:name="_Toc69914015"/>
      <w:r w:rsidRPr="007368C4">
        <w:t>Azithromycin</w:t>
      </w:r>
      <w:bookmarkEnd w:id="101"/>
      <w:bookmarkEnd w:id="102"/>
    </w:p>
    <w:p w14:paraId="0225C5F5" w14:textId="367BF043" w:rsidR="007368C4" w:rsidRPr="007368C4" w:rsidRDefault="007368C4" w:rsidP="009A6C8A">
      <w:r w:rsidRPr="007368C4">
        <w:t xml:space="preserve">A </w:t>
      </w:r>
      <w:proofErr w:type="gramStart"/>
      <w:r w:rsidRPr="007368C4">
        <w:t>widely-used</w:t>
      </w:r>
      <w:proofErr w:type="gramEnd"/>
      <w:r w:rsidRPr="007368C4">
        <w:t xml:space="preserve"> and broad-spectrum macrolide antimicrobial that is recommended for treatment of chlamydia and that was previously recommended to be administered with ceftriaxone for treatment of gonorrhea. Common brands names include Zithromax, </w:t>
      </w:r>
      <w:proofErr w:type="spellStart"/>
      <w:r w:rsidRPr="007368C4">
        <w:t>AzaSite</w:t>
      </w:r>
      <w:proofErr w:type="spellEnd"/>
      <w:r w:rsidRPr="007368C4">
        <w:t xml:space="preserve">, and </w:t>
      </w:r>
      <w:proofErr w:type="spellStart"/>
      <w:r w:rsidRPr="007368C4">
        <w:t>Zmax</w:t>
      </w:r>
      <w:proofErr w:type="spellEnd"/>
      <w:r w:rsidRPr="007368C4">
        <w:t xml:space="preserve">, and is often prescribed for other infectious conditions as a multiday </w:t>
      </w:r>
      <w:proofErr w:type="spellStart"/>
      <w:r w:rsidRPr="007368C4">
        <w:t>Zpack</w:t>
      </w:r>
      <w:proofErr w:type="spellEnd"/>
      <w:r w:rsidRPr="007368C4">
        <w:t>.</w:t>
      </w:r>
    </w:p>
    <w:p w14:paraId="7E280405" w14:textId="03A74F55" w:rsidR="007368C4" w:rsidRPr="007368C4" w:rsidRDefault="007368C4" w:rsidP="009A6C8A">
      <w:pPr>
        <w:pStyle w:val="Heading3"/>
      </w:pPr>
      <w:bookmarkStart w:id="103" w:name="_Toc69913753"/>
      <w:bookmarkStart w:id="104" w:name="_Toc69914016"/>
      <w:r w:rsidRPr="007368C4">
        <w:t>CDC</w:t>
      </w:r>
      <w:bookmarkEnd w:id="103"/>
      <w:bookmarkEnd w:id="104"/>
    </w:p>
    <w:p w14:paraId="602F209D" w14:textId="77777777" w:rsidR="007368C4" w:rsidRPr="007368C4" w:rsidRDefault="007368C4" w:rsidP="009A6C8A">
      <w:r w:rsidRPr="007368C4">
        <w:t xml:space="preserve">The Centers for Disease Control and Prevention, a federal agency in the Department of Health and Human Services, provide management and financial support for the SURRG program, lead national surveillance of gonococcal resistance, and publish national treatment guidelines for STDs, including gonorrhea.  </w:t>
      </w:r>
    </w:p>
    <w:p w14:paraId="0F3F4C4A" w14:textId="75F982FD" w:rsidR="007368C4" w:rsidRPr="007368C4" w:rsidRDefault="007368C4" w:rsidP="009A6C8A">
      <w:pPr>
        <w:pStyle w:val="Heading3"/>
      </w:pPr>
      <w:bookmarkStart w:id="105" w:name="_Toc69913754"/>
      <w:bookmarkStart w:id="106" w:name="_Toc69914017"/>
      <w:r w:rsidRPr="007368C4">
        <w:t>Cefixime</w:t>
      </w:r>
      <w:bookmarkEnd w:id="105"/>
      <w:bookmarkEnd w:id="106"/>
    </w:p>
    <w:p w14:paraId="630263A9" w14:textId="108FF959" w:rsidR="007368C4" w:rsidRPr="007368C4" w:rsidRDefault="007368C4" w:rsidP="009A6C8A">
      <w:r w:rsidRPr="007368C4">
        <w:t xml:space="preserve">An oral cephalosporin antimicrobial that was listed as an alternative treatment for gonorrhea in CDC’s Sexually Transmitted Diseases Treatment Guidelines, 2015. Until 2012, cefixime was a recommended treatment for gonorrhea. A common brand name of cefixime is </w:t>
      </w:r>
      <w:proofErr w:type="spellStart"/>
      <w:r w:rsidRPr="007368C4">
        <w:t>Suprax</w:t>
      </w:r>
      <w:proofErr w:type="spellEnd"/>
      <w:r w:rsidRPr="007368C4">
        <w:t xml:space="preserve">. </w:t>
      </w:r>
    </w:p>
    <w:p w14:paraId="6DB63683" w14:textId="4110009A" w:rsidR="007368C4" w:rsidRPr="007368C4" w:rsidRDefault="007368C4" w:rsidP="009A6C8A">
      <w:pPr>
        <w:pStyle w:val="Heading3"/>
      </w:pPr>
      <w:bookmarkStart w:id="107" w:name="_Toc69913755"/>
      <w:bookmarkStart w:id="108" w:name="_Toc69914018"/>
      <w:r w:rsidRPr="007368C4">
        <w:t>Ceftriaxone</w:t>
      </w:r>
      <w:bookmarkEnd w:id="107"/>
      <w:bookmarkEnd w:id="108"/>
    </w:p>
    <w:p w14:paraId="42783974" w14:textId="6E73B18E" w:rsidR="007368C4" w:rsidRPr="007368C4" w:rsidRDefault="007368C4" w:rsidP="009A6C8A">
      <w:r w:rsidRPr="007368C4">
        <w:t>An injectable cephalosporin antimicrobial that can be delivered intramuscularly or intravenously. Ceftriaxone is the recommended treatment for gonorrhea.  A common brand name is Rocephin.</w:t>
      </w:r>
    </w:p>
    <w:p w14:paraId="194101FE" w14:textId="09C128AA" w:rsidR="007368C4" w:rsidRPr="007368C4" w:rsidRDefault="007368C4" w:rsidP="009A6C8A">
      <w:pPr>
        <w:pStyle w:val="Heading3"/>
      </w:pPr>
      <w:bookmarkStart w:id="109" w:name="_Toc69913756"/>
      <w:bookmarkStart w:id="110" w:name="_Toc69914019"/>
      <w:r w:rsidRPr="007368C4">
        <w:t xml:space="preserve">Ceftriaxone-Resistant </w:t>
      </w:r>
      <w:r w:rsidRPr="00283AF3">
        <w:rPr>
          <w:i/>
          <w:iCs/>
        </w:rPr>
        <w:t>Neisseria gonorrhoeae</w:t>
      </w:r>
      <w:bookmarkEnd w:id="109"/>
      <w:bookmarkEnd w:id="110"/>
    </w:p>
    <w:p w14:paraId="19E26E6E" w14:textId="6F105461" w:rsidR="007368C4" w:rsidRPr="007368C4" w:rsidRDefault="007368C4" w:rsidP="009A6C8A">
      <w:r w:rsidRPr="007368C4">
        <w:t>Although widely-agreed upon criteria for ceftriaxone resistance are lacking, preliminary/working criteria include a gonococcal infection that demonstrates laboratory-based antimicrobial resistance</w:t>
      </w:r>
      <w:r w:rsidR="008F6F61">
        <w:t xml:space="preserve"> </w:t>
      </w:r>
      <w:r w:rsidRPr="007368C4">
        <w:t xml:space="preserve">(as evidenced by substantially elevated minimum inhibitory </w:t>
      </w:r>
      <w:r w:rsidRPr="007368C4">
        <w:rPr>
          <w:rFonts w:hint="eastAsia"/>
        </w:rPr>
        <w:t xml:space="preserve">concentrations by AST, such as MICs </w:t>
      </w:r>
      <w:r w:rsidRPr="007368C4">
        <w:rPr>
          <w:rFonts w:hint="eastAsia"/>
        </w:rPr>
        <w:t>≥</w:t>
      </w:r>
      <w:r w:rsidRPr="007368C4">
        <w:rPr>
          <w:rFonts w:hint="eastAsia"/>
        </w:rPr>
        <w:lastRenderedPageBreak/>
        <w:t>1.0 µg/ml) and which may have been unsuccessfully treated with recommended ceftriaxone-based therapy.</w:t>
      </w:r>
    </w:p>
    <w:p w14:paraId="1EB3230B" w14:textId="4B1F8977" w:rsidR="007368C4" w:rsidRPr="007368C4" w:rsidRDefault="007368C4" w:rsidP="009A6C8A">
      <w:pPr>
        <w:pStyle w:val="Heading3"/>
      </w:pPr>
      <w:bookmarkStart w:id="111" w:name="_Toc69913757"/>
      <w:bookmarkStart w:id="112" w:name="_Toc69914020"/>
      <w:r w:rsidRPr="007368C4">
        <w:t>Cephalosporin</w:t>
      </w:r>
      <w:bookmarkEnd w:id="111"/>
      <w:bookmarkEnd w:id="112"/>
    </w:p>
    <w:p w14:paraId="59540F7F" w14:textId="77777777" w:rsidR="007368C4" w:rsidRPr="007368C4" w:rsidRDefault="007368C4" w:rsidP="009A6C8A">
      <w:r w:rsidRPr="007368C4">
        <w:t xml:space="preserve">A large group of broad-spectrum antimicrobials that function by inhibition of bacterial cell wall synthesis. The cephalosporin class includes </w:t>
      </w:r>
      <w:proofErr w:type="gramStart"/>
      <w:r w:rsidRPr="007368C4">
        <w:t>third-generation</w:t>
      </w:r>
      <w:proofErr w:type="gramEnd"/>
      <w:r w:rsidRPr="007368C4">
        <w:t xml:space="preserve"> cephalosporins ceftriaxone and cefixime. </w:t>
      </w:r>
    </w:p>
    <w:p w14:paraId="16B2704D" w14:textId="76333DD9" w:rsidR="007368C4" w:rsidRPr="007368C4" w:rsidRDefault="007368C4" w:rsidP="009A6C8A">
      <w:pPr>
        <w:pStyle w:val="Heading3"/>
      </w:pPr>
      <w:bookmarkStart w:id="113" w:name="_Toc69913758"/>
      <w:bookmarkStart w:id="114" w:name="_Toc69914021"/>
      <w:r w:rsidRPr="007368C4">
        <w:t>Culture</w:t>
      </w:r>
      <w:bookmarkEnd w:id="113"/>
      <w:bookmarkEnd w:id="114"/>
    </w:p>
    <w:p w14:paraId="568B0354" w14:textId="77777777" w:rsidR="007368C4" w:rsidRPr="007368C4" w:rsidRDefault="007368C4" w:rsidP="009A6C8A">
      <w:r w:rsidRPr="007368C4">
        <w:t xml:space="preserve">A laboratory method of growing bacteria by letting them reproduce in culture medium under controlled laboratory conditions. Bacterial cultures are used to determine the type of organism, the abundance of organisms in the sample, and the viability of the organism (can help distinguish an active gonococcal infection from residual DNA [detected by NAAT] from a successfully treated infection). </w:t>
      </w:r>
      <w:r w:rsidRPr="00283AF3">
        <w:rPr>
          <w:i/>
          <w:iCs/>
        </w:rPr>
        <w:t>N. gonorrhea</w:t>
      </w:r>
      <w:r w:rsidRPr="007368C4">
        <w:t xml:space="preserve"> culture provides a specimen for antibiotic susceptibility testing (AST). </w:t>
      </w:r>
    </w:p>
    <w:p w14:paraId="0A54AB3E" w14:textId="48A6D4F7" w:rsidR="007368C4" w:rsidRPr="007368C4" w:rsidRDefault="007368C4" w:rsidP="009A6C8A">
      <w:pPr>
        <w:pStyle w:val="Heading3"/>
      </w:pPr>
      <w:bookmarkStart w:id="115" w:name="_Toc69913759"/>
      <w:bookmarkStart w:id="116" w:name="_Toc69914022"/>
      <w:r w:rsidRPr="007368C4">
        <w:t>Disease In</w:t>
      </w:r>
      <w:r w:rsidR="00283AF3">
        <w:t>tervention</w:t>
      </w:r>
      <w:r w:rsidRPr="007368C4">
        <w:t xml:space="preserve"> Specialists (DIS)</w:t>
      </w:r>
      <w:bookmarkEnd w:id="115"/>
      <w:bookmarkEnd w:id="116"/>
    </w:p>
    <w:p w14:paraId="6D3A320D" w14:textId="77777777" w:rsidR="007368C4" w:rsidRPr="007368C4" w:rsidRDefault="007368C4" w:rsidP="009A6C8A">
      <w:r w:rsidRPr="007368C4">
        <w:t xml:space="preserve">A backbone of public health in the United States, DIS confirm treatment, conduct patient interviews, provide patient counseling, conduct partner services (locate sexual partners to cases and link them to testing and treatment), and provide a growing number of other critical public health services, such as linkage to HIV care. </w:t>
      </w:r>
    </w:p>
    <w:p w14:paraId="2E288D3A" w14:textId="4E911172" w:rsidR="007368C4" w:rsidRPr="007368C4" w:rsidRDefault="007368C4" w:rsidP="009A6C8A">
      <w:pPr>
        <w:pStyle w:val="Heading3"/>
      </w:pPr>
      <w:bookmarkStart w:id="117" w:name="_Toc69913760"/>
      <w:bookmarkStart w:id="118" w:name="_Toc69914023"/>
      <w:proofErr w:type="spellStart"/>
      <w:r w:rsidRPr="007368C4">
        <w:t>eGISP</w:t>
      </w:r>
      <w:bookmarkEnd w:id="117"/>
      <w:bookmarkEnd w:id="118"/>
      <w:proofErr w:type="spellEnd"/>
      <w:r w:rsidRPr="007368C4">
        <w:t xml:space="preserve"> </w:t>
      </w:r>
    </w:p>
    <w:p w14:paraId="0346AC27" w14:textId="77062D24" w:rsidR="007368C4" w:rsidRPr="007368C4" w:rsidRDefault="007368C4" w:rsidP="009A6C8A">
      <w:r w:rsidRPr="007368C4">
        <w:t xml:space="preserve">The Enhanced Gonococcal Isolate Surveillance Project strengthens surveillance of resistant gonorrhea and increases state and local capacity to detect and monitor it. In select STD clinics, </w:t>
      </w:r>
      <w:proofErr w:type="spellStart"/>
      <w:r w:rsidRPr="007368C4">
        <w:t>eGISP</w:t>
      </w:r>
      <w:proofErr w:type="spellEnd"/>
      <w:r w:rsidRPr="007368C4">
        <w:t xml:space="preserve"> collects samples from men with gonococcal urethritis as well as from women and extragenital sites. These specimens are sent to regional laboratories for susceptibility testing.</w:t>
      </w:r>
    </w:p>
    <w:p w14:paraId="41F4B9F9" w14:textId="1EAECCB9" w:rsidR="007368C4" w:rsidRPr="007368C4" w:rsidRDefault="007368C4" w:rsidP="009A6C8A">
      <w:pPr>
        <w:pStyle w:val="Heading3"/>
      </w:pPr>
      <w:bookmarkStart w:id="119" w:name="_Toc69913761"/>
      <w:bookmarkStart w:id="120" w:name="_Toc69914024"/>
      <w:proofErr w:type="spellStart"/>
      <w:r w:rsidRPr="007368C4">
        <w:t>Eswab</w:t>
      </w:r>
      <w:bookmarkEnd w:id="119"/>
      <w:bookmarkEnd w:id="120"/>
      <w:proofErr w:type="spellEnd"/>
    </w:p>
    <w:p w14:paraId="648F58DA" w14:textId="77777777" w:rsidR="007368C4" w:rsidRPr="007368C4" w:rsidRDefault="007368C4" w:rsidP="009A6C8A">
      <w:r w:rsidRPr="007368C4">
        <w:t xml:space="preserve">A collection and transport system that maintains viability of bacteria at room and refrigerator temperature for up to 48 hours prior.  </w:t>
      </w:r>
    </w:p>
    <w:p w14:paraId="371D2982" w14:textId="77777777" w:rsidR="0031071C" w:rsidRDefault="0031071C" w:rsidP="009A6C8A">
      <w:pPr>
        <w:pStyle w:val="Heading3"/>
      </w:pPr>
      <w:bookmarkStart w:id="121" w:name="_Toc69913762"/>
      <w:bookmarkStart w:id="122" w:name="_Toc69914025"/>
    </w:p>
    <w:p w14:paraId="4F6E86A5" w14:textId="694C81D1" w:rsidR="007368C4" w:rsidRPr="007368C4" w:rsidRDefault="007368C4" w:rsidP="009A6C8A">
      <w:pPr>
        <w:pStyle w:val="Heading3"/>
      </w:pPr>
      <w:proofErr w:type="spellStart"/>
      <w:r w:rsidRPr="007368C4">
        <w:lastRenderedPageBreak/>
        <w:t>Etest</w:t>
      </w:r>
      <w:bookmarkEnd w:id="121"/>
      <w:bookmarkEnd w:id="122"/>
      <w:proofErr w:type="spellEnd"/>
    </w:p>
    <w:p w14:paraId="5E305602" w14:textId="77777777" w:rsidR="007368C4" w:rsidRPr="007368C4" w:rsidRDefault="007368C4" w:rsidP="009A6C8A">
      <w:proofErr w:type="spellStart"/>
      <w:r w:rsidRPr="007368C4">
        <w:t>Epsilometer</w:t>
      </w:r>
      <w:proofErr w:type="spellEnd"/>
      <w:r w:rsidRPr="007368C4">
        <w:t xml:space="preserve"> test (</w:t>
      </w:r>
      <w:proofErr w:type="spellStart"/>
      <w:r w:rsidRPr="007368C4">
        <w:t>Etest</w:t>
      </w:r>
      <w:proofErr w:type="spellEnd"/>
      <w:r w:rsidRPr="007368C4">
        <w:t xml:space="preserve">™) is an ‘exponential gradient’ method of determining of antimicrobial susceptibility. </w:t>
      </w:r>
      <w:proofErr w:type="spellStart"/>
      <w:r w:rsidRPr="007368C4">
        <w:t>Etest</w:t>
      </w:r>
      <w:proofErr w:type="spellEnd"/>
      <w:r w:rsidRPr="007368C4">
        <w:t xml:space="preserve">™ consists of a predefined gradient of antibiotic concentrations on a plastic strip and is used to determine the minimum inhibitory concentration (MIC) of antibiotics.  </w:t>
      </w:r>
    </w:p>
    <w:p w14:paraId="34C48963" w14:textId="2BCA7AC0" w:rsidR="007368C4" w:rsidRPr="007368C4" w:rsidRDefault="007368C4" w:rsidP="009A6C8A">
      <w:pPr>
        <w:pStyle w:val="Heading3"/>
      </w:pPr>
      <w:bookmarkStart w:id="123" w:name="_Toc69913763"/>
      <w:bookmarkStart w:id="124" w:name="_Toc69914026"/>
      <w:r w:rsidRPr="007368C4">
        <w:t>GISP</w:t>
      </w:r>
      <w:bookmarkEnd w:id="123"/>
      <w:bookmarkEnd w:id="124"/>
    </w:p>
    <w:p w14:paraId="72D75B53" w14:textId="77777777" w:rsidR="007368C4" w:rsidRPr="007368C4" w:rsidRDefault="007368C4" w:rsidP="009A6C8A">
      <w:r w:rsidRPr="007368C4">
        <w:t>The Gonococcal Isolate Surveillance Project monitors U.S. antibiotic resistance trends in gonorrhea. Through the collaborative effort of selected STD clinics and their local laboratories, regional laboratories, and CDC, GISP data helps ensure gonorrhea receives the right antibiotic treatment. GISP monitors antimicrobial susceptibility of approximately 5,000 male gonococcal urethritis cases seen in ~26 STD clinics.</w:t>
      </w:r>
    </w:p>
    <w:p w14:paraId="4868B5F1" w14:textId="423F0D6B" w:rsidR="007368C4" w:rsidRPr="007368C4" w:rsidRDefault="007368C4" w:rsidP="009A6C8A">
      <w:pPr>
        <w:pStyle w:val="Heading3"/>
      </w:pPr>
      <w:bookmarkStart w:id="125" w:name="_Toc69913764"/>
      <w:bookmarkStart w:id="126" w:name="_Toc69914027"/>
      <w:r w:rsidRPr="007368C4">
        <w:t>Health Alert Network (HAN)</w:t>
      </w:r>
      <w:bookmarkEnd w:id="125"/>
      <w:bookmarkEnd w:id="126"/>
    </w:p>
    <w:p w14:paraId="7418AE6C" w14:textId="77777777" w:rsidR="007368C4" w:rsidRPr="007368C4" w:rsidRDefault="007368C4" w:rsidP="009A6C8A">
      <w:r w:rsidRPr="007368C4">
        <w:t>CDC’s Health Alert Network (HAN) is CDC’s primary method of sharing cleared information about urgent public health incidents with public information officers; federal, state, territorial, tribal, and local public health practitioners; clinicians; and public health laboratories.</w:t>
      </w:r>
    </w:p>
    <w:p w14:paraId="79662401" w14:textId="495A9FD5" w:rsidR="007368C4" w:rsidRPr="007368C4" w:rsidRDefault="007368C4" w:rsidP="009A6C8A">
      <w:pPr>
        <w:pStyle w:val="Heading3"/>
      </w:pPr>
      <w:bookmarkStart w:id="127" w:name="_Toc69913765"/>
      <w:bookmarkStart w:id="128" w:name="_Toc69914028"/>
      <w:r w:rsidRPr="007368C4">
        <w:t>Incident Command Structure (ICS)</w:t>
      </w:r>
      <w:bookmarkEnd w:id="127"/>
      <w:bookmarkEnd w:id="128"/>
    </w:p>
    <w:p w14:paraId="5E802A88" w14:textId="77777777" w:rsidR="007368C4" w:rsidRPr="007368C4" w:rsidRDefault="007368C4" w:rsidP="009A6C8A">
      <w:r w:rsidRPr="007368C4">
        <w:t>An incident management structure is a predetermined organizational structure used to manage the planning, operational, logistical, financial, and administrative components of an outbreak event. The ICS is an essential tool for command, control, and coordination of resources during an outbreak.</w:t>
      </w:r>
    </w:p>
    <w:p w14:paraId="0C14F0FE" w14:textId="420FFF24" w:rsidR="007368C4" w:rsidRPr="007368C4" w:rsidRDefault="007368C4" w:rsidP="009A6C8A">
      <w:pPr>
        <w:pStyle w:val="Heading3"/>
      </w:pPr>
      <w:bookmarkStart w:id="129" w:name="_Toc69913766"/>
      <w:bookmarkStart w:id="130" w:name="_Toc69914029"/>
      <w:r w:rsidRPr="007368C4">
        <w:t>Multidrug Resistance/Extensively Drug Resistance</w:t>
      </w:r>
      <w:bookmarkEnd w:id="129"/>
      <w:bookmarkEnd w:id="130"/>
    </w:p>
    <w:p w14:paraId="1A6E06EF" w14:textId="248348A9" w:rsidR="007368C4" w:rsidRPr="007368C4" w:rsidRDefault="007368C4" w:rsidP="009A6C8A">
      <w:r w:rsidRPr="007368C4">
        <w:t>Multidrug resistance is antimicrobial resistance shown by a species of microorganism, such as bacteria, to multiple antimicrobial drugs. Extensively drug-resistance (XDR) is a rare type of multidrug-resistance in which bacteria are resistant to first</w:t>
      </w:r>
      <w:r w:rsidR="00733C83">
        <w:t>-</w:t>
      </w:r>
      <w:r w:rsidRPr="007368C4">
        <w:t xml:space="preserve"> and second</w:t>
      </w:r>
      <w:r w:rsidR="00733C83">
        <w:t>-</w:t>
      </w:r>
      <w:r w:rsidRPr="007368C4">
        <w:t>line treatment options.</w:t>
      </w:r>
    </w:p>
    <w:p w14:paraId="25C792A3" w14:textId="08BE332F" w:rsidR="007368C4" w:rsidRPr="007368C4" w:rsidRDefault="007368C4" w:rsidP="009A6C8A">
      <w:pPr>
        <w:pStyle w:val="Heading3"/>
      </w:pPr>
      <w:bookmarkStart w:id="131" w:name="_Toc69913767"/>
      <w:bookmarkStart w:id="132" w:name="_Toc69914030"/>
      <w:r w:rsidRPr="007368C4">
        <w:t>Minimum inhibitory concentrations (MICs)</w:t>
      </w:r>
      <w:bookmarkEnd w:id="131"/>
      <w:bookmarkEnd w:id="132"/>
    </w:p>
    <w:p w14:paraId="74513241" w14:textId="77777777" w:rsidR="007368C4" w:rsidRPr="007368C4" w:rsidRDefault="007368C4" w:rsidP="009A6C8A">
      <w:r w:rsidRPr="007368C4">
        <w:t xml:space="preserve">The lowest antibiotic concentration that inhibits visible growth of bacteria in the laboratory. AST by </w:t>
      </w:r>
      <w:proofErr w:type="spellStart"/>
      <w:r w:rsidRPr="007368C4">
        <w:t>Etest</w:t>
      </w:r>
      <w:proofErr w:type="spellEnd"/>
      <w:r w:rsidRPr="007368C4">
        <w:t xml:space="preserve">™ and agar dilution generate results in MICs. </w:t>
      </w:r>
    </w:p>
    <w:p w14:paraId="66EA85E0" w14:textId="4C8C25A4" w:rsidR="007368C4" w:rsidRPr="007368C4" w:rsidRDefault="007368C4" w:rsidP="009A6C8A">
      <w:pPr>
        <w:pStyle w:val="Heading3"/>
      </w:pPr>
      <w:bookmarkStart w:id="133" w:name="_Toc69913768"/>
      <w:bookmarkStart w:id="134" w:name="_Toc69914031"/>
      <w:r w:rsidRPr="007368C4">
        <w:lastRenderedPageBreak/>
        <w:t>Nucleic Acid Amplification Testing (NAAT)</w:t>
      </w:r>
      <w:bookmarkEnd w:id="133"/>
      <w:bookmarkEnd w:id="134"/>
    </w:p>
    <w:p w14:paraId="4E1EDD68" w14:textId="7B69B81D" w:rsidR="007368C4" w:rsidRDefault="007368C4" w:rsidP="009A6C8A">
      <w:r w:rsidRPr="007368C4">
        <w:t xml:space="preserve">Nucleic acid amplification testing is a laboratory technique that can detect very small amounts of DNA or RNA in test samples. NAATs test this DNA or RNA to identify specific bacteria, such as </w:t>
      </w:r>
      <w:r w:rsidRPr="00283AF3">
        <w:rPr>
          <w:i/>
          <w:iCs/>
        </w:rPr>
        <w:t xml:space="preserve">N. gonorrhoeae </w:t>
      </w:r>
      <w:r w:rsidRPr="007368C4">
        <w:t xml:space="preserve">and </w:t>
      </w:r>
      <w:r w:rsidRPr="00283AF3">
        <w:rPr>
          <w:i/>
          <w:iCs/>
        </w:rPr>
        <w:t>C. trachomatis</w:t>
      </w:r>
      <w:r w:rsidRPr="007368C4">
        <w:t xml:space="preserve">. </w:t>
      </w:r>
    </w:p>
    <w:p w14:paraId="1120C25D" w14:textId="417AB5A3" w:rsidR="007368C4" w:rsidRPr="007368C4" w:rsidRDefault="007368C4" w:rsidP="009A6C8A">
      <w:pPr>
        <w:pStyle w:val="Heading3"/>
      </w:pPr>
      <w:bookmarkStart w:id="135" w:name="_Toc69913769"/>
      <w:bookmarkStart w:id="136" w:name="_Toc69914032"/>
      <w:r w:rsidRPr="007368C4">
        <w:t>SURRG</w:t>
      </w:r>
      <w:bookmarkEnd w:id="135"/>
      <w:bookmarkEnd w:id="136"/>
    </w:p>
    <w:p w14:paraId="30CD2C9F" w14:textId="29130288" w:rsidR="007368C4" w:rsidRPr="007368C4" w:rsidRDefault="007368C4" w:rsidP="009A6C8A">
      <w:r w:rsidRPr="007368C4">
        <w:t>Strengthening the U.S. Response to Resistant Gonorrhea began in 2016 with three goals: 1) enhance domestic antibiotic</w:t>
      </w:r>
      <w:r w:rsidR="006C1A68">
        <w:t>-</w:t>
      </w:r>
      <w:r w:rsidRPr="007368C4">
        <w:t>resistant gonorrhea surveillance and infrastructure; 2) build capacity for rapid detection and response to resistant gonorrhea through increased culturing and local antibiotic susceptibility testing; and 3) conduct rapid field investigations to stop the spread of resistant infections. The project also aims to gain a better understanding of the epidemiological factors contributing to resistant gonorrhea. As of 2020, eight jurisdictions collected specimens, performed local antibiotic susceptibility testing, and analyzed data as part of SURRG, helping guide national recommendations for the public health response to resistant gonorrhea.</w:t>
      </w:r>
    </w:p>
    <w:p w14:paraId="07DAC912" w14:textId="359AFF5C" w:rsidR="007368C4" w:rsidRPr="007368C4" w:rsidRDefault="007368C4" w:rsidP="009A6C8A">
      <w:pPr>
        <w:pStyle w:val="Heading3"/>
      </w:pPr>
      <w:bookmarkStart w:id="137" w:name="_Toc69913770"/>
      <w:bookmarkStart w:id="138" w:name="_Toc69914033"/>
      <w:r w:rsidRPr="007368C4">
        <w:t>Test-of-Cure (TOC)</w:t>
      </w:r>
      <w:bookmarkEnd w:id="137"/>
      <w:bookmarkEnd w:id="138"/>
    </w:p>
    <w:p w14:paraId="6F605F79" w14:textId="77777777" w:rsidR="007368C4" w:rsidRPr="007368C4" w:rsidRDefault="007368C4" w:rsidP="009A6C8A">
      <w:r w:rsidRPr="007368C4">
        <w:t>Repeat testing for gonorrhea, either by nucleic acid amplification testing (NAAT) or culture performed within two weeks of diagnosis and treatment, to ensure that an infection was cured. TOC can identify treatment failures in asymptomatic patients.</w:t>
      </w:r>
    </w:p>
    <w:p w14:paraId="0D2AD3DB" w14:textId="48C9B596" w:rsidR="007368C4" w:rsidRPr="007368C4" w:rsidRDefault="007368C4" w:rsidP="009A6C8A">
      <w:pPr>
        <w:pStyle w:val="Heading3"/>
      </w:pPr>
      <w:bookmarkStart w:id="139" w:name="_Toc69913771"/>
      <w:bookmarkStart w:id="140" w:name="_Toc69914034"/>
      <w:r w:rsidRPr="007368C4">
        <w:t>Treatment failure</w:t>
      </w:r>
      <w:bookmarkEnd w:id="139"/>
      <w:bookmarkEnd w:id="140"/>
    </w:p>
    <w:p w14:paraId="3F0E3374" w14:textId="77777777" w:rsidR="007368C4" w:rsidRPr="007368C4" w:rsidRDefault="007368C4" w:rsidP="009A6C8A">
      <w:r w:rsidRPr="007368C4">
        <w:t xml:space="preserve">Unsuccessful treatment of gonorrhea despite administration of CDC-recommended treatment with ceftriaxone. Treatment failure may be evident clinically through persistence of symptoms despite </w:t>
      </w:r>
      <w:proofErr w:type="gramStart"/>
      <w:r w:rsidRPr="007368C4">
        <w:t>treatment, or</w:t>
      </w:r>
      <w:proofErr w:type="gramEnd"/>
      <w:r w:rsidRPr="007368C4">
        <w:t xml:space="preserve"> may be evident through retesting of patients with asymptomatic gonococcal infections. </w:t>
      </w:r>
    </w:p>
    <w:p w14:paraId="16AC4658" w14:textId="1ED8BA24" w:rsidR="009B282D" w:rsidRPr="007368C4" w:rsidRDefault="007368C4" w:rsidP="009A6C8A">
      <w:r w:rsidRPr="007368C4">
        <w:t> </w:t>
      </w:r>
    </w:p>
    <w:p w14:paraId="6827A18B" w14:textId="350D746D" w:rsidR="009B282D" w:rsidRDefault="009B282D" w:rsidP="009A6C8A"/>
    <w:p w14:paraId="603846C6" w14:textId="339E205D" w:rsidR="009B282D" w:rsidRDefault="009B282D" w:rsidP="009A6C8A"/>
    <w:p w14:paraId="66C693AF" w14:textId="44F6B779" w:rsidR="009B282D" w:rsidRDefault="009B282D" w:rsidP="009A6C8A"/>
    <w:p w14:paraId="47E973F3" w14:textId="401C8E6D" w:rsidR="009B282D" w:rsidRDefault="009B282D" w:rsidP="009A6C8A"/>
    <w:p w14:paraId="2290B435" w14:textId="643CFFB6" w:rsidR="009B282D" w:rsidRDefault="009B282D" w:rsidP="009A6C8A"/>
    <w:p w14:paraId="132AD6AA" w14:textId="053D33FD" w:rsidR="009B282D" w:rsidRDefault="009B282D" w:rsidP="009A6C8A"/>
    <w:p w14:paraId="44846A68" w14:textId="77777777" w:rsidR="007368C4" w:rsidRDefault="007368C4" w:rsidP="009A6C8A">
      <w:pPr>
        <w:sectPr w:rsidR="007368C4" w:rsidSect="00CB72E9">
          <w:footerReference w:type="default" r:id="rId19"/>
          <w:pgSz w:w="12240" w:h="15840" w:code="1"/>
          <w:pgMar w:top="1440" w:right="1170" w:bottom="1440" w:left="1440" w:header="432" w:footer="576" w:gutter="0"/>
          <w:pgNumType w:start="1" w:chapStyle="1"/>
          <w:cols w:space="720"/>
          <w:docGrid w:linePitch="360"/>
        </w:sectPr>
      </w:pPr>
    </w:p>
    <w:p w14:paraId="11408D0B" w14:textId="3429B011" w:rsidR="00BF570A" w:rsidRDefault="00FC791E" w:rsidP="009A6C8A">
      <w:pPr>
        <w:pStyle w:val="Heading2"/>
      </w:pPr>
      <w:bookmarkStart w:id="141" w:name="_Toc69913772"/>
      <w:bookmarkStart w:id="142" w:name="_Toc69914035"/>
      <w:r w:rsidRPr="00494275">
        <w:lastRenderedPageBreak/>
        <w:t xml:space="preserve">Appendix </w:t>
      </w:r>
      <w:r w:rsidR="007368C4">
        <w:t>D</w:t>
      </w:r>
      <w:r w:rsidRPr="00494275">
        <w:t>:</w:t>
      </w:r>
      <w:r>
        <w:t xml:space="preserve">  List of References</w:t>
      </w:r>
      <w:bookmarkEnd w:id="141"/>
      <w:bookmarkEnd w:id="142"/>
    </w:p>
    <w:p w14:paraId="300ABD26" w14:textId="732DD683" w:rsidR="00CB38CE" w:rsidRPr="00254B7E" w:rsidRDefault="003E524C" w:rsidP="000105D2">
      <w:pPr>
        <w:pStyle w:val="ListParagraph"/>
        <w:numPr>
          <w:ilvl w:val="0"/>
          <w:numId w:val="12"/>
        </w:numPr>
        <w:contextualSpacing w:val="0"/>
        <w:rPr>
          <w:rStyle w:val="Hyperlink"/>
          <w:i/>
          <w:iCs/>
          <w:color w:val="FF0000"/>
          <w:sz w:val="16"/>
          <w:szCs w:val="16"/>
          <w:u w:val="none"/>
        </w:rPr>
      </w:pPr>
      <w:r w:rsidRPr="00254B7E">
        <w:rPr>
          <w:i/>
          <w:iCs/>
          <w:color w:val="FF0000"/>
        </w:rPr>
        <w:t>Insert State and Local Ceftriaxone-Resistant Gonorrhea Outbreak Response Plan Guides</w:t>
      </w:r>
    </w:p>
    <w:p w14:paraId="0CFC2043" w14:textId="4A5B5A99" w:rsidR="00CB38CE" w:rsidRPr="0031071C" w:rsidRDefault="00CB38CE" w:rsidP="000105D2">
      <w:pPr>
        <w:pStyle w:val="ListParagraph"/>
        <w:numPr>
          <w:ilvl w:val="0"/>
          <w:numId w:val="14"/>
        </w:numPr>
        <w:contextualSpacing w:val="0"/>
        <w:rPr>
          <w:rStyle w:val="Hyperlink"/>
          <w:color w:val="0070C0"/>
        </w:rPr>
      </w:pPr>
      <w:r w:rsidRPr="00283AF3">
        <w:rPr>
          <w:rStyle w:val="Hyperlink"/>
          <w:color w:val="auto"/>
          <w:u w:val="none"/>
        </w:rPr>
        <w:t xml:space="preserve">Antibiotic-Resistance Gonorrhea Page, </w:t>
      </w:r>
      <w:r w:rsidRPr="00283AF3">
        <w:t>Centers</w:t>
      </w:r>
      <w:r w:rsidRPr="0031071C">
        <w:t xml:space="preserve"> for Disease Control and Prevention </w:t>
      </w:r>
      <w:r w:rsidR="00733C83" w:rsidRPr="001537B0">
        <w:rPr>
          <w:rStyle w:val="Hyperlink"/>
        </w:rPr>
        <w:t>https://www.cdc.gov/std/gonorrhea/arg/default.htm</w:t>
      </w:r>
    </w:p>
    <w:p w14:paraId="3F6E6383" w14:textId="12405DA2" w:rsidR="00CB38CE" w:rsidRPr="0031071C" w:rsidRDefault="00CB38CE" w:rsidP="000105D2">
      <w:pPr>
        <w:pStyle w:val="Default"/>
        <w:numPr>
          <w:ilvl w:val="0"/>
          <w:numId w:val="15"/>
        </w:numPr>
        <w:ind w:left="1440"/>
        <w:rPr>
          <w:rFonts w:ascii="Microsoft PhagsPa" w:hAnsi="Microsoft PhagsPa"/>
          <w:sz w:val="22"/>
          <w:szCs w:val="22"/>
        </w:rPr>
      </w:pPr>
      <w:r w:rsidRPr="0031071C">
        <w:rPr>
          <w:rFonts w:ascii="Microsoft PhagsPa" w:hAnsi="Microsoft PhagsPa"/>
          <w:sz w:val="22"/>
          <w:szCs w:val="22"/>
        </w:rPr>
        <w:t>Antibiotic</w:t>
      </w:r>
      <w:r w:rsidR="00D81363">
        <w:rPr>
          <w:rFonts w:ascii="Microsoft PhagsPa" w:hAnsi="Microsoft PhagsPa"/>
          <w:sz w:val="22"/>
          <w:szCs w:val="22"/>
        </w:rPr>
        <w:t>-</w:t>
      </w:r>
      <w:r w:rsidRPr="0031071C">
        <w:rPr>
          <w:rFonts w:ascii="Microsoft PhagsPa" w:hAnsi="Microsoft PhagsPa"/>
          <w:sz w:val="22"/>
          <w:szCs w:val="22"/>
        </w:rPr>
        <w:t>Resistant Gonorrhea Basic Information, Centers for Disease Control and Prevention</w:t>
      </w:r>
      <w:r w:rsidR="00283AF3">
        <w:rPr>
          <w:rFonts w:ascii="Microsoft PhagsPa" w:hAnsi="Microsoft PhagsPa"/>
          <w:sz w:val="22"/>
          <w:szCs w:val="22"/>
        </w:rPr>
        <w:br/>
      </w:r>
      <w:hyperlink r:id="rId20" w:history="1">
        <w:r w:rsidR="00283AF3" w:rsidRPr="00667CDF">
          <w:rPr>
            <w:rStyle w:val="Hyperlink"/>
            <w:rFonts w:ascii="Microsoft PhagsPa" w:hAnsi="Microsoft PhagsPa"/>
            <w:sz w:val="22"/>
            <w:szCs w:val="22"/>
          </w:rPr>
          <w:t>https://www.cdc.gov/std/gonorrhea/arg/basic.htm</w:t>
        </w:r>
      </w:hyperlink>
    </w:p>
    <w:p w14:paraId="08EC62C6" w14:textId="710AA161" w:rsidR="00CB38CE" w:rsidRPr="0031071C" w:rsidRDefault="00CB38CE" w:rsidP="000105D2">
      <w:pPr>
        <w:pStyle w:val="ListParagraph"/>
        <w:numPr>
          <w:ilvl w:val="1"/>
          <w:numId w:val="15"/>
        </w:numPr>
        <w:contextualSpacing w:val="0"/>
        <w:rPr>
          <w:color w:val="948A54" w:themeColor="background2" w:themeShade="80"/>
          <w:u w:val="single"/>
        </w:rPr>
      </w:pPr>
      <w:bookmarkStart w:id="143" w:name="_Hlk19017100"/>
      <w:r w:rsidRPr="0031071C">
        <w:t xml:space="preserve">Antibiotic-Resistant Gonorrhea </w:t>
      </w:r>
      <w:bookmarkEnd w:id="143"/>
      <w:r w:rsidRPr="0031071C">
        <w:t>Laboratory Information, Centers for Disease Control and Prevention</w:t>
      </w:r>
      <w:r w:rsidR="00283AF3">
        <w:br/>
      </w:r>
      <w:hyperlink r:id="rId21" w:history="1">
        <w:r w:rsidR="00283AF3" w:rsidRPr="00667CDF">
          <w:rPr>
            <w:rStyle w:val="Hyperlink"/>
          </w:rPr>
          <w:t>https://www.cdc.gov/std/gonorrhea/arg/lab.htm</w:t>
        </w:r>
      </w:hyperlink>
    </w:p>
    <w:p w14:paraId="6F95F2A9" w14:textId="6158734F" w:rsidR="00CB38CE" w:rsidRPr="0031071C" w:rsidRDefault="00CB38CE" w:rsidP="000105D2">
      <w:pPr>
        <w:pStyle w:val="ListParagraph"/>
        <w:numPr>
          <w:ilvl w:val="1"/>
          <w:numId w:val="15"/>
        </w:numPr>
        <w:contextualSpacing w:val="0"/>
        <w:rPr>
          <w:color w:val="948A54" w:themeColor="background2" w:themeShade="80"/>
          <w:u w:val="single"/>
        </w:rPr>
      </w:pPr>
      <w:r w:rsidRPr="0031071C">
        <w:t xml:space="preserve">Combating the Threat </w:t>
      </w:r>
      <w:r w:rsidRPr="00283AF3">
        <w:t xml:space="preserve">of </w:t>
      </w:r>
      <w:r w:rsidRPr="00283AF3">
        <w:rPr>
          <w:rStyle w:val="Hyperlink"/>
          <w:color w:val="auto"/>
          <w:u w:val="none"/>
        </w:rPr>
        <w:t>Antibiotic-Resistance Gonorrhea</w:t>
      </w:r>
      <w:r w:rsidRPr="00283AF3">
        <w:rPr>
          <w:rStyle w:val="Hyperlink"/>
          <w:color w:val="auto"/>
        </w:rPr>
        <w:t xml:space="preserve"> </w:t>
      </w:r>
      <w:hyperlink r:id="rId22" w:history="1">
        <w:r w:rsidR="00733C83" w:rsidRPr="00667CDF">
          <w:rPr>
            <w:rStyle w:val="Hyperlink"/>
          </w:rPr>
          <w:t>https://www.cdc.gov/std/gonorrhea/arg/carb.htm</w:t>
        </w:r>
      </w:hyperlink>
      <w:r w:rsidR="00283AF3">
        <w:rPr>
          <w:rStyle w:val="Hyperlink"/>
          <w:color w:val="948A54" w:themeColor="background2" w:themeShade="80"/>
        </w:rPr>
        <w:t xml:space="preserve">  </w:t>
      </w:r>
    </w:p>
    <w:p w14:paraId="76D82861" w14:textId="454E10FD" w:rsidR="00CB38CE" w:rsidRPr="0031071C" w:rsidRDefault="00733C83" w:rsidP="000105D2">
      <w:pPr>
        <w:pStyle w:val="ListParagraph"/>
        <w:numPr>
          <w:ilvl w:val="0"/>
          <w:numId w:val="14"/>
        </w:numPr>
        <w:contextualSpacing w:val="0"/>
        <w:rPr>
          <w:color w:val="948A54" w:themeColor="background2" w:themeShade="80"/>
        </w:rPr>
      </w:pPr>
      <w:bookmarkStart w:id="144" w:name="_Hlk19027376"/>
      <w:r>
        <w:t>Antibiotic</w:t>
      </w:r>
      <w:r w:rsidRPr="00CB2C8D">
        <w:t>-Resistant Gonor</w:t>
      </w:r>
      <w:r>
        <w:t>rhea</w:t>
      </w:r>
      <w:r w:rsidRPr="00CB2C8D">
        <w:t xml:space="preserve"> Webinar to Prepare for Tabletop Exercise, Centers for Disease Control and Prevention</w:t>
      </w:r>
      <w:r w:rsidR="002015F2">
        <w:br/>
      </w:r>
      <w:hyperlink r:id="rId23" w:history="1">
        <w:r w:rsidR="002015F2" w:rsidRPr="00163726">
          <w:rPr>
            <w:rStyle w:val="Hyperlink"/>
          </w:rPr>
          <w:t>https://www.cdc.gov/std/program/outbreakresources/documents/ARGC-TTX-Webinar_2021.pptx</w:t>
        </w:r>
      </w:hyperlink>
      <w:r w:rsidR="002015F2">
        <w:rPr>
          <w:color w:val="948A54" w:themeColor="background2" w:themeShade="80"/>
        </w:rPr>
        <w:t xml:space="preserve"> </w:t>
      </w:r>
    </w:p>
    <w:p w14:paraId="4718B4C8" w14:textId="7EB2673E" w:rsidR="00CB38CE" w:rsidRPr="0031071C" w:rsidRDefault="00CB38CE" w:rsidP="000105D2">
      <w:pPr>
        <w:pStyle w:val="ListParagraph"/>
        <w:numPr>
          <w:ilvl w:val="0"/>
          <w:numId w:val="14"/>
        </w:numPr>
        <w:contextualSpacing w:val="0"/>
      </w:pPr>
      <w:r w:rsidRPr="0031071C">
        <w:t xml:space="preserve">Ceftriaxone-Resistant Gonorrhea Outbreak Response Plan Guide, Centers for Disease Control and Prevention </w:t>
      </w:r>
      <w:hyperlink r:id="rId24" w:history="1">
        <w:r w:rsidR="006C5668" w:rsidRPr="00163726">
          <w:rPr>
            <w:rStyle w:val="Hyperlink"/>
          </w:rPr>
          <w:t>https://www.cdc.gov/std/program/outbreakresources/documents/ceftriaxone-resistant-gc-outbreak-response-plan-guidance.docx</w:t>
        </w:r>
      </w:hyperlink>
      <w:r w:rsidR="006C5668">
        <w:t xml:space="preserve"> </w:t>
      </w:r>
      <w:r w:rsidR="00283AF3">
        <w:t xml:space="preserve"> </w:t>
      </w:r>
    </w:p>
    <w:bookmarkEnd w:id="144"/>
    <w:p w14:paraId="2FF859C0" w14:textId="102D5FAB" w:rsidR="00CB38CE" w:rsidRPr="0031071C" w:rsidRDefault="00CB38CE" w:rsidP="000105D2">
      <w:pPr>
        <w:pStyle w:val="ListParagraph"/>
        <w:numPr>
          <w:ilvl w:val="0"/>
          <w:numId w:val="14"/>
        </w:numPr>
        <w:contextualSpacing w:val="0"/>
      </w:pPr>
      <w:r w:rsidRPr="0031071C">
        <w:t xml:space="preserve">Expedited Partner Therapy, Centers for Disease Control and Prevention </w:t>
      </w:r>
      <w:hyperlink r:id="rId25" w:history="1">
        <w:r w:rsidRPr="0031071C">
          <w:rPr>
            <w:rStyle w:val="Hyperlink"/>
          </w:rPr>
          <w:t>https://www.cdc.gov/std/ept/default.htm</w:t>
        </w:r>
      </w:hyperlink>
      <w:r w:rsidRPr="0031071C">
        <w:t xml:space="preserve"> </w:t>
      </w:r>
    </w:p>
    <w:p w14:paraId="0F41D10B" w14:textId="50F24810" w:rsidR="00CB38CE" w:rsidRPr="0031071C" w:rsidRDefault="00CB38CE" w:rsidP="000105D2">
      <w:pPr>
        <w:pStyle w:val="ListParagraph"/>
        <w:numPr>
          <w:ilvl w:val="0"/>
          <w:numId w:val="14"/>
        </w:numPr>
        <w:contextualSpacing w:val="0"/>
      </w:pPr>
      <w:r w:rsidRPr="0031071C">
        <w:t xml:space="preserve">Gonorrhea CDC Fact Sheet (Basic), Centers for Disease Control and Prevention </w:t>
      </w:r>
      <w:hyperlink r:id="rId26" w:history="1">
        <w:r w:rsidRPr="0031071C">
          <w:rPr>
            <w:rStyle w:val="Hyperlink"/>
          </w:rPr>
          <w:t>https://www.cdc.gov/std/gonorrhea/stdfact-gonorrhea.htm</w:t>
        </w:r>
      </w:hyperlink>
      <w:r w:rsidRPr="0031071C">
        <w:t xml:space="preserve"> </w:t>
      </w:r>
    </w:p>
    <w:p w14:paraId="1193C0FC" w14:textId="6E586BBC" w:rsidR="00CB38CE" w:rsidRPr="0031071C" w:rsidRDefault="00CB38CE" w:rsidP="000105D2">
      <w:pPr>
        <w:pStyle w:val="ListParagraph"/>
        <w:numPr>
          <w:ilvl w:val="0"/>
          <w:numId w:val="14"/>
        </w:numPr>
        <w:contextualSpacing w:val="0"/>
      </w:pPr>
      <w:r w:rsidRPr="0031071C">
        <w:t xml:space="preserve">Gonorrhea CDC Fact Sheet (Detailed), Centers for Disease Control and Prevention </w:t>
      </w:r>
      <w:hyperlink r:id="rId27" w:history="1">
        <w:r w:rsidRPr="0031071C">
          <w:rPr>
            <w:rStyle w:val="Hyperlink"/>
          </w:rPr>
          <w:t>https://www.cdc.gov/std/gonorrhea/stdfact-gonorrhea-detailed.htm</w:t>
        </w:r>
      </w:hyperlink>
      <w:r w:rsidRPr="0031071C">
        <w:t xml:space="preserve"> </w:t>
      </w:r>
    </w:p>
    <w:p w14:paraId="1E6994DA" w14:textId="36284B54" w:rsidR="00CB38CE" w:rsidRPr="0031071C" w:rsidRDefault="00CB38CE" w:rsidP="000105D2">
      <w:pPr>
        <w:pStyle w:val="BodyText"/>
        <w:numPr>
          <w:ilvl w:val="0"/>
          <w:numId w:val="14"/>
        </w:numPr>
        <w:spacing w:after="120"/>
      </w:pPr>
      <w:r w:rsidRPr="0031071C">
        <w:t xml:space="preserve">Gonorrhea with Reduced Susceptibility Health Alert Template, Centers for Disease Control and Prevention </w:t>
      </w:r>
      <w:r w:rsidR="00283AF3">
        <w:br/>
      </w:r>
      <w:hyperlink r:id="rId28" w:history="1">
        <w:r w:rsidR="00283AF3" w:rsidRPr="00667CDF">
          <w:rPr>
            <w:rStyle w:val="Hyperlink"/>
            <w:rFonts w:eastAsiaTheme="minorHAnsi"/>
          </w:rPr>
          <w:t>https://www.cdc.gov/std/program/outbreakresources/HANtemplate-gono.htm</w:t>
        </w:r>
      </w:hyperlink>
      <w:r w:rsidRPr="0031071C">
        <w:t xml:space="preserve"> </w:t>
      </w:r>
    </w:p>
    <w:p w14:paraId="2624463A" w14:textId="4A1D92FE" w:rsidR="00CB38CE" w:rsidRPr="0031071C" w:rsidRDefault="00CB38CE" w:rsidP="000105D2">
      <w:pPr>
        <w:pStyle w:val="ListParagraph"/>
        <w:numPr>
          <w:ilvl w:val="0"/>
          <w:numId w:val="14"/>
        </w:numPr>
        <w:contextualSpacing w:val="0"/>
        <w:rPr>
          <w:color w:val="948A54" w:themeColor="background2" w:themeShade="80"/>
          <w:u w:val="single"/>
        </w:rPr>
      </w:pPr>
      <w:r w:rsidRPr="0031071C">
        <w:rPr>
          <w:color w:val="000000"/>
        </w:rPr>
        <w:t>National Network of STD Clinical Prevention Training Centers</w:t>
      </w:r>
      <w:r w:rsidRPr="0031071C">
        <w:t xml:space="preserve"> (NNPTC) STD Clinical Consultation Network</w:t>
      </w:r>
      <w:r w:rsidR="00283AF3">
        <w:br/>
      </w:r>
      <w:hyperlink r:id="rId29" w:history="1">
        <w:r w:rsidR="00283AF3" w:rsidRPr="00667CDF">
          <w:rPr>
            <w:rStyle w:val="Hyperlink"/>
          </w:rPr>
          <w:t>https://www.stdccn.org</w:t>
        </w:r>
      </w:hyperlink>
    </w:p>
    <w:p w14:paraId="1582F888" w14:textId="2400D72B" w:rsidR="00CB38CE" w:rsidRPr="0031071C" w:rsidRDefault="00CB38CE" w:rsidP="000105D2">
      <w:pPr>
        <w:pStyle w:val="ListParagraph"/>
        <w:numPr>
          <w:ilvl w:val="0"/>
          <w:numId w:val="14"/>
        </w:numPr>
        <w:contextualSpacing w:val="0"/>
        <w:rPr>
          <w:rStyle w:val="Hyperlink"/>
          <w:color w:val="0070C0"/>
        </w:rPr>
      </w:pPr>
      <w:r w:rsidRPr="0031071C">
        <w:lastRenderedPageBreak/>
        <w:t>National Sexually Transmitted Disease Curriculum, University of Washington STD Prevention Training Center and the University of Washington</w:t>
      </w:r>
      <w:r w:rsidR="00283AF3">
        <w:br/>
      </w:r>
      <w:hyperlink r:id="rId30" w:history="1">
        <w:r w:rsidR="00283AF3" w:rsidRPr="00667CDF">
          <w:rPr>
            <w:rStyle w:val="Hyperlink"/>
          </w:rPr>
          <w:t>https://www.std.uw.edu/</w:t>
        </w:r>
      </w:hyperlink>
    </w:p>
    <w:p w14:paraId="364052FC" w14:textId="186062E8" w:rsidR="00CB38CE" w:rsidRPr="00296527" w:rsidRDefault="00CB38CE" w:rsidP="000105D2">
      <w:pPr>
        <w:pStyle w:val="ListParagraph"/>
        <w:numPr>
          <w:ilvl w:val="0"/>
          <w:numId w:val="14"/>
        </w:numPr>
        <w:contextualSpacing w:val="0"/>
        <w:rPr>
          <w:rStyle w:val="Hyperlink"/>
          <w:rFonts w:ascii="Arial" w:hAnsi="Arial"/>
          <w:color w:val="948A54" w:themeColor="background2" w:themeShade="80"/>
        </w:rPr>
      </w:pPr>
      <w:r w:rsidRPr="001E2473">
        <w:t xml:space="preserve">Sexually Transmitted Diseases Prevention Resources, </w:t>
      </w:r>
      <w:bookmarkStart w:id="145" w:name="_Hlk19016978"/>
      <w:r w:rsidRPr="001E2473">
        <w:t>Centers for Disease Control and Prevention</w:t>
      </w:r>
      <w:bookmarkEnd w:id="145"/>
      <w:r w:rsidR="00283AF3">
        <w:br/>
      </w:r>
      <w:hyperlink r:id="rId31" w:history="1">
        <w:r w:rsidR="00283AF3" w:rsidRPr="00667CDF">
          <w:rPr>
            <w:rStyle w:val="Hyperlink"/>
            <w:rFonts w:ascii="Arial" w:hAnsi="Arial"/>
          </w:rPr>
          <w:t>https://www.cdc.gov/std/publications/STDPreventionResources_WEB.pdf</w:t>
        </w:r>
      </w:hyperlink>
    </w:p>
    <w:p w14:paraId="5CBC5B9F" w14:textId="23AAC54C" w:rsidR="00CB38CE" w:rsidRPr="00296527" w:rsidRDefault="00CB38CE" w:rsidP="000105D2">
      <w:pPr>
        <w:pStyle w:val="ListParagraph"/>
        <w:numPr>
          <w:ilvl w:val="0"/>
          <w:numId w:val="14"/>
        </w:numPr>
        <w:contextualSpacing w:val="0"/>
        <w:rPr>
          <w:color w:val="948A54" w:themeColor="background2" w:themeShade="80"/>
        </w:rPr>
      </w:pPr>
      <w:r w:rsidRPr="00296527">
        <w:t>Sexually Transmitted Disease (STD) Treatment Guidelines 2015, Centers for Disease Control and Prevention</w:t>
      </w:r>
      <w:r w:rsidR="00283AF3">
        <w:br/>
      </w:r>
      <w:hyperlink r:id="rId32" w:history="1">
        <w:r w:rsidR="00283AF3" w:rsidRPr="00667CDF">
          <w:rPr>
            <w:rStyle w:val="Hyperlink"/>
          </w:rPr>
          <w:t>https://www.cdc.gov/std/tg2015/gonorrhea.htm</w:t>
        </w:r>
      </w:hyperlink>
    </w:p>
    <w:p w14:paraId="5EFB82C4" w14:textId="77777777" w:rsidR="00733C83" w:rsidRPr="00CB2C8D" w:rsidRDefault="00733C83" w:rsidP="00733C83">
      <w:pPr>
        <w:pStyle w:val="ListParagraph"/>
        <w:numPr>
          <w:ilvl w:val="1"/>
          <w:numId w:val="16"/>
        </w:numPr>
        <w:tabs>
          <w:tab w:val="clear" w:pos="5130"/>
        </w:tabs>
        <w:spacing w:after="240" w:line="240" w:lineRule="auto"/>
        <w:contextualSpacing w:val="0"/>
        <w:rPr>
          <w:color w:val="948A54" w:themeColor="background2" w:themeShade="80"/>
          <w:u w:val="single"/>
        </w:rPr>
      </w:pPr>
      <w:r w:rsidRPr="00CB2C8D">
        <w:t xml:space="preserve">The 2015 STD Treatment (Tx) Guide mobile app is free and available for </w:t>
      </w:r>
      <w:hyperlink r:id="rId33" w:tgtFrame="_self" w:history="1">
        <w:r w:rsidRPr="00CB2C8D">
          <w:rPr>
            <w:rStyle w:val="Hyperlink"/>
          </w:rPr>
          <w:t>Apple devices</w:t>
        </w:r>
      </w:hyperlink>
      <w:r w:rsidRPr="00CB2C8D">
        <w:t xml:space="preserve"> and </w:t>
      </w:r>
      <w:hyperlink r:id="rId34" w:tgtFrame="_self" w:history="1">
        <w:r w:rsidRPr="00CB2C8D">
          <w:rPr>
            <w:rStyle w:val="Hyperlink"/>
          </w:rPr>
          <w:t>Android devices</w:t>
        </w:r>
      </w:hyperlink>
    </w:p>
    <w:p w14:paraId="55E461D8" w14:textId="4E26EA02" w:rsidR="00631176" w:rsidRDefault="00CB38CE" w:rsidP="000105D2">
      <w:pPr>
        <w:pStyle w:val="ListParagraph"/>
        <w:numPr>
          <w:ilvl w:val="0"/>
          <w:numId w:val="16"/>
        </w:numPr>
        <w:contextualSpacing w:val="0"/>
      </w:pPr>
      <w:r w:rsidRPr="00296527">
        <w:t xml:space="preserve">Talking Points for Gonorrhea with Reduced Susceptibility, Centers for Disease Control and Prevention </w:t>
      </w:r>
      <w:r w:rsidR="00283AF3">
        <w:br/>
      </w:r>
      <w:hyperlink r:id="rId35" w:history="1">
        <w:r w:rsidR="00283AF3" w:rsidRPr="00667CDF">
          <w:rPr>
            <w:rStyle w:val="Hyperlink"/>
          </w:rPr>
          <w:t>https://www.cdc.gov/std/program/outbreakresources/default.htm</w:t>
        </w:r>
      </w:hyperlink>
    </w:p>
    <w:p w14:paraId="222F1A67" w14:textId="77777777" w:rsidR="009F2B22" w:rsidRDefault="009F2B22" w:rsidP="009A6C8A">
      <w:pPr>
        <w:sectPr w:rsidR="009F2B22" w:rsidSect="00CB72E9">
          <w:footerReference w:type="default" r:id="rId36"/>
          <w:pgSz w:w="12240" w:h="15840" w:code="1"/>
          <w:pgMar w:top="1440" w:right="1170" w:bottom="1440" w:left="1440" w:header="432" w:footer="576" w:gutter="0"/>
          <w:pgNumType w:start="1" w:chapStyle="1"/>
          <w:cols w:space="720"/>
          <w:docGrid w:linePitch="360"/>
        </w:sectPr>
      </w:pPr>
    </w:p>
    <w:p w14:paraId="320B2D01" w14:textId="2E8AFB64" w:rsidR="009F2B22" w:rsidRDefault="009F2B22" w:rsidP="009A6C8A">
      <w:pPr>
        <w:pStyle w:val="Heading2"/>
      </w:pPr>
      <w:bookmarkStart w:id="146" w:name="_Toc69913773"/>
      <w:bookmarkStart w:id="147" w:name="_Toc69914036"/>
      <w:r w:rsidRPr="00494275">
        <w:lastRenderedPageBreak/>
        <w:t xml:space="preserve">Appendix </w:t>
      </w:r>
      <w:r w:rsidR="007368C4">
        <w:t>E</w:t>
      </w:r>
      <w:r w:rsidRPr="00494275">
        <w:t>:</w:t>
      </w:r>
      <w:r>
        <w:t xml:space="preserve">  Acronyms</w:t>
      </w:r>
      <w:bookmarkEnd w:id="146"/>
      <w:bookmarkEnd w:id="147"/>
    </w:p>
    <w:tbl>
      <w:tblPr>
        <w:tblStyle w:val="ListTable2-Accent4"/>
        <w:tblW w:w="0" w:type="auto"/>
        <w:tblLook w:val="0480" w:firstRow="0" w:lastRow="0" w:firstColumn="1" w:lastColumn="0" w:noHBand="0" w:noVBand="1"/>
      </w:tblPr>
      <w:tblGrid>
        <w:gridCol w:w="1615"/>
        <w:gridCol w:w="8005"/>
      </w:tblGrid>
      <w:tr w:rsidR="009F2B22" w:rsidRPr="009B282D" w14:paraId="3CDDD9AE"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165835D2" w14:textId="74B491D4" w:rsidR="009F2B22" w:rsidRPr="009B282D" w:rsidRDefault="009847EB" w:rsidP="009A6C8A">
            <w:r w:rsidRPr="009B282D">
              <w:t>A</w:t>
            </w:r>
            <w:r w:rsidR="002E1D5A" w:rsidRPr="009B282D">
              <w:t>IDS</w:t>
            </w:r>
          </w:p>
        </w:tc>
        <w:tc>
          <w:tcPr>
            <w:tcW w:w="8005" w:type="dxa"/>
          </w:tcPr>
          <w:p w14:paraId="51156559" w14:textId="756882C5" w:rsidR="009F2B22" w:rsidRPr="00956B88" w:rsidRDefault="009847EB" w:rsidP="009A6C8A">
            <w:pPr>
              <w:cnfStyle w:val="000000100000" w:firstRow="0" w:lastRow="0" w:firstColumn="0" w:lastColumn="0" w:oddVBand="0" w:evenVBand="0" w:oddHBand="1" w:evenHBand="0" w:firstRowFirstColumn="0" w:firstRowLastColumn="0" w:lastRowFirstColumn="0" w:lastRowLastColumn="0"/>
            </w:pPr>
            <w:r w:rsidRPr="00956B88">
              <w:t>A</w:t>
            </w:r>
            <w:r w:rsidR="002E1D5A" w:rsidRPr="00956B88">
              <w:t>cquired Immune Deficiency Syndrome</w:t>
            </w:r>
          </w:p>
        </w:tc>
      </w:tr>
      <w:tr w:rsidR="002E1D5A" w:rsidRPr="009B282D" w14:paraId="1B5BA437"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58188259" w14:textId="5C737E6B" w:rsidR="002E1D5A" w:rsidRPr="009B282D" w:rsidRDefault="002E1D5A" w:rsidP="009A6C8A">
            <w:r w:rsidRPr="009B282D">
              <w:t>ARGC</w:t>
            </w:r>
          </w:p>
        </w:tc>
        <w:tc>
          <w:tcPr>
            <w:tcW w:w="8005" w:type="dxa"/>
          </w:tcPr>
          <w:p w14:paraId="3F4D8106" w14:textId="34909441" w:rsidR="002E1D5A" w:rsidRPr="009B282D" w:rsidRDefault="002E1D5A" w:rsidP="009A6C8A">
            <w:pPr>
              <w:cnfStyle w:val="000000000000" w:firstRow="0" w:lastRow="0" w:firstColumn="0" w:lastColumn="0" w:oddVBand="0" w:evenVBand="0" w:oddHBand="0" w:evenHBand="0" w:firstRowFirstColumn="0" w:firstRowLastColumn="0" w:lastRowFirstColumn="0" w:lastRowLastColumn="0"/>
            </w:pPr>
            <w:r w:rsidRPr="009B282D">
              <w:t>Antibiotic</w:t>
            </w:r>
            <w:r w:rsidR="00D81363">
              <w:t>-</w:t>
            </w:r>
            <w:r w:rsidRPr="009B282D">
              <w:t>Resistant Gonorrhea</w:t>
            </w:r>
          </w:p>
        </w:tc>
      </w:tr>
      <w:tr w:rsidR="002835F5" w:rsidRPr="009B282D" w14:paraId="65497AB5"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12DEFFAC" w14:textId="777343F3" w:rsidR="002835F5" w:rsidRPr="009B282D" w:rsidRDefault="002835F5" w:rsidP="009A6C8A">
            <w:r w:rsidRPr="009B282D">
              <w:t>ARLN</w:t>
            </w:r>
          </w:p>
        </w:tc>
        <w:tc>
          <w:tcPr>
            <w:tcW w:w="8005" w:type="dxa"/>
          </w:tcPr>
          <w:p w14:paraId="10032FB2" w14:textId="561E077F" w:rsidR="002835F5" w:rsidRPr="009B282D" w:rsidRDefault="002835F5" w:rsidP="009A6C8A">
            <w:pPr>
              <w:cnfStyle w:val="000000100000" w:firstRow="0" w:lastRow="0" w:firstColumn="0" w:lastColumn="0" w:oddVBand="0" w:evenVBand="0" w:oddHBand="1" w:evenHBand="0" w:firstRowFirstColumn="0" w:firstRowLastColumn="0" w:lastRowFirstColumn="0" w:lastRowLastColumn="0"/>
            </w:pPr>
            <w:r w:rsidRPr="009B282D">
              <w:t>Antimicrobial Regional Laboratory Network</w:t>
            </w:r>
          </w:p>
        </w:tc>
      </w:tr>
      <w:tr w:rsidR="00522504" w:rsidRPr="009B282D" w14:paraId="43AE8228"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4F72AACB" w14:textId="27291ADC" w:rsidR="00522504" w:rsidRPr="009B282D" w:rsidRDefault="00522504" w:rsidP="009A6C8A">
            <w:r w:rsidRPr="009B282D">
              <w:t>ASD</w:t>
            </w:r>
          </w:p>
        </w:tc>
        <w:tc>
          <w:tcPr>
            <w:tcW w:w="8005" w:type="dxa"/>
          </w:tcPr>
          <w:p w14:paraId="7D0F0136" w14:textId="5CE0FF9C" w:rsidR="00522504" w:rsidRPr="009B282D" w:rsidRDefault="00522504" w:rsidP="009A6C8A">
            <w:pPr>
              <w:cnfStyle w:val="000000000000" w:firstRow="0" w:lastRow="0" w:firstColumn="0" w:lastColumn="0" w:oddVBand="0" w:evenVBand="0" w:oddHBand="0" w:evenHBand="0" w:firstRowFirstColumn="0" w:firstRowLastColumn="0" w:lastRowFirstColumn="0" w:lastRowLastColumn="0"/>
            </w:pPr>
            <w:r w:rsidRPr="009B282D">
              <w:t>Adult Services Division</w:t>
            </w:r>
          </w:p>
        </w:tc>
      </w:tr>
      <w:tr w:rsidR="009F2B22" w:rsidRPr="009B282D" w14:paraId="3BE1AD2F"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25F4B397" w14:textId="4906D9F2" w:rsidR="009F2B22" w:rsidRPr="009B282D" w:rsidRDefault="009847EB" w:rsidP="009A6C8A">
            <w:r w:rsidRPr="009B282D">
              <w:t>AST</w:t>
            </w:r>
          </w:p>
        </w:tc>
        <w:tc>
          <w:tcPr>
            <w:tcW w:w="8005" w:type="dxa"/>
          </w:tcPr>
          <w:p w14:paraId="379A775B" w14:textId="7116EA6D" w:rsidR="009F2B22" w:rsidRPr="009B282D" w:rsidRDefault="009847EB" w:rsidP="009A6C8A">
            <w:pPr>
              <w:cnfStyle w:val="000000100000" w:firstRow="0" w:lastRow="0" w:firstColumn="0" w:lastColumn="0" w:oddVBand="0" w:evenVBand="0" w:oddHBand="1" w:evenHBand="0" w:firstRowFirstColumn="0" w:firstRowLastColumn="0" w:lastRowFirstColumn="0" w:lastRowLastColumn="0"/>
            </w:pPr>
            <w:r w:rsidRPr="009B282D">
              <w:t>Antimi</w:t>
            </w:r>
            <w:r w:rsidR="002E1D5A" w:rsidRPr="009B282D">
              <w:t>c</w:t>
            </w:r>
            <w:r w:rsidRPr="009B282D">
              <w:t>robial Susceptibility Testing</w:t>
            </w:r>
          </w:p>
        </w:tc>
      </w:tr>
      <w:tr w:rsidR="009F2B22" w:rsidRPr="009B282D" w14:paraId="5C32B618"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5BBDB6B8" w14:textId="30885014" w:rsidR="009F2B22" w:rsidRPr="009B282D" w:rsidRDefault="009847EB" w:rsidP="009A6C8A">
            <w:r w:rsidRPr="009B282D">
              <w:t>CDC</w:t>
            </w:r>
          </w:p>
        </w:tc>
        <w:tc>
          <w:tcPr>
            <w:tcW w:w="8005" w:type="dxa"/>
          </w:tcPr>
          <w:p w14:paraId="18179819" w14:textId="55927FCD" w:rsidR="009F2B22" w:rsidRPr="009B282D" w:rsidRDefault="009847EB" w:rsidP="009A6C8A">
            <w:pPr>
              <w:cnfStyle w:val="000000000000" w:firstRow="0" w:lastRow="0" w:firstColumn="0" w:lastColumn="0" w:oddVBand="0" w:evenVBand="0" w:oddHBand="0" w:evenHBand="0" w:firstRowFirstColumn="0" w:firstRowLastColumn="0" w:lastRowFirstColumn="0" w:lastRowLastColumn="0"/>
            </w:pPr>
            <w:r w:rsidRPr="009B282D">
              <w:t>Centers for Disease Control and Prevention</w:t>
            </w:r>
          </w:p>
        </w:tc>
      </w:tr>
      <w:tr w:rsidR="00045B8D" w:rsidRPr="009B282D" w14:paraId="3B20A202"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B65BBB8" w14:textId="2E5C8C85" w:rsidR="00045B8D" w:rsidRPr="009B282D" w:rsidRDefault="00045B8D" w:rsidP="009A6C8A">
            <w:r w:rsidRPr="009B282D">
              <w:t>CDIP</w:t>
            </w:r>
          </w:p>
        </w:tc>
        <w:tc>
          <w:tcPr>
            <w:tcW w:w="8005" w:type="dxa"/>
          </w:tcPr>
          <w:p w14:paraId="48DF5730" w14:textId="39F41141" w:rsidR="00045B8D" w:rsidRPr="009B282D" w:rsidRDefault="00045B8D" w:rsidP="009A6C8A">
            <w:pPr>
              <w:cnfStyle w:val="000000100000" w:firstRow="0" w:lastRow="0" w:firstColumn="0" w:lastColumn="0" w:oddVBand="0" w:evenVBand="0" w:oddHBand="1" w:evenHBand="0" w:firstRowFirstColumn="0" w:firstRowLastColumn="0" w:lastRowFirstColumn="0" w:lastRowLastColumn="0"/>
            </w:pPr>
            <w:r w:rsidRPr="009B282D">
              <w:t>Communicable Disease &amp; Immunization Program</w:t>
            </w:r>
          </w:p>
        </w:tc>
      </w:tr>
      <w:tr w:rsidR="00A5066D" w:rsidRPr="009B282D" w14:paraId="14D37FB8"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3A5070F5" w14:textId="39F0F92D" w:rsidR="00A5066D" w:rsidRPr="009B282D" w:rsidRDefault="00A5066D" w:rsidP="009A6C8A">
            <w:proofErr w:type="spellStart"/>
            <w:r w:rsidRPr="009B282D">
              <w:t>Ceph</w:t>
            </w:r>
            <w:proofErr w:type="spellEnd"/>
            <w:r w:rsidRPr="009B282D">
              <w:t>-R NG</w:t>
            </w:r>
          </w:p>
        </w:tc>
        <w:tc>
          <w:tcPr>
            <w:tcW w:w="8005" w:type="dxa"/>
          </w:tcPr>
          <w:p w14:paraId="3B0A4A5C" w14:textId="3655E36A" w:rsidR="00A5066D" w:rsidRPr="009B282D" w:rsidRDefault="00A5066D" w:rsidP="009A6C8A">
            <w:pPr>
              <w:cnfStyle w:val="000000000000" w:firstRow="0" w:lastRow="0" w:firstColumn="0" w:lastColumn="0" w:oddVBand="0" w:evenVBand="0" w:oddHBand="0" w:evenHBand="0" w:firstRowFirstColumn="0" w:firstRowLastColumn="0" w:lastRowFirstColumn="0" w:lastRowLastColumn="0"/>
              <w:rPr>
                <w:color w:val="000000"/>
              </w:rPr>
            </w:pPr>
            <w:r w:rsidRPr="009B282D">
              <w:t xml:space="preserve">Cephalosporin-Resistant </w:t>
            </w:r>
            <w:r w:rsidRPr="009B282D">
              <w:rPr>
                <w:i/>
                <w:iCs/>
              </w:rPr>
              <w:t>Neisseria gonorrhoeae</w:t>
            </w:r>
          </w:p>
        </w:tc>
      </w:tr>
      <w:tr w:rsidR="009F2B22" w:rsidRPr="009B282D" w14:paraId="722357DD"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4672A545" w14:textId="5FB07F5E" w:rsidR="009847EB" w:rsidRPr="009B282D" w:rsidRDefault="009847EB" w:rsidP="009A6C8A">
            <w:r w:rsidRPr="009B282D">
              <w:t>CLSI</w:t>
            </w:r>
          </w:p>
        </w:tc>
        <w:tc>
          <w:tcPr>
            <w:tcW w:w="8005" w:type="dxa"/>
          </w:tcPr>
          <w:p w14:paraId="373B1F0F" w14:textId="73D29339" w:rsidR="009F2B22" w:rsidRPr="009B282D" w:rsidRDefault="009847EB" w:rsidP="009A6C8A">
            <w:pPr>
              <w:cnfStyle w:val="000000100000" w:firstRow="0" w:lastRow="0" w:firstColumn="0" w:lastColumn="0" w:oddVBand="0" w:evenVBand="0" w:oddHBand="1" w:evenHBand="0" w:firstRowFirstColumn="0" w:firstRowLastColumn="0" w:lastRowFirstColumn="0" w:lastRowLastColumn="0"/>
            </w:pPr>
            <w:r w:rsidRPr="009B282D">
              <w:t>Clinical and Laboratory Standards Institute</w:t>
            </w:r>
          </w:p>
        </w:tc>
      </w:tr>
      <w:tr w:rsidR="00DE78DE" w:rsidRPr="009B282D" w14:paraId="65173B7F"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6B5D4EFC" w14:textId="33CB98E5" w:rsidR="00DE78DE" w:rsidRPr="009B282D" w:rsidRDefault="00DE78DE" w:rsidP="009A6C8A">
            <w:r w:rsidRPr="009B282D">
              <w:t>CPR</w:t>
            </w:r>
          </w:p>
        </w:tc>
        <w:tc>
          <w:tcPr>
            <w:tcW w:w="8005" w:type="dxa"/>
          </w:tcPr>
          <w:p w14:paraId="75AC110E" w14:textId="757D651A" w:rsidR="00DE78DE" w:rsidRPr="009B282D" w:rsidRDefault="00DE78DE" w:rsidP="009A6C8A">
            <w:pPr>
              <w:cnfStyle w:val="000000000000" w:firstRow="0" w:lastRow="0" w:firstColumn="0" w:lastColumn="0" w:oddVBand="0" w:evenVBand="0" w:oddHBand="0" w:evenHBand="0" w:firstRowFirstColumn="0" w:firstRowLastColumn="0" w:lastRowFirstColumn="0" w:lastRowLastColumn="0"/>
            </w:pPr>
            <w:r w:rsidRPr="009B282D">
              <w:t>Center for Preparedness and Response</w:t>
            </w:r>
          </w:p>
        </w:tc>
      </w:tr>
      <w:tr w:rsidR="004A72E5" w:rsidRPr="009B282D" w14:paraId="0962B83C"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9E74970" w14:textId="610F65CA" w:rsidR="004A72E5" w:rsidRPr="009B282D" w:rsidRDefault="004A72E5" w:rsidP="009A6C8A">
            <w:r w:rsidRPr="009B282D">
              <w:t>CUPHD</w:t>
            </w:r>
          </w:p>
        </w:tc>
        <w:tc>
          <w:tcPr>
            <w:tcW w:w="8005" w:type="dxa"/>
          </w:tcPr>
          <w:p w14:paraId="78F92739" w14:textId="3DA1D340" w:rsidR="004A72E5" w:rsidRPr="009B282D" w:rsidRDefault="004A72E5" w:rsidP="009A6C8A">
            <w:pPr>
              <w:cnfStyle w:val="000000100000" w:firstRow="0" w:lastRow="0" w:firstColumn="0" w:lastColumn="0" w:oddVBand="0" w:evenVBand="0" w:oddHBand="1" w:evenHBand="0" w:firstRowFirstColumn="0" w:firstRowLastColumn="0" w:lastRowFirstColumn="0" w:lastRowLastColumn="0"/>
            </w:pPr>
            <w:r w:rsidRPr="009B282D">
              <w:t>Champaign-Urbana Public Health District</w:t>
            </w:r>
          </w:p>
        </w:tc>
      </w:tr>
      <w:tr w:rsidR="00045B8D" w:rsidRPr="009B282D" w14:paraId="5B28C4F3"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2EDE9458" w14:textId="4D45586C" w:rsidR="00045B8D" w:rsidRPr="009B282D" w:rsidRDefault="00045B8D" w:rsidP="009A6C8A">
            <w:r w:rsidRPr="009B282D">
              <w:t>DDID</w:t>
            </w:r>
          </w:p>
        </w:tc>
        <w:tc>
          <w:tcPr>
            <w:tcW w:w="8005" w:type="dxa"/>
          </w:tcPr>
          <w:p w14:paraId="2BEDC199" w14:textId="43D59F41" w:rsidR="00045B8D" w:rsidRPr="009B282D" w:rsidRDefault="00045B8D" w:rsidP="009A6C8A">
            <w:pPr>
              <w:cnfStyle w:val="000000000000" w:firstRow="0" w:lastRow="0" w:firstColumn="0" w:lastColumn="0" w:oddVBand="0" w:evenVBand="0" w:oddHBand="0" w:evenHBand="0" w:firstRowFirstColumn="0" w:firstRowLastColumn="0" w:lastRowFirstColumn="0" w:lastRowLastColumn="0"/>
            </w:pPr>
            <w:r w:rsidRPr="009B282D">
              <w:t>Deputy Director for Infectious Diseases</w:t>
            </w:r>
          </w:p>
        </w:tc>
      </w:tr>
      <w:tr w:rsidR="0076442C" w:rsidRPr="009B282D" w14:paraId="78DA4CE5"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042A41A4" w14:textId="5331EEE9" w:rsidR="0076442C" w:rsidRPr="009B282D" w:rsidRDefault="0076442C" w:rsidP="009A6C8A">
            <w:r w:rsidRPr="009B282D">
              <w:t>DDPHSIS</w:t>
            </w:r>
          </w:p>
        </w:tc>
        <w:tc>
          <w:tcPr>
            <w:tcW w:w="8005" w:type="dxa"/>
          </w:tcPr>
          <w:p w14:paraId="6424F510" w14:textId="10D582F5" w:rsidR="0076442C" w:rsidRPr="009B282D" w:rsidRDefault="0076442C" w:rsidP="009A6C8A">
            <w:pPr>
              <w:cnfStyle w:val="000000100000" w:firstRow="0" w:lastRow="0" w:firstColumn="0" w:lastColumn="0" w:oddVBand="0" w:evenVBand="0" w:oddHBand="1" w:evenHBand="0" w:firstRowFirstColumn="0" w:firstRowLastColumn="0" w:lastRowFirstColumn="0" w:lastRowLastColumn="0"/>
            </w:pPr>
            <w:r w:rsidRPr="009B282D">
              <w:t>Deputy Director for Public Health Service and Implementation Science</w:t>
            </w:r>
          </w:p>
        </w:tc>
      </w:tr>
      <w:tr w:rsidR="00DE78DE" w:rsidRPr="009B282D" w14:paraId="7C3B2E28"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6CA9E518" w14:textId="3923D632" w:rsidR="00DE78DE" w:rsidRPr="009B282D" w:rsidRDefault="00DE78DE" w:rsidP="009A6C8A">
            <w:r w:rsidRPr="009B282D">
              <w:t>DEO</w:t>
            </w:r>
          </w:p>
        </w:tc>
        <w:tc>
          <w:tcPr>
            <w:tcW w:w="8005" w:type="dxa"/>
          </w:tcPr>
          <w:p w14:paraId="4CC6A881" w14:textId="2D77712B" w:rsidR="00DE78DE" w:rsidRPr="009B282D" w:rsidRDefault="00DE78DE" w:rsidP="009A6C8A">
            <w:pPr>
              <w:cnfStyle w:val="000000000000" w:firstRow="0" w:lastRow="0" w:firstColumn="0" w:lastColumn="0" w:oddVBand="0" w:evenVBand="0" w:oddHBand="0" w:evenHBand="0" w:firstRowFirstColumn="0" w:firstRowLastColumn="0" w:lastRowFirstColumn="0" w:lastRowLastColumn="0"/>
            </w:pPr>
            <w:r w:rsidRPr="009B282D">
              <w:t>Division of Emergency Operations</w:t>
            </w:r>
          </w:p>
        </w:tc>
      </w:tr>
      <w:tr w:rsidR="00E142F6" w:rsidRPr="009B282D" w14:paraId="1643D839"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051BFF3B" w14:textId="1D9BBBE2" w:rsidR="00E142F6" w:rsidRPr="009B282D" w:rsidRDefault="00E142F6" w:rsidP="009A6C8A">
            <w:r w:rsidRPr="009B282D">
              <w:t>DEP</w:t>
            </w:r>
          </w:p>
        </w:tc>
        <w:tc>
          <w:tcPr>
            <w:tcW w:w="8005" w:type="dxa"/>
          </w:tcPr>
          <w:p w14:paraId="1E1B3EC5" w14:textId="4A346421" w:rsidR="00E142F6" w:rsidRPr="009B282D" w:rsidRDefault="00045B8D" w:rsidP="009A6C8A">
            <w:pPr>
              <w:cnfStyle w:val="000000100000" w:firstRow="0" w:lastRow="0" w:firstColumn="0" w:lastColumn="0" w:oddVBand="0" w:evenVBand="0" w:oddHBand="1" w:evenHBand="0" w:firstRowFirstColumn="0" w:firstRowLastColumn="0" w:lastRowFirstColumn="0" w:lastRowLastColumn="0"/>
            </w:pPr>
            <w:r w:rsidRPr="009B282D">
              <w:t>Division of Emergency Preparedness</w:t>
            </w:r>
          </w:p>
        </w:tc>
      </w:tr>
      <w:tr w:rsidR="00045B8D" w:rsidRPr="009B282D" w14:paraId="405D20AE"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721EF78C" w14:textId="421EBCC5" w:rsidR="00045B8D" w:rsidRPr="009B282D" w:rsidRDefault="00045B8D" w:rsidP="009A6C8A">
            <w:r w:rsidRPr="009B282D">
              <w:t>DERC</w:t>
            </w:r>
          </w:p>
        </w:tc>
        <w:tc>
          <w:tcPr>
            <w:tcW w:w="8005" w:type="dxa"/>
          </w:tcPr>
          <w:p w14:paraId="290BAF9F" w14:textId="0B9E79B3" w:rsidR="00045B8D" w:rsidRPr="009B282D" w:rsidRDefault="00045B8D" w:rsidP="009A6C8A">
            <w:pPr>
              <w:cnfStyle w:val="000000000000" w:firstRow="0" w:lastRow="0" w:firstColumn="0" w:lastColumn="0" w:oddVBand="0" w:evenVBand="0" w:oddHBand="0" w:evenHBand="0" w:firstRowFirstColumn="0" w:firstRowLastColumn="0" w:lastRowFirstColumn="0" w:lastRowLastColumn="0"/>
            </w:pPr>
            <w:r w:rsidRPr="009B282D">
              <w:t>Division of Epidemiology Resources Center</w:t>
            </w:r>
          </w:p>
        </w:tc>
      </w:tr>
      <w:tr w:rsidR="00045B8D" w:rsidRPr="009B282D" w14:paraId="4DC15607"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62B45076" w14:textId="3A29E4E8" w:rsidR="00045B8D" w:rsidRPr="009B282D" w:rsidRDefault="00045B8D" w:rsidP="009A6C8A">
            <w:r w:rsidRPr="009B282D">
              <w:t>DHSVH</w:t>
            </w:r>
          </w:p>
        </w:tc>
        <w:tc>
          <w:tcPr>
            <w:tcW w:w="8005" w:type="dxa"/>
          </w:tcPr>
          <w:p w14:paraId="3A7FA3F2" w14:textId="08EFBEA6" w:rsidR="00045B8D" w:rsidRPr="009B282D" w:rsidRDefault="00045B8D" w:rsidP="009A6C8A">
            <w:pPr>
              <w:cnfStyle w:val="000000100000" w:firstRow="0" w:lastRow="0" w:firstColumn="0" w:lastColumn="0" w:oddVBand="0" w:evenVBand="0" w:oddHBand="1" w:evenHBand="0" w:firstRowFirstColumn="0" w:firstRowLastColumn="0" w:lastRowFirstColumn="0" w:lastRowLastColumn="0"/>
            </w:pPr>
            <w:r w:rsidRPr="009B282D">
              <w:t>Division of HIV, STD, and Viral Hepatitis</w:t>
            </w:r>
          </w:p>
        </w:tc>
      </w:tr>
      <w:tr w:rsidR="00E142F6" w:rsidRPr="009B282D" w14:paraId="554FCD3A"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0338C931" w14:textId="5C3F7804" w:rsidR="00E142F6" w:rsidRPr="009B282D" w:rsidRDefault="00E142F6" w:rsidP="009A6C8A">
            <w:r w:rsidRPr="009B282D">
              <w:t>DIR</w:t>
            </w:r>
          </w:p>
        </w:tc>
        <w:tc>
          <w:tcPr>
            <w:tcW w:w="8005" w:type="dxa"/>
          </w:tcPr>
          <w:p w14:paraId="348B0BC8" w14:textId="30C96BB8" w:rsidR="00E142F6" w:rsidRPr="009B282D" w:rsidRDefault="00E142F6" w:rsidP="009A6C8A">
            <w:pPr>
              <w:cnfStyle w:val="000000000000" w:firstRow="0" w:lastRow="0" w:firstColumn="0" w:lastColumn="0" w:oddVBand="0" w:evenVBand="0" w:oddHBand="0" w:evenHBand="0" w:firstRowFirstColumn="0" w:firstRowLastColumn="0" w:lastRowFirstColumn="0" w:lastRowLastColumn="0"/>
            </w:pPr>
            <w:r w:rsidRPr="009B282D">
              <w:t>Director</w:t>
            </w:r>
          </w:p>
        </w:tc>
      </w:tr>
      <w:tr w:rsidR="003F52DC" w:rsidRPr="009B282D" w14:paraId="595F4D39"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15367D3E" w14:textId="0BA9CD47" w:rsidR="003F52DC" w:rsidRPr="009B282D" w:rsidRDefault="003F52DC" w:rsidP="009A6C8A">
            <w:r w:rsidRPr="009B282D">
              <w:t>DIS</w:t>
            </w:r>
          </w:p>
        </w:tc>
        <w:tc>
          <w:tcPr>
            <w:tcW w:w="8005" w:type="dxa"/>
          </w:tcPr>
          <w:p w14:paraId="666F5D68" w14:textId="5FD534BB" w:rsidR="003F52DC" w:rsidRPr="009B282D" w:rsidRDefault="003F52DC" w:rsidP="009A6C8A">
            <w:pPr>
              <w:cnfStyle w:val="000000100000" w:firstRow="0" w:lastRow="0" w:firstColumn="0" w:lastColumn="0" w:oddVBand="0" w:evenVBand="0" w:oddHBand="1" w:evenHBand="0" w:firstRowFirstColumn="0" w:firstRowLastColumn="0" w:lastRowFirstColumn="0" w:lastRowLastColumn="0"/>
            </w:pPr>
            <w:r w:rsidRPr="009B282D">
              <w:t xml:space="preserve">Disease </w:t>
            </w:r>
            <w:r w:rsidR="00283AF3" w:rsidRPr="009B282D">
              <w:t>In</w:t>
            </w:r>
            <w:r w:rsidR="00283AF3">
              <w:t>tervention</w:t>
            </w:r>
            <w:r w:rsidRPr="009B282D">
              <w:t xml:space="preserve"> Specialist</w:t>
            </w:r>
          </w:p>
        </w:tc>
      </w:tr>
      <w:tr w:rsidR="00A5066D" w:rsidRPr="009B282D" w14:paraId="1F446E86"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2F26AA6A" w14:textId="309B162E" w:rsidR="00A5066D" w:rsidRPr="009B282D" w:rsidRDefault="00A5066D" w:rsidP="009A6C8A">
            <w:r w:rsidRPr="009B282D">
              <w:t>DMI</w:t>
            </w:r>
          </w:p>
        </w:tc>
        <w:tc>
          <w:tcPr>
            <w:tcW w:w="8005" w:type="dxa"/>
          </w:tcPr>
          <w:p w14:paraId="79647E0B" w14:textId="2E4768A0" w:rsidR="00A5066D" w:rsidRPr="009B282D" w:rsidRDefault="00A5066D" w:rsidP="009A6C8A">
            <w:pPr>
              <w:cnfStyle w:val="000000000000" w:firstRow="0" w:lastRow="0" w:firstColumn="0" w:lastColumn="0" w:oddVBand="0" w:evenVBand="0" w:oddHBand="0" w:evenHBand="0" w:firstRowFirstColumn="0" w:firstRowLastColumn="0" w:lastRowFirstColumn="0" w:lastRowLastColumn="0"/>
            </w:pPr>
            <w:r w:rsidRPr="009B282D">
              <w:t>Department of Microbiology and Immunology</w:t>
            </w:r>
          </w:p>
        </w:tc>
      </w:tr>
      <w:tr w:rsidR="00E9617E" w:rsidRPr="009B282D" w14:paraId="3867FCD0"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6E330CA5" w14:textId="5C877465" w:rsidR="00E9617E" w:rsidRPr="009B282D" w:rsidRDefault="00E9617E" w:rsidP="009A6C8A">
            <w:r w:rsidRPr="009B282D">
              <w:t>DNA</w:t>
            </w:r>
          </w:p>
        </w:tc>
        <w:tc>
          <w:tcPr>
            <w:tcW w:w="8005" w:type="dxa"/>
          </w:tcPr>
          <w:p w14:paraId="377902AA" w14:textId="6251109B" w:rsidR="00E9617E" w:rsidRPr="009B282D" w:rsidRDefault="00E142F6" w:rsidP="009A6C8A">
            <w:pPr>
              <w:cnfStyle w:val="000000100000" w:firstRow="0" w:lastRow="0" w:firstColumn="0" w:lastColumn="0" w:oddVBand="0" w:evenVBand="0" w:oddHBand="1" w:evenHBand="0" w:firstRowFirstColumn="0" w:firstRowLastColumn="0" w:lastRowFirstColumn="0" w:lastRowLastColumn="0"/>
            </w:pPr>
            <w:r w:rsidRPr="009B282D">
              <w:t>Deoxyribonucleic Acid</w:t>
            </w:r>
          </w:p>
        </w:tc>
      </w:tr>
      <w:tr w:rsidR="00A5066D" w:rsidRPr="009B282D" w14:paraId="06904566"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6A726392" w14:textId="76A18854" w:rsidR="00A5066D" w:rsidRPr="009B282D" w:rsidRDefault="00A5066D" w:rsidP="009A6C8A">
            <w:r w:rsidRPr="009B282D">
              <w:t>DSTDP</w:t>
            </w:r>
          </w:p>
        </w:tc>
        <w:tc>
          <w:tcPr>
            <w:tcW w:w="8005" w:type="dxa"/>
          </w:tcPr>
          <w:p w14:paraId="4162CE47" w14:textId="7B7FB35F" w:rsidR="00A5066D" w:rsidRPr="009B282D" w:rsidRDefault="00A5066D" w:rsidP="009A6C8A">
            <w:pPr>
              <w:cnfStyle w:val="000000000000" w:firstRow="0" w:lastRow="0" w:firstColumn="0" w:lastColumn="0" w:oddVBand="0" w:evenVBand="0" w:oddHBand="0" w:evenHBand="0" w:firstRowFirstColumn="0" w:firstRowLastColumn="0" w:lastRowFirstColumn="0" w:lastRowLastColumn="0"/>
            </w:pPr>
            <w:r w:rsidRPr="009B282D">
              <w:t>Division of Sexually Transmitted Disease Prevention</w:t>
            </w:r>
          </w:p>
        </w:tc>
      </w:tr>
      <w:tr w:rsidR="002835F5" w:rsidRPr="009B282D" w14:paraId="18B4941F"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50BF0931" w14:textId="66982166" w:rsidR="002835F5" w:rsidRPr="009B282D" w:rsidRDefault="002835F5" w:rsidP="009A6C8A">
            <w:proofErr w:type="spellStart"/>
            <w:r w:rsidRPr="009B282D">
              <w:t>eGISP</w:t>
            </w:r>
            <w:proofErr w:type="spellEnd"/>
          </w:p>
        </w:tc>
        <w:tc>
          <w:tcPr>
            <w:tcW w:w="8005" w:type="dxa"/>
          </w:tcPr>
          <w:p w14:paraId="4BD07F68" w14:textId="09C3552B" w:rsidR="002835F5" w:rsidRPr="009B282D" w:rsidRDefault="002835F5" w:rsidP="009A6C8A">
            <w:pPr>
              <w:cnfStyle w:val="000000100000" w:firstRow="0" w:lastRow="0" w:firstColumn="0" w:lastColumn="0" w:oddVBand="0" w:evenVBand="0" w:oddHBand="1" w:evenHBand="0" w:firstRowFirstColumn="0" w:firstRowLastColumn="0" w:lastRowFirstColumn="0" w:lastRowLastColumn="0"/>
            </w:pPr>
            <w:r w:rsidRPr="009B282D">
              <w:t>Enhanced Gonococcal Isolate Surveillance Project</w:t>
            </w:r>
          </w:p>
        </w:tc>
      </w:tr>
      <w:tr w:rsidR="00E9617E" w:rsidRPr="009B282D" w14:paraId="3B89119D"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4645D4DE" w14:textId="596B6C42" w:rsidR="00E9617E" w:rsidRPr="009B282D" w:rsidRDefault="00E9617E" w:rsidP="009A6C8A">
            <w:r w:rsidRPr="009B282D">
              <w:t>ENDEX</w:t>
            </w:r>
          </w:p>
        </w:tc>
        <w:tc>
          <w:tcPr>
            <w:tcW w:w="8005" w:type="dxa"/>
          </w:tcPr>
          <w:p w14:paraId="00042EEE" w14:textId="21EBE1D3" w:rsidR="00E9617E" w:rsidRPr="009B282D" w:rsidRDefault="00E9617E" w:rsidP="009A6C8A">
            <w:pPr>
              <w:cnfStyle w:val="000000000000" w:firstRow="0" w:lastRow="0" w:firstColumn="0" w:lastColumn="0" w:oddVBand="0" w:evenVBand="0" w:oddHBand="0" w:evenHBand="0" w:firstRowFirstColumn="0" w:firstRowLastColumn="0" w:lastRowFirstColumn="0" w:lastRowLastColumn="0"/>
            </w:pPr>
            <w:r w:rsidRPr="009B282D">
              <w:t>End of Exercise</w:t>
            </w:r>
          </w:p>
        </w:tc>
      </w:tr>
      <w:tr w:rsidR="00DE78DE" w:rsidRPr="009B282D" w14:paraId="006471DB"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7252F3EE" w14:textId="4851F981" w:rsidR="00DE78DE" w:rsidRPr="009B282D" w:rsidRDefault="00DE78DE" w:rsidP="009A6C8A">
            <w:r w:rsidRPr="009B282D">
              <w:t>EP</w:t>
            </w:r>
          </w:p>
        </w:tc>
        <w:tc>
          <w:tcPr>
            <w:tcW w:w="8005" w:type="dxa"/>
          </w:tcPr>
          <w:p w14:paraId="7364E2F9" w14:textId="5D8B78AE" w:rsidR="00DE78DE" w:rsidRPr="009B282D" w:rsidRDefault="00DE78DE" w:rsidP="009A6C8A">
            <w:pPr>
              <w:cnfStyle w:val="000000100000" w:firstRow="0" w:lastRow="0" w:firstColumn="0" w:lastColumn="0" w:oddVBand="0" w:evenVBand="0" w:oddHBand="1" w:evenHBand="0" w:firstRowFirstColumn="0" w:firstRowLastColumn="0" w:lastRowFirstColumn="0" w:lastRowLastColumn="0"/>
            </w:pPr>
            <w:r w:rsidRPr="009B282D">
              <w:t>Emergency Preparedness</w:t>
            </w:r>
          </w:p>
        </w:tc>
      </w:tr>
      <w:tr w:rsidR="00DE78DE" w:rsidRPr="009B282D" w14:paraId="5AC36479"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296718C8" w14:textId="4308919E" w:rsidR="00DE78DE" w:rsidRPr="009B282D" w:rsidRDefault="00DE78DE" w:rsidP="009A6C8A">
            <w:r w:rsidRPr="009B282D">
              <w:t>EPI</w:t>
            </w:r>
          </w:p>
        </w:tc>
        <w:tc>
          <w:tcPr>
            <w:tcW w:w="8005" w:type="dxa"/>
          </w:tcPr>
          <w:p w14:paraId="732E8579" w14:textId="719FEE34" w:rsidR="00DE78DE" w:rsidRPr="009B282D" w:rsidRDefault="00DE78DE" w:rsidP="009A6C8A">
            <w:pPr>
              <w:cnfStyle w:val="000000000000" w:firstRow="0" w:lastRow="0" w:firstColumn="0" w:lastColumn="0" w:oddVBand="0" w:evenVBand="0" w:oddHBand="0" w:evenHBand="0" w:firstRowFirstColumn="0" w:firstRowLastColumn="0" w:lastRowFirstColumn="0" w:lastRowLastColumn="0"/>
            </w:pPr>
            <w:r w:rsidRPr="009B282D">
              <w:t>Epidemiologist</w:t>
            </w:r>
          </w:p>
        </w:tc>
      </w:tr>
      <w:tr w:rsidR="009F2B22" w:rsidRPr="009B282D" w14:paraId="77623CF3"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50EEBC2F" w14:textId="152FC835" w:rsidR="009F2B22" w:rsidRPr="009B282D" w:rsidRDefault="009847EB" w:rsidP="009A6C8A">
            <w:r w:rsidRPr="009B282D">
              <w:t>EPT</w:t>
            </w:r>
          </w:p>
        </w:tc>
        <w:tc>
          <w:tcPr>
            <w:tcW w:w="8005" w:type="dxa"/>
          </w:tcPr>
          <w:p w14:paraId="71B63D80" w14:textId="01050022" w:rsidR="009F2B22" w:rsidRPr="009B282D" w:rsidRDefault="009847EB" w:rsidP="009A6C8A">
            <w:pPr>
              <w:cnfStyle w:val="000000100000" w:firstRow="0" w:lastRow="0" w:firstColumn="0" w:lastColumn="0" w:oddVBand="0" w:evenVBand="0" w:oddHBand="1" w:evenHBand="0" w:firstRowFirstColumn="0" w:firstRowLastColumn="0" w:lastRowFirstColumn="0" w:lastRowLastColumn="0"/>
            </w:pPr>
            <w:r w:rsidRPr="009B282D">
              <w:t>Expedited Partner Therapy</w:t>
            </w:r>
          </w:p>
        </w:tc>
      </w:tr>
      <w:tr w:rsidR="00045B8D" w:rsidRPr="009B282D" w14:paraId="32CD932D"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277F6809" w14:textId="6A9C112C" w:rsidR="00045B8D" w:rsidRPr="009B282D" w:rsidRDefault="00045B8D" w:rsidP="009A6C8A">
            <w:r w:rsidRPr="009B282D">
              <w:t>ESB</w:t>
            </w:r>
          </w:p>
        </w:tc>
        <w:tc>
          <w:tcPr>
            <w:tcW w:w="8005" w:type="dxa"/>
          </w:tcPr>
          <w:p w14:paraId="5DC6E860" w14:textId="6FA8CBDA" w:rsidR="00045B8D" w:rsidRPr="009B282D" w:rsidRDefault="00045B8D" w:rsidP="009A6C8A">
            <w:pPr>
              <w:cnfStyle w:val="000000000000" w:firstRow="0" w:lastRow="0" w:firstColumn="0" w:lastColumn="0" w:oddVBand="0" w:evenVBand="0" w:oddHBand="0" w:evenHBand="0" w:firstRowFirstColumn="0" w:firstRowLastColumn="0" w:lastRowFirstColumn="0" w:lastRowLastColumn="0"/>
            </w:pPr>
            <w:r w:rsidRPr="009B282D">
              <w:t>Epidemiology and Statistics Branch</w:t>
            </w:r>
          </w:p>
        </w:tc>
      </w:tr>
      <w:tr w:rsidR="002835F5" w:rsidRPr="009B282D" w14:paraId="2B1D00C3"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65A25591" w14:textId="1115060C" w:rsidR="002835F5" w:rsidRPr="009B282D" w:rsidRDefault="002835F5" w:rsidP="009A6C8A">
            <w:proofErr w:type="spellStart"/>
            <w:r w:rsidRPr="009B282D">
              <w:t>Etest</w:t>
            </w:r>
            <w:proofErr w:type="spellEnd"/>
          </w:p>
        </w:tc>
        <w:tc>
          <w:tcPr>
            <w:tcW w:w="8005" w:type="dxa"/>
          </w:tcPr>
          <w:p w14:paraId="1FB98481" w14:textId="3F18F867" w:rsidR="002835F5" w:rsidRPr="009B282D" w:rsidRDefault="002835F5" w:rsidP="009A6C8A">
            <w:pPr>
              <w:cnfStyle w:val="000000100000" w:firstRow="0" w:lastRow="0" w:firstColumn="0" w:lastColumn="0" w:oddVBand="0" w:evenVBand="0" w:oddHBand="1" w:evenHBand="0" w:firstRowFirstColumn="0" w:firstRowLastColumn="0" w:lastRowFirstColumn="0" w:lastRowLastColumn="0"/>
              <w:rPr>
                <w:color w:val="000000"/>
              </w:rPr>
            </w:pPr>
            <w:proofErr w:type="spellStart"/>
            <w:r w:rsidRPr="009B282D">
              <w:rPr>
                <w:lang w:val="en"/>
              </w:rPr>
              <w:t>Epsilometer</w:t>
            </w:r>
            <w:proofErr w:type="spellEnd"/>
            <w:r w:rsidRPr="009B282D">
              <w:rPr>
                <w:lang w:val="en"/>
              </w:rPr>
              <w:t xml:space="preserve"> test</w:t>
            </w:r>
          </w:p>
        </w:tc>
      </w:tr>
      <w:tr w:rsidR="002E1D5A" w:rsidRPr="009B282D" w14:paraId="551B9029"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6847A51B" w14:textId="7A0EEB49" w:rsidR="002E1D5A" w:rsidRPr="009B282D" w:rsidRDefault="002E1D5A" w:rsidP="009A6C8A">
            <w:r w:rsidRPr="009B282D">
              <w:lastRenderedPageBreak/>
              <w:t>FEMA</w:t>
            </w:r>
          </w:p>
        </w:tc>
        <w:tc>
          <w:tcPr>
            <w:tcW w:w="8005" w:type="dxa"/>
          </w:tcPr>
          <w:p w14:paraId="1F95E915" w14:textId="2A25C707" w:rsidR="002E1D5A" w:rsidRPr="009B282D" w:rsidRDefault="002E1D5A" w:rsidP="009A6C8A">
            <w:pPr>
              <w:cnfStyle w:val="000000000000" w:firstRow="0" w:lastRow="0" w:firstColumn="0" w:lastColumn="0" w:oddVBand="0" w:evenVBand="0" w:oddHBand="0" w:evenHBand="0" w:firstRowFirstColumn="0" w:firstRowLastColumn="0" w:lastRowFirstColumn="0" w:lastRowLastColumn="0"/>
              <w:rPr>
                <w:lang w:val="en"/>
              </w:rPr>
            </w:pPr>
            <w:r w:rsidRPr="009B282D">
              <w:t>Federal Emergency Management Agency</w:t>
            </w:r>
          </w:p>
        </w:tc>
      </w:tr>
      <w:tr w:rsidR="002E1D5A" w:rsidRPr="009B282D" w14:paraId="49B53E47"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0CD0578E" w14:textId="1EA753E1" w:rsidR="002E1D5A" w:rsidRPr="009B282D" w:rsidRDefault="002E1D5A" w:rsidP="009A6C8A">
            <w:r w:rsidRPr="009B282D">
              <w:t>GA</w:t>
            </w:r>
          </w:p>
        </w:tc>
        <w:tc>
          <w:tcPr>
            <w:tcW w:w="8005" w:type="dxa"/>
          </w:tcPr>
          <w:p w14:paraId="2FBB90F8" w14:textId="75F48AAD" w:rsidR="002E1D5A" w:rsidRPr="009B282D" w:rsidRDefault="002E1D5A" w:rsidP="009A6C8A">
            <w:pPr>
              <w:cnfStyle w:val="000000100000" w:firstRow="0" w:lastRow="0" w:firstColumn="0" w:lastColumn="0" w:oddVBand="0" w:evenVBand="0" w:oddHBand="1" w:evenHBand="0" w:firstRowFirstColumn="0" w:firstRowLastColumn="0" w:lastRowFirstColumn="0" w:lastRowLastColumn="0"/>
            </w:pPr>
            <w:r w:rsidRPr="009B282D">
              <w:t>Georgia</w:t>
            </w:r>
          </w:p>
        </w:tc>
      </w:tr>
      <w:tr w:rsidR="00E142F6" w:rsidRPr="009B282D" w14:paraId="7369133B"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12125C7A" w14:textId="60FFFDDF" w:rsidR="00E142F6" w:rsidRPr="009B282D" w:rsidRDefault="00E142F6" w:rsidP="009A6C8A">
            <w:r w:rsidRPr="009B282D">
              <w:t>GC</w:t>
            </w:r>
          </w:p>
        </w:tc>
        <w:tc>
          <w:tcPr>
            <w:tcW w:w="8005" w:type="dxa"/>
          </w:tcPr>
          <w:p w14:paraId="657277C1" w14:textId="71528753" w:rsidR="00E142F6" w:rsidRPr="009B282D" w:rsidRDefault="00E142F6" w:rsidP="009A6C8A">
            <w:pPr>
              <w:cnfStyle w:val="000000000000" w:firstRow="0" w:lastRow="0" w:firstColumn="0" w:lastColumn="0" w:oddVBand="0" w:evenVBand="0" w:oddHBand="0" w:evenHBand="0" w:firstRowFirstColumn="0" w:firstRowLastColumn="0" w:lastRowFirstColumn="0" w:lastRowLastColumn="0"/>
            </w:pPr>
            <w:r w:rsidRPr="009B282D">
              <w:t>Gonorrhea</w:t>
            </w:r>
          </w:p>
        </w:tc>
      </w:tr>
      <w:tr w:rsidR="009F2B22" w:rsidRPr="009B282D" w14:paraId="7C1D6D60"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0EC93463" w14:textId="699972CA" w:rsidR="009F2B22" w:rsidRPr="009B282D" w:rsidRDefault="009847EB" w:rsidP="009A6C8A">
            <w:r w:rsidRPr="009B282D">
              <w:t>GISP</w:t>
            </w:r>
          </w:p>
        </w:tc>
        <w:tc>
          <w:tcPr>
            <w:tcW w:w="8005" w:type="dxa"/>
          </w:tcPr>
          <w:p w14:paraId="57EB620D" w14:textId="66571D72" w:rsidR="009F2B22" w:rsidRPr="009B282D" w:rsidRDefault="009847EB" w:rsidP="009A6C8A">
            <w:pPr>
              <w:cnfStyle w:val="000000100000" w:firstRow="0" w:lastRow="0" w:firstColumn="0" w:lastColumn="0" w:oddVBand="0" w:evenVBand="0" w:oddHBand="1" w:evenHBand="0" w:firstRowFirstColumn="0" w:firstRowLastColumn="0" w:lastRowFirstColumn="0" w:lastRowLastColumn="0"/>
            </w:pPr>
            <w:r w:rsidRPr="009B282D">
              <w:t>Gonococcal Isolate Surveillance Project</w:t>
            </w:r>
          </w:p>
        </w:tc>
      </w:tr>
      <w:tr w:rsidR="002835F5" w:rsidRPr="009B282D" w14:paraId="65248137"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1098CFBF" w14:textId="21B53881" w:rsidR="002835F5" w:rsidRPr="009B282D" w:rsidRDefault="002835F5" w:rsidP="009A6C8A">
            <w:r w:rsidRPr="009B282D">
              <w:t>HAN</w:t>
            </w:r>
          </w:p>
        </w:tc>
        <w:tc>
          <w:tcPr>
            <w:tcW w:w="8005" w:type="dxa"/>
          </w:tcPr>
          <w:p w14:paraId="516685B6" w14:textId="5C452E29" w:rsidR="002835F5" w:rsidRPr="009B282D" w:rsidRDefault="002835F5" w:rsidP="009A6C8A">
            <w:pPr>
              <w:cnfStyle w:val="000000000000" w:firstRow="0" w:lastRow="0" w:firstColumn="0" w:lastColumn="0" w:oddVBand="0" w:evenVBand="0" w:oddHBand="0" w:evenHBand="0" w:firstRowFirstColumn="0" w:firstRowLastColumn="0" w:lastRowFirstColumn="0" w:lastRowLastColumn="0"/>
            </w:pPr>
            <w:r w:rsidRPr="009B282D">
              <w:t>Health Alert Network</w:t>
            </w:r>
          </w:p>
        </w:tc>
      </w:tr>
      <w:tr w:rsidR="00E142F6" w:rsidRPr="009B282D" w14:paraId="436AD1BE"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F649363" w14:textId="51825791" w:rsidR="00E142F6" w:rsidRPr="009B282D" w:rsidRDefault="00E142F6" w:rsidP="009A6C8A">
            <w:r w:rsidRPr="009B282D">
              <w:t>HIV</w:t>
            </w:r>
          </w:p>
        </w:tc>
        <w:tc>
          <w:tcPr>
            <w:tcW w:w="8005" w:type="dxa"/>
          </w:tcPr>
          <w:p w14:paraId="107714EF" w14:textId="3B5BA1D1" w:rsidR="00E142F6" w:rsidRPr="009B282D" w:rsidRDefault="00E142F6" w:rsidP="009A6C8A">
            <w:pPr>
              <w:cnfStyle w:val="000000100000" w:firstRow="0" w:lastRow="0" w:firstColumn="0" w:lastColumn="0" w:oddVBand="0" w:evenVBand="0" w:oddHBand="1" w:evenHBand="0" w:firstRowFirstColumn="0" w:firstRowLastColumn="0" w:lastRowFirstColumn="0" w:lastRowLastColumn="0"/>
            </w:pPr>
            <w:r w:rsidRPr="009B282D">
              <w:t>Human Immunodeficiency Virus</w:t>
            </w:r>
          </w:p>
        </w:tc>
      </w:tr>
      <w:tr w:rsidR="002E1D5A" w:rsidRPr="009B282D" w14:paraId="00839BCC"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19B26F57" w14:textId="2CD9BF6A" w:rsidR="002E1D5A" w:rsidRPr="009B282D" w:rsidRDefault="002E1D5A" w:rsidP="009A6C8A">
            <w:r w:rsidRPr="009B282D">
              <w:t>HSEEP</w:t>
            </w:r>
          </w:p>
        </w:tc>
        <w:tc>
          <w:tcPr>
            <w:tcW w:w="8005" w:type="dxa"/>
          </w:tcPr>
          <w:p w14:paraId="6D6616BF" w14:textId="594A940F" w:rsidR="002E1D5A" w:rsidRPr="009B282D" w:rsidRDefault="002E1D5A" w:rsidP="009A6C8A">
            <w:pPr>
              <w:cnfStyle w:val="000000000000" w:firstRow="0" w:lastRow="0" w:firstColumn="0" w:lastColumn="0" w:oddVBand="0" w:evenVBand="0" w:oddHBand="0" w:evenHBand="0" w:firstRowFirstColumn="0" w:firstRowLastColumn="0" w:lastRowFirstColumn="0" w:lastRowLastColumn="0"/>
              <w:rPr>
                <w:color w:val="000000"/>
              </w:rPr>
            </w:pPr>
            <w:r w:rsidRPr="009B282D">
              <w:t>Homeland Security Exercise and Evaluation Program</w:t>
            </w:r>
          </w:p>
        </w:tc>
      </w:tr>
      <w:tr w:rsidR="003F52DC" w:rsidRPr="009B282D" w14:paraId="41B49BCE"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77BA8357" w14:textId="37A3B05E" w:rsidR="003F52DC" w:rsidRPr="009B282D" w:rsidRDefault="003F52DC" w:rsidP="009A6C8A">
            <w:r w:rsidRPr="009B282D">
              <w:t>ICS</w:t>
            </w:r>
          </w:p>
        </w:tc>
        <w:tc>
          <w:tcPr>
            <w:tcW w:w="8005" w:type="dxa"/>
          </w:tcPr>
          <w:p w14:paraId="494D9E09" w14:textId="77A9E881" w:rsidR="003F52DC" w:rsidRPr="009B282D" w:rsidRDefault="003F52DC" w:rsidP="009A6C8A">
            <w:pPr>
              <w:cnfStyle w:val="000000100000" w:firstRow="0" w:lastRow="0" w:firstColumn="0" w:lastColumn="0" w:oddVBand="0" w:evenVBand="0" w:oddHBand="1" w:evenHBand="0" w:firstRowFirstColumn="0" w:firstRowLastColumn="0" w:lastRowFirstColumn="0" w:lastRowLastColumn="0"/>
            </w:pPr>
            <w:r w:rsidRPr="009B282D">
              <w:t>Incident Command Structure</w:t>
            </w:r>
          </w:p>
        </w:tc>
      </w:tr>
      <w:tr w:rsidR="00F6563E" w:rsidRPr="009B282D" w14:paraId="641A1886"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113E12A8" w14:textId="1DC47F18" w:rsidR="00F6563E" w:rsidRPr="009B282D" w:rsidRDefault="00F6563E" w:rsidP="009A6C8A">
            <w:r w:rsidRPr="009B282D">
              <w:t>IM</w:t>
            </w:r>
          </w:p>
        </w:tc>
        <w:tc>
          <w:tcPr>
            <w:tcW w:w="8005" w:type="dxa"/>
          </w:tcPr>
          <w:p w14:paraId="155E7779" w14:textId="00795BE5" w:rsidR="00F6563E" w:rsidRPr="009B282D" w:rsidRDefault="00F6563E" w:rsidP="009A6C8A">
            <w:pPr>
              <w:cnfStyle w:val="000000000000" w:firstRow="0" w:lastRow="0" w:firstColumn="0" w:lastColumn="0" w:oddVBand="0" w:evenVBand="0" w:oddHBand="0" w:evenHBand="0" w:firstRowFirstColumn="0" w:firstRowLastColumn="0" w:lastRowFirstColumn="0" w:lastRowLastColumn="0"/>
            </w:pPr>
            <w:r w:rsidRPr="009B282D">
              <w:t>Intramuscular</w:t>
            </w:r>
          </w:p>
        </w:tc>
      </w:tr>
      <w:tr w:rsidR="00E9617E" w:rsidRPr="009B282D" w14:paraId="6A84F3A0"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4976E6B3" w14:textId="2B6FA7B2" w:rsidR="00E9617E" w:rsidRPr="009B282D" w:rsidRDefault="00E9617E" w:rsidP="009A6C8A">
            <w:r w:rsidRPr="009B282D">
              <w:t>ID</w:t>
            </w:r>
            <w:r w:rsidR="004A72E5" w:rsidRPr="009B282D">
              <w:t>P</w:t>
            </w:r>
            <w:r w:rsidRPr="009B282D">
              <w:t>H</w:t>
            </w:r>
          </w:p>
        </w:tc>
        <w:tc>
          <w:tcPr>
            <w:tcW w:w="8005" w:type="dxa"/>
          </w:tcPr>
          <w:p w14:paraId="717D2F1A" w14:textId="39AA1B5E" w:rsidR="00E9617E" w:rsidRPr="009B282D" w:rsidRDefault="00E07373" w:rsidP="009A6C8A">
            <w:pPr>
              <w:cnfStyle w:val="000000100000" w:firstRow="0" w:lastRow="0" w:firstColumn="0" w:lastColumn="0" w:oddVBand="0" w:evenVBand="0" w:oddHBand="1" w:evenHBand="0" w:firstRowFirstColumn="0" w:firstRowLastColumn="0" w:lastRowFirstColumn="0" w:lastRowLastColumn="0"/>
            </w:pPr>
            <w:r w:rsidRPr="009B282D">
              <w:t>Illinois</w:t>
            </w:r>
            <w:r w:rsidR="00E9617E" w:rsidRPr="009B282D">
              <w:t xml:space="preserve"> Department of </w:t>
            </w:r>
            <w:r w:rsidR="004A72E5" w:rsidRPr="009B282D">
              <w:t xml:space="preserve">Public </w:t>
            </w:r>
            <w:r w:rsidR="00E9617E" w:rsidRPr="009B282D">
              <w:t>Health</w:t>
            </w:r>
          </w:p>
        </w:tc>
      </w:tr>
      <w:tr w:rsidR="00045B8D" w:rsidRPr="009B282D" w14:paraId="4A50B47E"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1B780BF8" w14:textId="1905C96E" w:rsidR="00045B8D" w:rsidRPr="009B282D" w:rsidRDefault="00045B8D" w:rsidP="009A6C8A">
            <w:r w:rsidRPr="009B282D">
              <w:t>I</w:t>
            </w:r>
            <w:r w:rsidR="004A72E5" w:rsidRPr="009B282D">
              <w:t>L</w:t>
            </w:r>
          </w:p>
        </w:tc>
        <w:tc>
          <w:tcPr>
            <w:tcW w:w="8005" w:type="dxa"/>
          </w:tcPr>
          <w:p w14:paraId="676FE27D" w14:textId="08B6D3D5" w:rsidR="00045B8D" w:rsidRPr="009B282D" w:rsidRDefault="00045B8D" w:rsidP="009A6C8A">
            <w:pPr>
              <w:cnfStyle w:val="000000000000" w:firstRow="0" w:lastRow="0" w:firstColumn="0" w:lastColumn="0" w:oddVBand="0" w:evenVBand="0" w:oddHBand="0" w:evenHBand="0" w:firstRowFirstColumn="0" w:firstRowLastColumn="0" w:lastRowFirstColumn="0" w:lastRowLastColumn="0"/>
            </w:pPr>
            <w:r w:rsidRPr="009B282D">
              <w:t>I</w:t>
            </w:r>
            <w:r w:rsidR="004A72E5" w:rsidRPr="009B282D">
              <w:t>llinois</w:t>
            </w:r>
          </w:p>
        </w:tc>
      </w:tr>
      <w:tr w:rsidR="00E142F6" w:rsidRPr="009B282D" w14:paraId="3446EC84"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4DF04166" w14:textId="7FB223BE" w:rsidR="00E142F6" w:rsidRPr="009B282D" w:rsidRDefault="00E142F6" w:rsidP="009A6C8A">
            <w:r w:rsidRPr="009B282D">
              <w:t>IV</w:t>
            </w:r>
          </w:p>
        </w:tc>
        <w:tc>
          <w:tcPr>
            <w:tcW w:w="8005" w:type="dxa"/>
          </w:tcPr>
          <w:p w14:paraId="1509CE95" w14:textId="2BE80962" w:rsidR="00E142F6" w:rsidRPr="009B282D" w:rsidRDefault="00045B8D" w:rsidP="009A6C8A">
            <w:pPr>
              <w:cnfStyle w:val="000000100000" w:firstRow="0" w:lastRow="0" w:firstColumn="0" w:lastColumn="0" w:oddVBand="0" w:evenVBand="0" w:oddHBand="1" w:evenHBand="0" w:firstRowFirstColumn="0" w:firstRowLastColumn="0" w:lastRowFirstColumn="0" w:lastRowLastColumn="0"/>
            </w:pPr>
            <w:r w:rsidRPr="009B282D">
              <w:t>Intravenous</w:t>
            </w:r>
          </w:p>
        </w:tc>
      </w:tr>
      <w:tr w:rsidR="00522504" w:rsidRPr="009B282D" w14:paraId="633BA5DB"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482247B8" w14:textId="1CD3260F" w:rsidR="00522504" w:rsidRPr="009B282D" w:rsidRDefault="00522504" w:rsidP="009A6C8A">
            <w:r w:rsidRPr="009B282D">
              <w:t>LRRB</w:t>
            </w:r>
          </w:p>
        </w:tc>
        <w:tc>
          <w:tcPr>
            <w:tcW w:w="8005" w:type="dxa"/>
          </w:tcPr>
          <w:p w14:paraId="662637E8" w14:textId="2194F70D" w:rsidR="00522504" w:rsidRPr="009B282D" w:rsidRDefault="00522504" w:rsidP="009A6C8A">
            <w:pPr>
              <w:cnfStyle w:val="000000000000" w:firstRow="0" w:lastRow="0" w:firstColumn="0" w:lastColumn="0" w:oddVBand="0" w:evenVBand="0" w:oddHBand="0" w:evenHBand="0" w:firstRowFirstColumn="0" w:firstRowLastColumn="0" w:lastRowFirstColumn="0" w:lastRowLastColumn="0"/>
            </w:pPr>
            <w:r w:rsidRPr="009B282D">
              <w:t>Laboratory Reference and Research Branch</w:t>
            </w:r>
          </w:p>
        </w:tc>
      </w:tr>
      <w:tr w:rsidR="009F2B22" w:rsidRPr="009B282D" w14:paraId="2FB41EBD"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0FFA0838" w14:textId="5232959F" w:rsidR="009F2B22" w:rsidRPr="009B282D" w:rsidRDefault="009847EB" w:rsidP="009A6C8A">
            <w:r w:rsidRPr="009B282D">
              <w:t>MIC</w:t>
            </w:r>
          </w:p>
        </w:tc>
        <w:tc>
          <w:tcPr>
            <w:tcW w:w="8005" w:type="dxa"/>
          </w:tcPr>
          <w:p w14:paraId="061A0811" w14:textId="5955F5B1" w:rsidR="009F2B22" w:rsidRPr="009B282D" w:rsidRDefault="009847EB" w:rsidP="009A6C8A">
            <w:pPr>
              <w:cnfStyle w:val="000000100000" w:firstRow="0" w:lastRow="0" w:firstColumn="0" w:lastColumn="0" w:oddVBand="0" w:evenVBand="0" w:oddHBand="1" w:evenHBand="0" w:firstRowFirstColumn="0" w:firstRowLastColumn="0" w:lastRowFirstColumn="0" w:lastRowLastColumn="0"/>
            </w:pPr>
            <w:r w:rsidRPr="009B282D">
              <w:t>Minimum Inhibitory Concentration</w:t>
            </w:r>
          </w:p>
        </w:tc>
      </w:tr>
      <w:tr w:rsidR="00E142F6" w:rsidRPr="009B282D" w14:paraId="2A18FDDE"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6825D056" w14:textId="6C7A4795" w:rsidR="00E142F6" w:rsidRPr="009B282D" w:rsidRDefault="00E142F6" w:rsidP="009A6C8A">
            <w:r w:rsidRPr="009B282D">
              <w:t>MMWR</w:t>
            </w:r>
          </w:p>
        </w:tc>
        <w:tc>
          <w:tcPr>
            <w:tcW w:w="8005" w:type="dxa"/>
          </w:tcPr>
          <w:p w14:paraId="0DB66A4E" w14:textId="6C94B855" w:rsidR="00E142F6" w:rsidRPr="009B282D" w:rsidRDefault="00045B8D" w:rsidP="009A6C8A">
            <w:pPr>
              <w:cnfStyle w:val="000000000000" w:firstRow="0" w:lastRow="0" w:firstColumn="0" w:lastColumn="0" w:oddVBand="0" w:evenVBand="0" w:oddHBand="0" w:evenHBand="0" w:firstRowFirstColumn="0" w:firstRowLastColumn="0" w:lastRowFirstColumn="0" w:lastRowLastColumn="0"/>
            </w:pPr>
            <w:r w:rsidRPr="009B282D">
              <w:t>Morbidity and Mortality Weekly Report</w:t>
            </w:r>
          </w:p>
        </w:tc>
      </w:tr>
      <w:tr w:rsidR="009847EB" w:rsidRPr="009B282D" w14:paraId="03D60696"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2B9C3825" w14:textId="00E32019" w:rsidR="009847EB" w:rsidRPr="009B282D" w:rsidRDefault="009847EB" w:rsidP="009A6C8A">
            <w:r w:rsidRPr="009B282D">
              <w:t>MSM</w:t>
            </w:r>
          </w:p>
        </w:tc>
        <w:tc>
          <w:tcPr>
            <w:tcW w:w="8005" w:type="dxa"/>
          </w:tcPr>
          <w:p w14:paraId="2322A9BA" w14:textId="1418B957" w:rsidR="009847EB" w:rsidRPr="009B282D" w:rsidRDefault="009847EB" w:rsidP="009A6C8A">
            <w:pPr>
              <w:cnfStyle w:val="000000100000" w:firstRow="0" w:lastRow="0" w:firstColumn="0" w:lastColumn="0" w:oddVBand="0" w:evenVBand="0" w:oddHBand="1" w:evenHBand="0" w:firstRowFirstColumn="0" w:firstRowLastColumn="0" w:lastRowFirstColumn="0" w:lastRowLastColumn="0"/>
            </w:pPr>
            <w:r w:rsidRPr="009B282D">
              <w:t>Men who have Sex with Men</w:t>
            </w:r>
          </w:p>
        </w:tc>
      </w:tr>
      <w:tr w:rsidR="00C72B5E" w:rsidRPr="009B282D" w14:paraId="215DF4BE"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1D05BF7B" w14:textId="3C036E0F" w:rsidR="00C72B5E" w:rsidRPr="009B282D" w:rsidRDefault="00C72B5E" w:rsidP="009A6C8A">
            <w:r w:rsidRPr="009B282D">
              <w:t>N</w:t>
            </w:r>
          </w:p>
        </w:tc>
        <w:tc>
          <w:tcPr>
            <w:tcW w:w="8005" w:type="dxa"/>
          </w:tcPr>
          <w:p w14:paraId="008FA29C" w14:textId="6A4B14A3" w:rsidR="00C72B5E" w:rsidRPr="00283AF3" w:rsidRDefault="00C72B5E" w:rsidP="009A6C8A">
            <w:pPr>
              <w:cnfStyle w:val="000000000000" w:firstRow="0" w:lastRow="0" w:firstColumn="0" w:lastColumn="0" w:oddVBand="0" w:evenVBand="0" w:oddHBand="0" w:evenHBand="0" w:firstRowFirstColumn="0" w:firstRowLastColumn="0" w:lastRowFirstColumn="0" w:lastRowLastColumn="0"/>
              <w:rPr>
                <w:i/>
                <w:iCs/>
              </w:rPr>
            </w:pPr>
            <w:r w:rsidRPr="00283AF3">
              <w:rPr>
                <w:i/>
                <w:iCs/>
              </w:rPr>
              <w:t>Neisseria</w:t>
            </w:r>
          </w:p>
        </w:tc>
      </w:tr>
      <w:tr w:rsidR="009847EB" w:rsidRPr="009B282D" w14:paraId="3C392C4D"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69B65D96" w14:textId="15D6015B" w:rsidR="009847EB" w:rsidRPr="009B282D" w:rsidRDefault="009847EB" w:rsidP="009A6C8A">
            <w:r w:rsidRPr="009B282D">
              <w:t>NAAT</w:t>
            </w:r>
          </w:p>
        </w:tc>
        <w:tc>
          <w:tcPr>
            <w:tcW w:w="8005" w:type="dxa"/>
          </w:tcPr>
          <w:p w14:paraId="143123DA" w14:textId="4DB490EF" w:rsidR="009847EB" w:rsidRPr="009B282D" w:rsidRDefault="009847EB" w:rsidP="009A6C8A">
            <w:pPr>
              <w:cnfStyle w:val="000000100000" w:firstRow="0" w:lastRow="0" w:firstColumn="0" w:lastColumn="0" w:oddVBand="0" w:evenVBand="0" w:oddHBand="1" w:evenHBand="0" w:firstRowFirstColumn="0" w:firstRowLastColumn="0" w:lastRowFirstColumn="0" w:lastRowLastColumn="0"/>
            </w:pPr>
            <w:r w:rsidRPr="009B282D">
              <w:t>Nucleic Acid Amplification Test</w:t>
            </w:r>
          </w:p>
        </w:tc>
      </w:tr>
      <w:tr w:rsidR="00045B8D" w:rsidRPr="009B282D" w14:paraId="7B14B1E6"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57719141" w14:textId="125C7474" w:rsidR="00045B8D" w:rsidRPr="009B282D" w:rsidRDefault="00045B8D" w:rsidP="009A6C8A">
            <w:r w:rsidRPr="009B282D">
              <w:t>NCHHSTP</w:t>
            </w:r>
          </w:p>
        </w:tc>
        <w:tc>
          <w:tcPr>
            <w:tcW w:w="8005" w:type="dxa"/>
          </w:tcPr>
          <w:p w14:paraId="3ADE3E9C" w14:textId="3756DC84" w:rsidR="00045B8D" w:rsidRPr="009B282D" w:rsidRDefault="00045B8D" w:rsidP="009A6C8A">
            <w:pPr>
              <w:cnfStyle w:val="000000000000" w:firstRow="0" w:lastRow="0" w:firstColumn="0" w:lastColumn="0" w:oddVBand="0" w:evenVBand="0" w:oddHBand="0" w:evenHBand="0" w:firstRowFirstColumn="0" w:firstRowLastColumn="0" w:lastRowFirstColumn="0" w:lastRowLastColumn="0"/>
            </w:pPr>
            <w:r w:rsidRPr="009B282D">
              <w:t>National Center for HIV/Aids, Viral Hepatitis, STD, and TB Prevention</w:t>
            </w:r>
          </w:p>
        </w:tc>
      </w:tr>
      <w:tr w:rsidR="002E1D5A" w:rsidRPr="009B282D" w14:paraId="5FE80BD1"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0E0F950" w14:textId="168BFCFE" w:rsidR="002E1D5A" w:rsidRPr="009B282D" w:rsidRDefault="002E1D5A" w:rsidP="009A6C8A">
            <w:r w:rsidRPr="009B282D">
              <w:t>NG</w:t>
            </w:r>
          </w:p>
        </w:tc>
        <w:tc>
          <w:tcPr>
            <w:tcW w:w="8005" w:type="dxa"/>
          </w:tcPr>
          <w:p w14:paraId="41C93AF8" w14:textId="3B2FDB5E" w:rsidR="002E1D5A" w:rsidRPr="00283AF3" w:rsidRDefault="002E1D5A" w:rsidP="009A6C8A">
            <w:pPr>
              <w:cnfStyle w:val="000000100000" w:firstRow="0" w:lastRow="0" w:firstColumn="0" w:lastColumn="0" w:oddVBand="0" w:evenVBand="0" w:oddHBand="1" w:evenHBand="0" w:firstRowFirstColumn="0" w:firstRowLastColumn="0" w:lastRowFirstColumn="0" w:lastRowLastColumn="0"/>
              <w:rPr>
                <w:i/>
                <w:iCs/>
                <w:color w:val="000000"/>
              </w:rPr>
            </w:pPr>
            <w:r w:rsidRPr="00283AF3">
              <w:rPr>
                <w:i/>
                <w:iCs/>
              </w:rPr>
              <w:t>Neisseria Gonorrhoeae</w:t>
            </w:r>
          </w:p>
        </w:tc>
      </w:tr>
      <w:tr w:rsidR="002F10DE" w:rsidRPr="009B282D" w14:paraId="570AF9A2"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6604038E" w14:textId="37CF54E4" w:rsidR="002F10DE" w:rsidRPr="009B282D" w:rsidRDefault="002F10DE" w:rsidP="009A6C8A">
            <w:r w:rsidRPr="009B282D">
              <w:t>NNPTC</w:t>
            </w:r>
          </w:p>
        </w:tc>
        <w:tc>
          <w:tcPr>
            <w:tcW w:w="8005" w:type="dxa"/>
          </w:tcPr>
          <w:p w14:paraId="43094E3B" w14:textId="20E84F0C" w:rsidR="002F10DE" w:rsidRPr="009B282D" w:rsidRDefault="002F10DE" w:rsidP="009A6C8A">
            <w:pPr>
              <w:cnfStyle w:val="000000000000" w:firstRow="0" w:lastRow="0" w:firstColumn="0" w:lastColumn="0" w:oddVBand="0" w:evenVBand="0" w:oddHBand="0" w:evenHBand="0" w:firstRowFirstColumn="0" w:firstRowLastColumn="0" w:lastRowFirstColumn="0" w:lastRowLastColumn="0"/>
            </w:pPr>
            <w:r w:rsidRPr="009B282D">
              <w:t>National Network of STD Clinical Prevention Training Centers</w:t>
            </w:r>
          </w:p>
        </w:tc>
      </w:tr>
      <w:tr w:rsidR="00522504" w:rsidRPr="009B282D" w14:paraId="7752BEAB"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54D34667" w14:textId="519F5525" w:rsidR="00522504" w:rsidRPr="009B282D" w:rsidRDefault="00522504" w:rsidP="009A6C8A">
            <w:r w:rsidRPr="009B282D">
              <w:t>OPRHP</w:t>
            </w:r>
          </w:p>
        </w:tc>
        <w:tc>
          <w:tcPr>
            <w:tcW w:w="8005" w:type="dxa"/>
          </w:tcPr>
          <w:p w14:paraId="4840C1AC" w14:textId="29EF24C6" w:rsidR="00522504" w:rsidRPr="009B282D" w:rsidRDefault="00522504" w:rsidP="009A6C8A">
            <w:pPr>
              <w:cnfStyle w:val="000000100000" w:firstRow="0" w:lastRow="0" w:firstColumn="0" w:lastColumn="0" w:oddVBand="0" w:evenVBand="0" w:oddHBand="1" w:evenHBand="0" w:firstRowFirstColumn="0" w:firstRowLastColumn="0" w:lastRowFirstColumn="0" w:lastRowLastColumn="0"/>
            </w:pPr>
            <w:r w:rsidRPr="009B282D">
              <w:t>Offices of Preparedness and Response and Health Protection</w:t>
            </w:r>
          </w:p>
        </w:tc>
      </w:tr>
      <w:tr w:rsidR="002E1D5A" w:rsidRPr="009B282D" w14:paraId="08133949"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4EF4A715" w14:textId="5DF11A1F" w:rsidR="002E1D5A" w:rsidRPr="009B282D" w:rsidRDefault="002E1D5A" w:rsidP="009A6C8A">
            <w:r w:rsidRPr="009B282D">
              <w:t>POC</w:t>
            </w:r>
          </w:p>
        </w:tc>
        <w:tc>
          <w:tcPr>
            <w:tcW w:w="8005" w:type="dxa"/>
          </w:tcPr>
          <w:p w14:paraId="1ABAB735" w14:textId="5D94E359" w:rsidR="002E1D5A" w:rsidRPr="009B282D" w:rsidRDefault="002E1D5A" w:rsidP="009A6C8A">
            <w:pPr>
              <w:cnfStyle w:val="000000000000" w:firstRow="0" w:lastRow="0" w:firstColumn="0" w:lastColumn="0" w:oddVBand="0" w:evenVBand="0" w:oddHBand="0" w:evenHBand="0" w:firstRowFirstColumn="0" w:firstRowLastColumn="0" w:lastRowFirstColumn="0" w:lastRowLastColumn="0"/>
            </w:pPr>
            <w:r w:rsidRPr="009B282D">
              <w:t>Point of Contact</w:t>
            </w:r>
          </w:p>
        </w:tc>
      </w:tr>
      <w:tr w:rsidR="009847EB" w:rsidRPr="009B282D" w14:paraId="7D109BE1"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7FC165BA" w14:textId="0BB7DD87" w:rsidR="009847EB" w:rsidRPr="009B282D" w:rsidRDefault="009847EB" w:rsidP="009A6C8A">
            <w:r w:rsidRPr="009B282D">
              <w:t>PPNG</w:t>
            </w:r>
          </w:p>
        </w:tc>
        <w:tc>
          <w:tcPr>
            <w:tcW w:w="8005" w:type="dxa"/>
          </w:tcPr>
          <w:p w14:paraId="39689B0A" w14:textId="4E099178" w:rsidR="009847EB" w:rsidRPr="009B282D" w:rsidRDefault="009847EB" w:rsidP="009A6C8A">
            <w:pPr>
              <w:cnfStyle w:val="000000100000" w:firstRow="0" w:lastRow="0" w:firstColumn="0" w:lastColumn="0" w:oddVBand="0" w:evenVBand="0" w:oddHBand="1" w:evenHBand="0" w:firstRowFirstColumn="0" w:firstRowLastColumn="0" w:lastRowFirstColumn="0" w:lastRowLastColumn="0"/>
            </w:pPr>
            <w:r w:rsidRPr="009B282D">
              <w:t xml:space="preserve">Penicillinase-Producing </w:t>
            </w:r>
            <w:r w:rsidRPr="009B282D">
              <w:rPr>
                <w:i/>
                <w:iCs/>
              </w:rPr>
              <w:t>Neisseria gonorrhoeae</w:t>
            </w:r>
          </w:p>
        </w:tc>
      </w:tr>
      <w:tr w:rsidR="00E9617E" w:rsidRPr="009B282D" w14:paraId="2C61A8D9"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156244EB" w14:textId="390624B1" w:rsidR="00E9617E" w:rsidRPr="009B282D" w:rsidRDefault="00E9617E" w:rsidP="009A6C8A">
            <w:r w:rsidRPr="009B282D">
              <w:t>PrEP</w:t>
            </w:r>
          </w:p>
        </w:tc>
        <w:tc>
          <w:tcPr>
            <w:tcW w:w="8005" w:type="dxa"/>
          </w:tcPr>
          <w:p w14:paraId="75FAAA3C" w14:textId="6D7A659C" w:rsidR="00E9617E" w:rsidRPr="009B282D" w:rsidRDefault="00E142F6" w:rsidP="009A6C8A">
            <w:pPr>
              <w:cnfStyle w:val="000000000000" w:firstRow="0" w:lastRow="0" w:firstColumn="0" w:lastColumn="0" w:oddVBand="0" w:evenVBand="0" w:oddHBand="0" w:evenHBand="0" w:firstRowFirstColumn="0" w:firstRowLastColumn="0" w:lastRowFirstColumn="0" w:lastRowLastColumn="0"/>
            </w:pPr>
            <w:r w:rsidRPr="009B282D">
              <w:t>Pre-exposure Prophylaxis</w:t>
            </w:r>
          </w:p>
        </w:tc>
      </w:tr>
      <w:tr w:rsidR="00045B8D" w:rsidRPr="009B282D" w14:paraId="56DFFC3C"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112E0E30" w14:textId="4D11DF9B" w:rsidR="00045B8D" w:rsidRPr="009B282D" w:rsidRDefault="00045B8D" w:rsidP="009A6C8A">
            <w:r w:rsidRPr="009B282D">
              <w:t>PTEE</w:t>
            </w:r>
          </w:p>
        </w:tc>
        <w:tc>
          <w:tcPr>
            <w:tcW w:w="8005" w:type="dxa"/>
          </w:tcPr>
          <w:p w14:paraId="2EE30913" w14:textId="0D85F4D1" w:rsidR="00045B8D" w:rsidRPr="009B282D" w:rsidRDefault="00045B8D" w:rsidP="009A6C8A">
            <w:pPr>
              <w:cnfStyle w:val="000000100000" w:firstRow="0" w:lastRow="0" w:firstColumn="0" w:lastColumn="0" w:oddVBand="0" w:evenVBand="0" w:oddHBand="1" w:evenHBand="0" w:firstRowFirstColumn="0" w:firstRowLastColumn="0" w:lastRowFirstColumn="0" w:lastRowLastColumn="0"/>
            </w:pPr>
            <w:r w:rsidRPr="009B282D">
              <w:t>Plans, Training, Exercises, and Evaluation Branch</w:t>
            </w:r>
          </w:p>
        </w:tc>
      </w:tr>
      <w:tr w:rsidR="009847EB" w:rsidRPr="009B282D" w14:paraId="33DE5C2F"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268C8B76" w14:textId="4F458327" w:rsidR="009847EB" w:rsidRPr="009B282D" w:rsidRDefault="009847EB" w:rsidP="009A6C8A">
            <w:r w:rsidRPr="009B282D">
              <w:t>QRNG</w:t>
            </w:r>
          </w:p>
        </w:tc>
        <w:tc>
          <w:tcPr>
            <w:tcW w:w="8005" w:type="dxa"/>
          </w:tcPr>
          <w:p w14:paraId="78CEE2C3" w14:textId="01E8D98A" w:rsidR="009847EB" w:rsidRPr="009B282D" w:rsidRDefault="009847EB" w:rsidP="009A6C8A">
            <w:pPr>
              <w:cnfStyle w:val="000000000000" w:firstRow="0" w:lastRow="0" w:firstColumn="0" w:lastColumn="0" w:oddVBand="0" w:evenVBand="0" w:oddHBand="0" w:evenHBand="0" w:firstRowFirstColumn="0" w:firstRowLastColumn="0" w:lastRowFirstColumn="0" w:lastRowLastColumn="0"/>
            </w:pPr>
            <w:r w:rsidRPr="009B282D">
              <w:t xml:space="preserve">Fluoroquinolone-Resistant </w:t>
            </w:r>
            <w:r w:rsidRPr="009B282D">
              <w:rPr>
                <w:i/>
                <w:iCs/>
              </w:rPr>
              <w:t>Neisseria gonorrhoeae</w:t>
            </w:r>
          </w:p>
        </w:tc>
      </w:tr>
      <w:tr w:rsidR="00E9617E" w:rsidRPr="009B282D" w14:paraId="31D73EC8"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0E6A0D7" w14:textId="1F58EEFC" w:rsidR="00E9617E" w:rsidRPr="009B282D" w:rsidRDefault="00E9617E" w:rsidP="009A6C8A">
            <w:r w:rsidRPr="009B282D">
              <w:t>RNA</w:t>
            </w:r>
          </w:p>
        </w:tc>
        <w:tc>
          <w:tcPr>
            <w:tcW w:w="8005" w:type="dxa"/>
          </w:tcPr>
          <w:p w14:paraId="1AB5219D" w14:textId="32231BBB" w:rsidR="00E9617E" w:rsidRPr="009B282D" w:rsidRDefault="00E142F6" w:rsidP="009A6C8A">
            <w:pPr>
              <w:cnfStyle w:val="000000100000" w:firstRow="0" w:lastRow="0" w:firstColumn="0" w:lastColumn="0" w:oddVBand="0" w:evenVBand="0" w:oddHBand="1" w:evenHBand="0" w:firstRowFirstColumn="0" w:firstRowLastColumn="0" w:lastRowFirstColumn="0" w:lastRowLastColumn="0"/>
            </w:pPr>
            <w:r w:rsidRPr="009B282D">
              <w:t>Ribonucleic Acid</w:t>
            </w:r>
          </w:p>
        </w:tc>
      </w:tr>
      <w:tr w:rsidR="00E9617E" w:rsidRPr="009B282D" w14:paraId="4C3FC3B2"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0E766605" w14:textId="603D52DA" w:rsidR="00E9617E" w:rsidRPr="009B282D" w:rsidRDefault="00E9617E" w:rsidP="009A6C8A">
            <w:r w:rsidRPr="009B282D">
              <w:t>SME</w:t>
            </w:r>
          </w:p>
        </w:tc>
        <w:tc>
          <w:tcPr>
            <w:tcW w:w="8005" w:type="dxa"/>
          </w:tcPr>
          <w:p w14:paraId="6F3480D8" w14:textId="762582F9" w:rsidR="00E9617E" w:rsidRPr="009B282D" w:rsidRDefault="00E9617E" w:rsidP="009A6C8A">
            <w:pPr>
              <w:cnfStyle w:val="000000000000" w:firstRow="0" w:lastRow="0" w:firstColumn="0" w:lastColumn="0" w:oddVBand="0" w:evenVBand="0" w:oddHBand="0" w:evenHBand="0" w:firstRowFirstColumn="0" w:firstRowLastColumn="0" w:lastRowFirstColumn="0" w:lastRowLastColumn="0"/>
            </w:pPr>
            <w:r w:rsidRPr="009B282D">
              <w:t>Subject Matter Expert</w:t>
            </w:r>
          </w:p>
        </w:tc>
      </w:tr>
      <w:tr w:rsidR="00E9617E" w:rsidRPr="009B282D" w14:paraId="2547FFE6"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037E9079" w14:textId="422B3E37" w:rsidR="00E9617E" w:rsidRPr="009B282D" w:rsidRDefault="00E9617E" w:rsidP="009A6C8A">
            <w:r w:rsidRPr="009B282D">
              <w:t>STARTEX</w:t>
            </w:r>
          </w:p>
        </w:tc>
        <w:tc>
          <w:tcPr>
            <w:tcW w:w="8005" w:type="dxa"/>
          </w:tcPr>
          <w:p w14:paraId="297915D9" w14:textId="510C8D9C" w:rsidR="00E9617E" w:rsidRPr="009B282D" w:rsidRDefault="00E9617E" w:rsidP="009A6C8A">
            <w:pPr>
              <w:cnfStyle w:val="000000100000" w:firstRow="0" w:lastRow="0" w:firstColumn="0" w:lastColumn="0" w:oddVBand="0" w:evenVBand="0" w:oddHBand="1" w:evenHBand="0" w:firstRowFirstColumn="0" w:firstRowLastColumn="0" w:lastRowFirstColumn="0" w:lastRowLastColumn="0"/>
            </w:pPr>
            <w:r w:rsidRPr="009B282D">
              <w:t>Start of Exercise</w:t>
            </w:r>
          </w:p>
        </w:tc>
      </w:tr>
      <w:tr w:rsidR="009847EB" w:rsidRPr="009B282D" w14:paraId="18CF4BFA"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2A6339E8" w14:textId="731C12E5" w:rsidR="009847EB" w:rsidRPr="009B282D" w:rsidRDefault="009847EB" w:rsidP="009A6C8A">
            <w:r w:rsidRPr="009B282D">
              <w:t>STD</w:t>
            </w:r>
          </w:p>
        </w:tc>
        <w:tc>
          <w:tcPr>
            <w:tcW w:w="8005" w:type="dxa"/>
          </w:tcPr>
          <w:p w14:paraId="3BB13872" w14:textId="0239239D" w:rsidR="009847EB" w:rsidRPr="009B282D" w:rsidRDefault="009847EB" w:rsidP="009A6C8A">
            <w:pPr>
              <w:cnfStyle w:val="000000000000" w:firstRow="0" w:lastRow="0" w:firstColumn="0" w:lastColumn="0" w:oddVBand="0" w:evenVBand="0" w:oddHBand="0" w:evenHBand="0" w:firstRowFirstColumn="0" w:firstRowLastColumn="0" w:lastRowFirstColumn="0" w:lastRowLastColumn="0"/>
            </w:pPr>
            <w:r w:rsidRPr="009B282D">
              <w:t>Sexually Transmitted Disease</w:t>
            </w:r>
          </w:p>
        </w:tc>
      </w:tr>
      <w:tr w:rsidR="00045B8D" w:rsidRPr="009B282D" w14:paraId="4A0014D5"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B9774C0" w14:textId="37FA4EEA" w:rsidR="00045B8D" w:rsidRPr="009B282D" w:rsidRDefault="00045B8D" w:rsidP="009A6C8A">
            <w:r w:rsidRPr="009B282D">
              <w:t>STDPP</w:t>
            </w:r>
          </w:p>
        </w:tc>
        <w:tc>
          <w:tcPr>
            <w:tcW w:w="8005" w:type="dxa"/>
          </w:tcPr>
          <w:p w14:paraId="3C66ACCD" w14:textId="1F7872E6" w:rsidR="00045B8D" w:rsidRPr="009B282D" w:rsidRDefault="00045B8D" w:rsidP="009A6C8A">
            <w:pPr>
              <w:cnfStyle w:val="000000100000" w:firstRow="0" w:lastRow="0" w:firstColumn="0" w:lastColumn="0" w:oddVBand="0" w:evenVBand="0" w:oddHBand="1" w:evenHBand="0" w:firstRowFirstColumn="0" w:firstRowLastColumn="0" w:lastRowFirstColumn="0" w:lastRowLastColumn="0"/>
            </w:pPr>
            <w:r w:rsidRPr="009B282D">
              <w:t>STD Prevention Program</w:t>
            </w:r>
          </w:p>
        </w:tc>
      </w:tr>
      <w:tr w:rsidR="009847EB" w:rsidRPr="009B282D" w14:paraId="7052379E"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30889DDF" w14:textId="016DDF27" w:rsidR="009847EB" w:rsidRPr="009B282D" w:rsidRDefault="009847EB" w:rsidP="009A6C8A">
            <w:r w:rsidRPr="009B282D">
              <w:lastRenderedPageBreak/>
              <w:t>STI</w:t>
            </w:r>
          </w:p>
        </w:tc>
        <w:tc>
          <w:tcPr>
            <w:tcW w:w="8005" w:type="dxa"/>
          </w:tcPr>
          <w:p w14:paraId="041D3A4C" w14:textId="3C6343B9" w:rsidR="009847EB" w:rsidRPr="009B282D" w:rsidRDefault="009847EB" w:rsidP="009A6C8A">
            <w:pPr>
              <w:cnfStyle w:val="000000000000" w:firstRow="0" w:lastRow="0" w:firstColumn="0" w:lastColumn="0" w:oddVBand="0" w:evenVBand="0" w:oddHBand="0" w:evenHBand="0" w:firstRowFirstColumn="0" w:firstRowLastColumn="0" w:lastRowFirstColumn="0" w:lastRowLastColumn="0"/>
            </w:pPr>
            <w:r w:rsidRPr="009B282D">
              <w:t>Sexually Transmitted Infection</w:t>
            </w:r>
          </w:p>
        </w:tc>
      </w:tr>
      <w:tr w:rsidR="00E142F6" w:rsidRPr="009B282D" w14:paraId="12C6F56B"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4603D9DF" w14:textId="18478002" w:rsidR="00E142F6" w:rsidRPr="009B282D" w:rsidRDefault="00E142F6" w:rsidP="009A6C8A">
            <w:r w:rsidRPr="009B282D">
              <w:t>SURRG</w:t>
            </w:r>
          </w:p>
        </w:tc>
        <w:tc>
          <w:tcPr>
            <w:tcW w:w="8005" w:type="dxa"/>
          </w:tcPr>
          <w:p w14:paraId="1CCA2A56" w14:textId="70164B8E" w:rsidR="00E142F6" w:rsidRPr="009B282D" w:rsidRDefault="00045B8D" w:rsidP="009A6C8A">
            <w:pPr>
              <w:cnfStyle w:val="000000100000" w:firstRow="0" w:lastRow="0" w:firstColumn="0" w:lastColumn="0" w:oddVBand="0" w:evenVBand="0" w:oddHBand="1" w:evenHBand="0" w:firstRowFirstColumn="0" w:firstRowLastColumn="0" w:lastRowFirstColumn="0" w:lastRowLastColumn="0"/>
            </w:pPr>
            <w:r w:rsidRPr="009B282D">
              <w:t>Strengthening the U.S. Response to Resistant Gonorrhea</w:t>
            </w:r>
          </w:p>
        </w:tc>
      </w:tr>
      <w:tr w:rsidR="002835F5" w:rsidRPr="009B282D" w14:paraId="427A2C57"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1E6E1931" w14:textId="5383F4A0" w:rsidR="002835F5" w:rsidRPr="009B282D" w:rsidRDefault="002835F5" w:rsidP="009A6C8A">
            <w:r w:rsidRPr="009B282D">
              <w:t>TB</w:t>
            </w:r>
          </w:p>
        </w:tc>
        <w:tc>
          <w:tcPr>
            <w:tcW w:w="8005" w:type="dxa"/>
          </w:tcPr>
          <w:p w14:paraId="00C9381C" w14:textId="2AADBF9C" w:rsidR="002835F5" w:rsidRPr="009B282D" w:rsidRDefault="002835F5" w:rsidP="009A6C8A">
            <w:pPr>
              <w:cnfStyle w:val="000000000000" w:firstRow="0" w:lastRow="0" w:firstColumn="0" w:lastColumn="0" w:oddVBand="0" w:evenVBand="0" w:oddHBand="0" w:evenHBand="0" w:firstRowFirstColumn="0" w:firstRowLastColumn="0" w:lastRowFirstColumn="0" w:lastRowLastColumn="0"/>
            </w:pPr>
            <w:r w:rsidRPr="009B282D">
              <w:t>Tuberculosis</w:t>
            </w:r>
          </w:p>
        </w:tc>
      </w:tr>
      <w:tr w:rsidR="00DE78DE" w:rsidRPr="009B282D" w14:paraId="211ADF24"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7A279636" w14:textId="383C60F7" w:rsidR="00DE78DE" w:rsidRPr="009B282D" w:rsidRDefault="00DE78DE" w:rsidP="009A6C8A">
            <w:r w:rsidRPr="009B282D">
              <w:t>T&amp;E</w:t>
            </w:r>
          </w:p>
        </w:tc>
        <w:tc>
          <w:tcPr>
            <w:tcW w:w="8005" w:type="dxa"/>
          </w:tcPr>
          <w:p w14:paraId="5BBA9CB6" w14:textId="23841114" w:rsidR="00DE78DE" w:rsidRPr="009B282D" w:rsidRDefault="00DE78DE" w:rsidP="009A6C8A">
            <w:pPr>
              <w:cnfStyle w:val="000000100000" w:firstRow="0" w:lastRow="0" w:firstColumn="0" w:lastColumn="0" w:oddVBand="0" w:evenVBand="0" w:oddHBand="1" w:evenHBand="0" w:firstRowFirstColumn="0" w:firstRowLastColumn="0" w:lastRowFirstColumn="0" w:lastRowLastColumn="0"/>
            </w:pPr>
            <w:r w:rsidRPr="009B282D">
              <w:t>Training and Exercises</w:t>
            </w:r>
          </w:p>
        </w:tc>
      </w:tr>
      <w:tr w:rsidR="00E9617E" w:rsidRPr="009B282D" w14:paraId="3C0FD379"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175C719C" w14:textId="4B657626" w:rsidR="00E9617E" w:rsidRPr="009B282D" w:rsidRDefault="00E9617E" w:rsidP="009A6C8A">
            <w:r w:rsidRPr="009B282D">
              <w:t>TOC</w:t>
            </w:r>
          </w:p>
        </w:tc>
        <w:tc>
          <w:tcPr>
            <w:tcW w:w="8005" w:type="dxa"/>
          </w:tcPr>
          <w:p w14:paraId="507F3B39" w14:textId="2D302D32" w:rsidR="00E9617E" w:rsidRPr="009B282D" w:rsidRDefault="00E9617E" w:rsidP="009A6C8A">
            <w:pPr>
              <w:cnfStyle w:val="000000000000" w:firstRow="0" w:lastRow="0" w:firstColumn="0" w:lastColumn="0" w:oddVBand="0" w:evenVBand="0" w:oddHBand="0" w:evenHBand="0" w:firstRowFirstColumn="0" w:firstRowLastColumn="0" w:lastRowFirstColumn="0" w:lastRowLastColumn="0"/>
            </w:pPr>
            <w:r w:rsidRPr="009B282D">
              <w:t>Test of Cure</w:t>
            </w:r>
          </w:p>
        </w:tc>
      </w:tr>
      <w:tr w:rsidR="00E9617E" w:rsidRPr="009B282D" w14:paraId="2C3A7D03" w14:textId="77777777" w:rsidTr="0030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5A80DADE" w14:textId="7C1CA3D6" w:rsidR="00E9617E" w:rsidRPr="009B282D" w:rsidRDefault="00E9617E" w:rsidP="009A6C8A">
            <w:r w:rsidRPr="009B282D">
              <w:t>TTX</w:t>
            </w:r>
          </w:p>
        </w:tc>
        <w:tc>
          <w:tcPr>
            <w:tcW w:w="8005" w:type="dxa"/>
          </w:tcPr>
          <w:p w14:paraId="1C596312" w14:textId="097DE291" w:rsidR="00E9617E" w:rsidRPr="009B282D" w:rsidRDefault="00E9617E" w:rsidP="009A6C8A">
            <w:pPr>
              <w:cnfStyle w:val="000000100000" w:firstRow="0" w:lastRow="0" w:firstColumn="0" w:lastColumn="0" w:oddVBand="0" w:evenVBand="0" w:oddHBand="1" w:evenHBand="0" w:firstRowFirstColumn="0" w:firstRowLastColumn="0" w:lastRowFirstColumn="0" w:lastRowLastColumn="0"/>
            </w:pPr>
            <w:r w:rsidRPr="009B282D">
              <w:t>Tabletop Exercise</w:t>
            </w:r>
          </w:p>
        </w:tc>
      </w:tr>
      <w:tr w:rsidR="002835F5" w:rsidRPr="009B282D" w14:paraId="37B7EF7A" w14:textId="77777777" w:rsidTr="00306C72">
        <w:tc>
          <w:tcPr>
            <w:cnfStyle w:val="001000000000" w:firstRow="0" w:lastRow="0" w:firstColumn="1" w:lastColumn="0" w:oddVBand="0" w:evenVBand="0" w:oddHBand="0" w:evenHBand="0" w:firstRowFirstColumn="0" w:firstRowLastColumn="0" w:lastRowFirstColumn="0" w:lastRowLastColumn="0"/>
            <w:tcW w:w="1615" w:type="dxa"/>
          </w:tcPr>
          <w:p w14:paraId="34124AA9" w14:textId="04CC2401" w:rsidR="002835F5" w:rsidRPr="009B282D" w:rsidRDefault="002835F5" w:rsidP="009A6C8A">
            <w:r w:rsidRPr="009B282D">
              <w:t>XDR</w:t>
            </w:r>
          </w:p>
        </w:tc>
        <w:tc>
          <w:tcPr>
            <w:tcW w:w="8005" w:type="dxa"/>
          </w:tcPr>
          <w:p w14:paraId="3CC6F529" w14:textId="6E38FF94" w:rsidR="002835F5" w:rsidRPr="009B282D" w:rsidRDefault="002835F5" w:rsidP="009A6C8A">
            <w:pPr>
              <w:cnfStyle w:val="000000000000" w:firstRow="0" w:lastRow="0" w:firstColumn="0" w:lastColumn="0" w:oddVBand="0" w:evenVBand="0" w:oddHBand="0" w:evenHBand="0" w:firstRowFirstColumn="0" w:firstRowLastColumn="0" w:lastRowFirstColumn="0" w:lastRowLastColumn="0"/>
            </w:pPr>
            <w:r w:rsidRPr="009B282D">
              <w:t>Extreme Drug Resistant</w:t>
            </w:r>
          </w:p>
        </w:tc>
      </w:tr>
    </w:tbl>
    <w:p w14:paraId="4688A9B9" w14:textId="169B6372" w:rsidR="009F2B22" w:rsidRPr="009F2B22" w:rsidRDefault="009F2B22" w:rsidP="009A6C8A"/>
    <w:sectPr w:rsidR="009F2B22" w:rsidRPr="009F2B22" w:rsidSect="00CB72E9">
      <w:footerReference w:type="default" r:id="rId37"/>
      <w:pgSz w:w="12240" w:h="15840" w:code="1"/>
      <w:pgMar w:top="1440" w:right="1170" w:bottom="1440" w:left="1440" w:header="432" w:footer="576"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50F86" w14:textId="77777777" w:rsidR="008F6F61" w:rsidRDefault="008F6F61" w:rsidP="009A6C8A">
      <w:r>
        <w:separator/>
      </w:r>
    </w:p>
    <w:p w14:paraId="50C16ACF" w14:textId="77777777" w:rsidR="008F6F61" w:rsidRDefault="008F6F61" w:rsidP="009A6C8A"/>
    <w:p w14:paraId="272B6CF4" w14:textId="77777777" w:rsidR="008F6F61" w:rsidRDefault="008F6F61" w:rsidP="009A6C8A"/>
  </w:endnote>
  <w:endnote w:type="continuationSeparator" w:id="0">
    <w:p w14:paraId="33B9E458" w14:textId="77777777" w:rsidR="008F6F61" w:rsidRDefault="008F6F61" w:rsidP="009A6C8A">
      <w:r>
        <w:continuationSeparator/>
      </w:r>
    </w:p>
    <w:p w14:paraId="7D79C108" w14:textId="77777777" w:rsidR="008F6F61" w:rsidRDefault="008F6F61" w:rsidP="009A6C8A"/>
    <w:p w14:paraId="42EF5188" w14:textId="77777777" w:rsidR="008F6F61" w:rsidRDefault="008F6F61" w:rsidP="009A6C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Microsoft PhagsPa">
    <w:panose1 w:val="020B0502040204020203"/>
    <w:charset w:val="00"/>
    <w:family w:val="swiss"/>
    <w:pitch w:val="variable"/>
    <w:sig w:usb0="00000003" w:usb1="00000000" w:usb2="08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D3EB5" w14:textId="77777777" w:rsidR="008F6F61" w:rsidRDefault="008F6F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26113" w14:textId="7B23FDCC" w:rsidR="008F6F61" w:rsidRDefault="008F6F61" w:rsidP="009A6C8A">
    <w:pPr>
      <w:pStyle w:val="Footer"/>
    </w:pPr>
    <w:r>
      <w:rPr>
        <w:noProof/>
      </w:rPr>
      <w:drawing>
        <wp:anchor distT="0" distB="0" distL="114300" distR="114300" simplePos="0" relativeHeight="251702272" behindDoc="1" locked="0" layoutInCell="1" allowOverlap="1" wp14:anchorId="2ECC84C1" wp14:editId="77025144">
          <wp:simplePos x="0" y="0"/>
          <wp:positionH relativeFrom="page">
            <wp:posOffset>-201295</wp:posOffset>
          </wp:positionH>
          <wp:positionV relativeFrom="paragraph">
            <wp:posOffset>150191</wp:posOffset>
          </wp:positionV>
          <wp:extent cx="7975158" cy="683260"/>
          <wp:effectExtent l="0" t="0" r="6985" b="254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l-bars-short.png"/>
                  <pic:cNvPicPr/>
                </pic:nvPicPr>
                <pic:blipFill>
                  <a:blip r:embed="rId1">
                    <a:extLst>
                      <a:ext uri="{28A0092B-C50C-407E-A947-70E740481C1C}">
                        <a14:useLocalDpi xmlns:a14="http://schemas.microsoft.com/office/drawing/2010/main" val="0"/>
                      </a:ext>
                    </a:extLst>
                  </a:blip>
                  <a:stretch>
                    <a:fillRect/>
                  </a:stretch>
                </pic:blipFill>
                <pic:spPr>
                  <a:xfrm rot="10800000">
                    <a:off x="0" y="0"/>
                    <a:ext cx="7975158" cy="6832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52183" w14:textId="77777777" w:rsidR="008F6F61" w:rsidRDefault="008F6F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E38B8" w14:textId="30C599FD" w:rsidR="008F6F61" w:rsidRPr="0079588A" w:rsidRDefault="008F6F61" w:rsidP="0010002E">
    <w:pPr>
      <w:pStyle w:val="Footer"/>
      <w:tabs>
        <w:tab w:val="clear" w:pos="4320"/>
        <w:tab w:val="clear" w:pos="5130"/>
        <w:tab w:val="clear" w:pos="8640"/>
        <w:tab w:val="left" w:pos="2540"/>
      </w:tabs>
      <w:spacing w:before="480" w:after="0"/>
      <w:jc w:val="center"/>
      <w:rPr>
        <w:b/>
        <w:bCs/>
      </w:rPr>
    </w:pPr>
    <w:r w:rsidRPr="0079588A">
      <w:rPr>
        <w:b/>
        <w:bCs/>
        <w:noProof/>
        <w:color w:val="FFFFFF" w:themeColor="background1"/>
      </w:rPr>
      <w:drawing>
        <wp:anchor distT="0" distB="0" distL="114300" distR="114300" simplePos="0" relativeHeight="251707392" behindDoc="1" locked="0" layoutInCell="1" allowOverlap="1" wp14:anchorId="6B5D0985" wp14:editId="35A4DD74">
          <wp:simplePos x="0" y="0"/>
          <wp:positionH relativeFrom="page">
            <wp:posOffset>-739775</wp:posOffset>
          </wp:positionH>
          <wp:positionV relativeFrom="paragraph">
            <wp:posOffset>136896</wp:posOffset>
          </wp:positionV>
          <wp:extent cx="8531823" cy="730951"/>
          <wp:effectExtent l="0" t="0" r="3175" b="0"/>
          <wp:wrapNone/>
          <wp:docPr id="6" name="Picture 6"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l-bars-short.png"/>
                  <pic:cNvPicPr/>
                </pic:nvPicPr>
                <pic:blipFill>
                  <a:blip r:embed="rId1">
                    <a:extLst>
                      <a:ext uri="{28A0092B-C50C-407E-A947-70E740481C1C}">
                        <a14:useLocalDpi xmlns:a14="http://schemas.microsoft.com/office/drawing/2010/main" val="0"/>
                      </a:ext>
                    </a:extLst>
                  </a:blip>
                  <a:stretch>
                    <a:fillRect/>
                  </a:stretch>
                </pic:blipFill>
                <pic:spPr>
                  <a:xfrm rot="10800000">
                    <a:off x="0" y="0"/>
                    <a:ext cx="8531823" cy="730951"/>
                  </a:xfrm>
                  <a:prstGeom prst="rect">
                    <a:avLst/>
                  </a:prstGeom>
                </pic:spPr>
              </pic:pic>
            </a:graphicData>
          </a:graphic>
          <wp14:sizeRelH relativeFrom="margin">
            <wp14:pctWidth>0</wp14:pctWidth>
          </wp14:sizeRelH>
          <wp14:sizeRelV relativeFrom="margin">
            <wp14:pctHeight>0</wp14:pctHeight>
          </wp14:sizeRelV>
        </wp:anchor>
      </w:drawing>
    </w:r>
    <w:r w:rsidRPr="0079588A">
      <w:rPr>
        <w:b/>
        <w:bCs/>
        <w:color w:val="FFFFFF" w:themeColor="background1"/>
      </w:rPr>
      <w:fldChar w:fldCharType="begin"/>
    </w:r>
    <w:r w:rsidRPr="0079588A">
      <w:rPr>
        <w:b/>
        <w:bCs/>
        <w:color w:val="FFFFFF" w:themeColor="background1"/>
      </w:rPr>
      <w:instrText xml:space="preserve"> PAGE   \* MERGEFORMAT </w:instrText>
    </w:r>
    <w:r w:rsidRPr="0079588A">
      <w:rPr>
        <w:b/>
        <w:bCs/>
        <w:color w:val="FFFFFF" w:themeColor="background1"/>
      </w:rPr>
      <w:fldChar w:fldCharType="separate"/>
    </w:r>
    <w:r w:rsidRPr="0079588A">
      <w:rPr>
        <w:b/>
        <w:bCs/>
        <w:noProof/>
        <w:color w:val="FFFFFF" w:themeColor="background1"/>
      </w:rPr>
      <w:t>2</w:t>
    </w:r>
    <w:r w:rsidRPr="0079588A">
      <w:rPr>
        <w:b/>
        <w:bCs/>
        <w:noProof/>
        <w:color w:val="FFFFFF" w:themeColor="background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0235E" w14:textId="5AE1ACDF" w:rsidR="008F6F61" w:rsidRPr="00CB72E9" w:rsidRDefault="008F6F61" w:rsidP="009A6C8A">
    <w:pPr>
      <w:pStyle w:val="Header"/>
      <w:rPr>
        <w:rStyle w:val="PageNumber"/>
        <w:rFonts w:ascii="Microsoft PhagsPa" w:hAnsi="Microsoft PhagsPa"/>
        <w:color w:val="FFFFFF" w:themeColor="background1"/>
      </w:rPr>
    </w:pPr>
    <w:r w:rsidRPr="00CB72E9">
      <w:rPr>
        <w:bCs/>
        <w:noProof/>
        <w:color w:val="FFFFFF" w:themeColor="background1"/>
      </w:rPr>
      <w:drawing>
        <wp:anchor distT="0" distB="0" distL="114300" distR="114300" simplePos="0" relativeHeight="251709440" behindDoc="1" locked="0" layoutInCell="1" allowOverlap="1" wp14:anchorId="79C55545" wp14:editId="5157347F">
          <wp:simplePos x="0" y="0"/>
          <wp:positionH relativeFrom="page">
            <wp:posOffset>-1945005</wp:posOffset>
          </wp:positionH>
          <wp:positionV relativeFrom="paragraph">
            <wp:posOffset>-178064</wp:posOffset>
          </wp:positionV>
          <wp:extent cx="9737576" cy="834252"/>
          <wp:effectExtent l="0" t="0" r="0" b="4445"/>
          <wp:wrapNone/>
          <wp:docPr id="15" name="Picture 1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l-bars-short.png"/>
                  <pic:cNvPicPr/>
                </pic:nvPicPr>
                <pic:blipFill>
                  <a:blip r:embed="rId1">
                    <a:extLst>
                      <a:ext uri="{28A0092B-C50C-407E-A947-70E740481C1C}">
                        <a14:useLocalDpi xmlns:a14="http://schemas.microsoft.com/office/drawing/2010/main" val="0"/>
                      </a:ext>
                    </a:extLst>
                  </a:blip>
                  <a:stretch>
                    <a:fillRect/>
                  </a:stretch>
                </pic:blipFill>
                <pic:spPr>
                  <a:xfrm rot="10800000">
                    <a:off x="0" y="0"/>
                    <a:ext cx="9737576" cy="834252"/>
                  </a:xfrm>
                  <a:prstGeom prst="rect">
                    <a:avLst/>
                  </a:prstGeom>
                </pic:spPr>
              </pic:pic>
            </a:graphicData>
          </a:graphic>
          <wp14:sizeRelH relativeFrom="margin">
            <wp14:pctWidth>0</wp14:pctWidth>
          </wp14:sizeRelH>
          <wp14:sizeRelV relativeFrom="margin">
            <wp14:pctHeight>0</wp14:pctHeight>
          </wp14:sizeRelV>
        </wp:anchor>
      </w:drawing>
    </w:r>
    <w:r w:rsidRPr="00CB72E9">
      <w:rPr>
        <w:color w:val="FFFFFF" w:themeColor="background1"/>
      </w:rPr>
      <w:t>Appendix A</w:t>
    </w:r>
    <w:r w:rsidRPr="00CB72E9">
      <w:rPr>
        <w:color w:val="FFFFFF" w:themeColor="background1"/>
      </w:rPr>
      <w:tab/>
      <w:t>A</w:t>
    </w:r>
    <w:r w:rsidRPr="00CB72E9">
      <w:rPr>
        <w:color w:val="FFFFFF" w:themeColor="background1"/>
      </w:rPr>
      <w:fldChar w:fldCharType="begin"/>
    </w:r>
    <w:r w:rsidRPr="00CB72E9">
      <w:rPr>
        <w:color w:val="FFFFFF" w:themeColor="background1"/>
      </w:rPr>
      <w:instrText xml:space="preserve"> PAGE  \* Arabic  \* MERGEFORMAT </w:instrText>
    </w:r>
    <w:r w:rsidRPr="00CB72E9">
      <w:rPr>
        <w:color w:val="FFFFFF" w:themeColor="background1"/>
      </w:rPr>
      <w:fldChar w:fldCharType="separate"/>
    </w:r>
    <w:r w:rsidRPr="00CB72E9">
      <w:rPr>
        <w:noProof/>
        <w:color w:val="FFFFFF" w:themeColor="background1"/>
      </w:rPr>
      <w:t>3</w:t>
    </w:r>
    <w:r w:rsidRPr="00CB72E9">
      <w:rPr>
        <w:color w:val="FFFFFF" w:themeColor="background1"/>
      </w:rPr>
      <w:fldChar w:fldCharType="end"/>
    </w:r>
    <w:r w:rsidRPr="00CB72E9">
      <w:rPr>
        <w:rStyle w:val="PageNumber"/>
        <w:rFonts w:ascii="Microsoft PhagsPa" w:hAnsi="Microsoft PhagsPa"/>
        <w:color w:val="FFFFFF" w:themeColor="background1"/>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832C5" w14:textId="2406BF75" w:rsidR="008F6F61" w:rsidRPr="00CB72E9" w:rsidRDefault="008F6F61" w:rsidP="009A6C8A">
    <w:pPr>
      <w:pStyle w:val="Header"/>
      <w:rPr>
        <w:rStyle w:val="PageNumber"/>
        <w:rFonts w:ascii="Microsoft PhagsPa" w:hAnsi="Microsoft PhagsPa"/>
        <w:color w:val="FFFFFF" w:themeColor="background1"/>
      </w:rPr>
    </w:pPr>
    <w:r w:rsidRPr="00CB72E9">
      <w:rPr>
        <w:bCs/>
        <w:noProof/>
        <w:color w:val="FFFFFF" w:themeColor="background1"/>
      </w:rPr>
      <w:drawing>
        <wp:anchor distT="0" distB="0" distL="114300" distR="114300" simplePos="0" relativeHeight="251713536" behindDoc="1" locked="0" layoutInCell="1" allowOverlap="1" wp14:anchorId="0DD772B5" wp14:editId="063F5CC2">
          <wp:simplePos x="0" y="0"/>
          <wp:positionH relativeFrom="page">
            <wp:posOffset>-1945005</wp:posOffset>
          </wp:positionH>
          <wp:positionV relativeFrom="paragraph">
            <wp:posOffset>-178699</wp:posOffset>
          </wp:positionV>
          <wp:extent cx="9737576" cy="834252"/>
          <wp:effectExtent l="0" t="0" r="0" b="4445"/>
          <wp:wrapNone/>
          <wp:docPr id="19" name="Picture 19"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l-bars-short.png"/>
                  <pic:cNvPicPr/>
                </pic:nvPicPr>
                <pic:blipFill>
                  <a:blip r:embed="rId1">
                    <a:extLst>
                      <a:ext uri="{28A0092B-C50C-407E-A947-70E740481C1C}">
                        <a14:useLocalDpi xmlns:a14="http://schemas.microsoft.com/office/drawing/2010/main" val="0"/>
                      </a:ext>
                    </a:extLst>
                  </a:blip>
                  <a:stretch>
                    <a:fillRect/>
                  </a:stretch>
                </pic:blipFill>
                <pic:spPr>
                  <a:xfrm rot="10800000">
                    <a:off x="0" y="0"/>
                    <a:ext cx="9737576" cy="834252"/>
                  </a:xfrm>
                  <a:prstGeom prst="rect">
                    <a:avLst/>
                  </a:prstGeom>
                </pic:spPr>
              </pic:pic>
            </a:graphicData>
          </a:graphic>
          <wp14:sizeRelH relativeFrom="margin">
            <wp14:pctWidth>0</wp14:pctWidth>
          </wp14:sizeRelH>
          <wp14:sizeRelV relativeFrom="margin">
            <wp14:pctHeight>0</wp14:pctHeight>
          </wp14:sizeRelV>
        </wp:anchor>
      </w:drawing>
    </w:r>
    <w:r w:rsidRPr="00CB72E9">
      <w:rPr>
        <w:color w:val="FFFFFF" w:themeColor="background1"/>
      </w:rPr>
      <w:t>Appendix B</w:t>
    </w:r>
    <w:r w:rsidRPr="00CB72E9">
      <w:rPr>
        <w:color w:val="FFFFFF" w:themeColor="background1"/>
      </w:rPr>
      <w:tab/>
      <w:t>B</w:t>
    </w:r>
    <w:r w:rsidRPr="00CB72E9">
      <w:rPr>
        <w:color w:val="FFFFFF" w:themeColor="background1"/>
      </w:rPr>
      <w:fldChar w:fldCharType="begin"/>
    </w:r>
    <w:r w:rsidRPr="00CB72E9">
      <w:rPr>
        <w:color w:val="FFFFFF" w:themeColor="background1"/>
      </w:rPr>
      <w:instrText xml:space="preserve"> PAGE  \* Arabic  \* MERGEFORMAT </w:instrText>
    </w:r>
    <w:r w:rsidRPr="00CB72E9">
      <w:rPr>
        <w:color w:val="FFFFFF" w:themeColor="background1"/>
      </w:rPr>
      <w:fldChar w:fldCharType="separate"/>
    </w:r>
    <w:r w:rsidRPr="00CB72E9">
      <w:rPr>
        <w:color w:val="FFFFFF" w:themeColor="background1"/>
      </w:rPr>
      <w:t>11</w:t>
    </w:r>
    <w:r w:rsidRPr="00CB72E9">
      <w:rPr>
        <w:color w:val="FFFFFF" w:themeColor="background1"/>
      </w:rPr>
      <w:fldChar w:fldCharType="end"/>
    </w:r>
    <w:r w:rsidRPr="00CB72E9">
      <w:rPr>
        <w:rStyle w:val="PageNumber"/>
        <w:rFonts w:ascii="Microsoft PhagsPa" w:hAnsi="Microsoft PhagsPa"/>
        <w:color w:val="FFFFFF" w:themeColor="background1"/>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AB128" w14:textId="31EBA43A" w:rsidR="008F6F61" w:rsidRPr="00CB72E9" w:rsidRDefault="008F6F61" w:rsidP="009A6C8A">
    <w:pPr>
      <w:pStyle w:val="Header"/>
      <w:rPr>
        <w:rStyle w:val="PageNumber"/>
        <w:color w:val="FFFFFF" w:themeColor="background1"/>
      </w:rPr>
    </w:pPr>
    <w:r w:rsidRPr="00CB72E9">
      <w:rPr>
        <w:bCs/>
        <w:noProof/>
        <w:color w:val="FFFFFF" w:themeColor="background1"/>
      </w:rPr>
      <w:drawing>
        <wp:anchor distT="0" distB="0" distL="114300" distR="114300" simplePos="0" relativeHeight="251715584" behindDoc="1" locked="0" layoutInCell="1" allowOverlap="1" wp14:anchorId="5E57D157" wp14:editId="00D3F767">
          <wp:simplePos x="0" y="0"/>
          <wp:positionH relativeFrom="page">
            <wp:posOffset>-1945005</wp:posOffset>
          </wp:positionH>
          <wp:positionV relativeFrom="paragraph">
            <wp:posOffset>-178699</wp:posOffset>
          </wp:positionV>
          <wp:extent cx="9737576" cy="834252"/>
          <wp:effectExtent l="0" t="0" r="0" b="4445"/>
          <wp:wrapNone/>
          <wp:docPr id="20" name="Picture 20"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l-bars-short.png"/>
                  <pic:cNvPicPr/>
                </pic:nvPicPr>
                <pic:blipFill>
                  <a:blip r:embed="rId1">
                    <a:extLst>
                      <a:ext uri="{28A0092B-C50C-407E-A947-70E740481C1C}">
                        <a14:useLocalDpi xmlns:a14="http://schemas.microsoft.com/office/drawing/2010/main" val="0"/>
                      </a:ext>
                    </a:extLst>
                  </a:blip>
                  <a:stretch>
                    <a:fillRect/>
                  </a:stretch>
                </pic:blipFill>
                <pic:spPr>
                  <a:xfrm rot="10800000">
                    <a:off x="0" y="0"/>
                    <a:ext cx="9737576" cy="834252"/>
                  </a:xfrm>
                  <a:prstGeom prst="rect">
                    <a:avLst/>
                  </a:prstGeom>
                </pic:spPr>
              </pic:pic>
            </a:graphicData>
          </a:graphic>
          <wp14:sizeRelH relativeFrom="margin">
            <wp14:pctWidth>0</wp14:pctWidth>
          </wp14:sizeRelH>
          <wp14:sizeRelV relativeFrom="margin">
            <wp14:pctHeight>0</wp14:pctHeight>
          </wp14:sizeRelV>
        </wp:anchor>
      </w:drawing>
    </w:r>
    <w:r w:rsidRPr="00CB72E9">
      <w:rPr>
        <w:color w:val="FFFFFF" w:themeColor="background1"/>
      </w:rPr>
      <w:t>Appendix C</w:t>
    </w:r>
    <w:r w:rsidRPr="00CB72E9">
      <w:rPr>
        <w:color w:val="FFFFFF" w:themeColor="background1"/>
      </w:rPr>
      <w:tab/>
      <w:t>C</w:t>
    </w:r>
    <w:r w:rsidRPr="00CB72E9">
      <w:rPr>
        <w:color w:val="FFFFFF" w:themeColor="background1"/>
      </w:rPr>
      <w:fldChar w:fldCharType="begin"/>
    </w:r>
    <w:r w:rsidRPr="00CB72E9">
      <w:rPr>
        <w:color w:val="FFFFFF" w:themeColor="background1"/>
      </w:rPr>
      <w:instrText xml:space="preserve"> PAGE  \* Arabic  \* MERGEFORMAT </w:instrText>
    </w:r>
    <w:r w:rsidRPr="00CB72E9">
      <w:rPr>
        <w:color w:val="FFFFFF" w:themeColor="background1"/>
      </w:rPr>
      <w:fldChar w:fldCharType="separate"/>
    </w:r>
    <w:r w:rsidRPr="00CB72E9">
      <w:rPr>
        <w:color w:val="FFFFFF" w:themeColor="background1"/>
      </w:rPr>
      <w:t>11</w:t>
    </w:r>
    <w:r w:rsidRPr="00CB72E9">
      <w:rPr>
        <w:color w:val="FFFFFF" w:themeColor="background1"/>
      </w:rPr>
      <w:fldChar w:fldCharType="end"/>
    </w:r>
    <w:r w:rsidRPr="00CB72E9">
      <w:rPr>
        <w:rStyle w:val="PageNumber"/>
        <w:rFonts w:ascii="Microsoft PhagsPa" w:hAnsi="Microsoft PhagsPa"/>
        <w:color w:val="FFFFFF" w:themeColor="background1"/>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F52D2" w14:textId="38080BCE" w:rsidR="008F6F61" w:rsidRPr="00CB72E9" w:rsidRDefault="008F6F61" w:rsidP="009A6C8A">
    <w:pPr>
      <w:pStyle w:val="Header"/>
      <w:rPr>
        <w:rStyle w:val="PageNumber"/>
        <w:rFonts w:ascii="Microsoft PhagsPa" w:hAnsi="Microsoft PhagsPa"/>
        <w:color w:val="FFFFFF" w:themeColor="background1"/>
      </w:rPr>
    </w:pPr>
    <w:r w:rsidRPr="00CB72E9">
      <w:rPr>
        <w:rFonts w:ascii="Microsoft PhagsPa" w:hAnsi="Microsoft PhagsPa"/>
        <w:bCs/>
        <w:noProof/>
        <w:color w:val="FFFFFF" w:themeColor="background1"/>
      </w:rPr>
      <w:drawing>
        <wp:anchor distT="0" distB="0" distL="114300" distR="114300" simplePos="0" relativeHeight="251717632" behindDoc="1" locked="0" layoutInCell="1" allowOverlap="1" wp14:anchorId="3E893800" wp14:editId="6B944ADC">
          <wp:simplePos x="0" y="0"/>
          <wp:positionH relativeFrom="page">
            <wp:posOffset>-1945005</wp:posOffset>
          </wp:positionH>
          <wp:positionV relativeFrom="paragraph">
            <wp:posOffset>-178699</wp:posOffset>
          </wp:positionV>
          <wp:extent cx="9737576" cy="834252"/>
          <wp:effectExtent l="0" t="0" r="0" b="4445"/>
          <wp:wrapNone/>
          <wp:docPr id="7" name="Picture 7"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l-bars-short.png"/>
                  <pic:cNvPicPr/>
                </pic:nvPicPr>
                <pic:blipFill>
                  <a:blip r:embed="rId1">
                    <a:extLst>
                      <a:ext uri="{28A0092B-C50C-407E-A947-70E740481C1C}">
                        <a14:useLocalDpi xmlns:a14="http://schemas.microsoft.com/office/drawing/2010/main" val="0"/>
                      </a:ext>
                    </a:extLst>
                  </a:blip>
                  <a:stretch>
                    <a:fillRect/>
                  </a:stretch>
                </pic:blipFill>
                <pic:spPr>
                  <a:xfrm rot="10800000">
                    <a:off x="0" y="0"/>
                    <a:ext cx="9737576" cy="834252"/>
                  </a:xfrm>
                  <a:prstGeom prst="rect">
                    <a:avLst/>
                  </a:prstGeom>
                </pic:spPr>
              </pic:pic>
            </a:graphicData>
          </a:graphic>
          <wp14:sizeRelH relativeFrom="margin">
            <wp14:pctWidth>0</wp14:pctWidth>
          </wp14:sizeRelH>
          <wp14:sizeRelV relativeFrom="margin">
            <wp14:pctHeight>0</wp14:pctHeight>
          </wp14:sizeRelV>
        </wp:anchor>
      </w:drawing>
    </w:r>
    <w:r w:rsidRPr="00CB72E9">
      <w:rPr>
        <w:rFonts w:ascii="Microsoft PhagsPa" w:hAnsi="Microsoft PhagsPa"/>
        <w:color w:val="FFFFFF" w:themeColor="background1"/>
      </w:rPr>
      <w:t>Appendix D</w:t>
    </w:r>
    <w:r w:rsidRPr="00CB72E9">
      <w:rPr>
        <w:rFonts w:ascii="Microsoft PhagsPa" w:hAnsi="Microsoft PhagsPa"/>
        <w:color w:val="FFFFFF" w:themeColor="background1"/>
      </w:rPr>
      <w:tab/>
      <w:t>D</w:t>
    </w:r>
    <w:r w:rsidRPr="00CB72E9">
      <w:rPr>
        <w:rFonts w:ascii="Microsoft PhagsPa" w:hAnsi="Microsoft PhagsPa"/>
        <w:color w:val="FFFFFF" w:themeColor="background1"/>
      </w:rPr>
      <w:fldChar w:fldCharType="begin"/>
    </w:r>
    <w:r w:rsidRPr="00CB72E9">
      <w:rPr>
        <w:rFonts w:ascii="Microsoft PhagsPa" w:hAnsi="Microsoft PhagsPa"/>
        <w:color w:val="FFFFFF" w:themeColor="background1"/>
      </w:rPr>
      <w:instrText xml:space="preserve"> PAGE  \* Arabic  \* MERGEFORMAT </w:instrText>
    </w:r>
    <w:r w:rsidRPr="00CB72E9">
      <w:rPr>
        <w:rFonts w:ascii="Microsoft PhagsPa" w:hAnsi="Microsoft PhagsPa"/>
        <w:color w:val="FFFFFF" w:themeColor="background1"/>
      </w:rPr>
      <w:fldChar w:fldCharType="separate"/>
    </w:r>
    <w:r w:rsidRPr="00CB72E9">
      <w:rPr>
        <w:rFonts w:ascii="Microsoft PhagsPa" w:hAnsi="Microsoft PhagsPa"/>
        <w:color w:val="FFFFFF" w:themeColor="background1"/>
      </w:rPr>
      <w:t>11</w:t>
    </w:r>
    <w:r w:rsidRPr="00CB72E9">
      <w:rPr>
        <w:rFonts w:ascii="Microsoft PhagsPa" w:hAnsi="Microsoft PhagsPa"/>
        <w:color w:val="FFFFFF" w:themeColor="background1"/>
      </w:rPr>
      <w:fldChar w:fldCharType="end"/>
    </w:r>
    <w:r w:rsidRPr="00CB72E9">
      <w:rPr>
        <w:rStyle w:val="PageNumber"/>
        <w:rFonts w:ascii="Microsoft PhagsPa" w:hAnsi="Microsoft PhagsPa"/>
        <w:color w:val="FFFFFF" w:themeColor="background1"/>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A1197" w14:textId="27B9A34C" w:rsidR="008F6F61" w:rsidRPr="00CB72E9" w:rsidRDefault="008F6F61" w:rsidP="009A6C8A">
    <w:pPr>
      <w:rPr>
        <w:b/>
        <w:bCs/>
        <w:color w:val="FFFFFF" w:themeColor="background1"/>
      </w:rPr>
    </w:pPr>
    <w:r w:rsidRPr="00CB72E9">
      <w:rPr>
        <w:rFonts w:ascii="Arial" w:hAnsi="Arial"/>
        <w:b/>
        <w:bCs/>
        <w:noProof/>
        <w:color w:val="FFFFFF" w:themeColor="background1"/>
      </w:rPr>
      <w:drawing>
        <wp:anchor distT="0" distB="0" distL="114300" distR="114300" simplePos="0" relativeHeight="251719680" behindDoc="1" locked="0" layoutInCell="1" allowOverlap="1" wp14:anchorId="2AF75A2C" wp14:editId="1D6ADC5A">
          <wp:simplePos x="0" y="0"/>
          <wp:positionH relativeFrom="page">
            <wp:posOffset>-1945005</wp:posOffset>
          </wp:positionH>
          <wp:positionV relativeFrom="paragraph">
            <wp:posOffset>-160919</wp:posOffset>
          </wp:positionV>
          <wp:extent cx="9737576" cy="834252"/>
          <wp:effectExtent l="0" t="0" r="0" b="4445"/>
          <wp:wrapNone/>
          <wp:docPr id="11" name="Picture 1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l-bars-short.png"/>
                  <pic:cNvPicPr/>
                </pic:nvPicPr>
                <pic:blipFill>
                  <a:blip r:embed="rId1">
                    <a:extLst>
                      <a:ext uri="{28A0092B-C50C-407E-A947-70E740481C1C}">
                        <a14:useLocalDpi xmlns:a14="http://schemas.microsoft.com/office/drawing/2010/main" val="0"/>
                      </a:ext>
                    </a:extLst>
                  </a:blip>
                  <a:stretch>
                    <a:fillRect/>
                  </a:stretch>
                </pic:blipFill>
                <pic:spPr>
                  <a:xfrm rot="10800000">
                    <a:off x="0" y="0"/>
                    <a:ext cx="9737576" cy="834252"/>
                  </a:xfrm>
                  <a:prstGeom prst="rect">
                    <a:avLst/>
                  </a:prstGeom>
                </pic:spPr>
              </pic:pic>
            </a:graphicData>
          </a:graphic>
          <wp14:sizeRelH relativeFrom="margin">
            <wp14:pctWidth>0</wp14:pctWidth>
          </wp14:sizeRelH>
          <wp14:sizeRelV relativeFrom="margin">
            <wp14:pctHeight>0</wp14:pctHeight>
          </wp14:sizeRelV>
        </wp:anchor>
      </w:drawing>
    </w:r>
    <w:r w:rsidRPr="00CB72E9">
      <w:rPr>
        <w:b/>
        <w:bCs/>
        <w:color w:val="FFFFFF" w:themeColor="background1"/>
      </w:rPr>
      <w:t>Appendix E</w:t>
    </w:r>
    <w:r w:rsidRPr="00CB72E9">
      <w:rPr>
        <w:b/>
        <w:bCs/>
        <w:color w:val="FFFFFF" w:themeColor="background1"/>
      </w:rPr>
      <w:tab/>
      <w:t>E</w:t>
    </w:r>
    <w:r w:rsidRPr="00CB72E9">
      <w:rPr>
        <w:b/>
        <w:bCs/>
        <w:color w:val="FFFFFF" w:themeColor="background1"/>
      </w:rPr>
      <w:fldChar w:fldCharType="begin"/>
    </w:r>
    <w:r w:rsidRPr="00CB72E9">
      <w:rPr>
        <w:b/>
        <w:bCs/>
        <w:color w:val="FFFFFF" w:themeColor="background1"/>
      </w:rPr>
      <w:instrText xml:space="preserve"> PAGE  \* Arabic  \* MERGEFORMAT </w:instrText>
    </w:r>
    <w:r w:rsidRPr="00CB72E9">
      <w:rPr>
        <w:b/>
        <w:bCs/>
        <w:color w:val="FFFFFF" w:themeColor="background1"/>
      </w:rPr>
      <w:fldChar w:fldCharType="separate"/>
    </w:r>
    <w:r w:rsidRPr="00CB72E9">
      <w:rPr>
        <w:b/>
        <w:bCs/>
        <w:color w:val="FFFFFF" w:themeColor="background1"/>
      </w:rPr>
      <w:t>11</w:t>
    </w:r>
    <w:r w:rsidRPr="00CB72E9">
      <w:rPr>
        <w:b/>
        <w:bCs/>
        <w:color w:val="FFFFFF" w:themeColor="background1"/>
      </w:rPr>
      <w:fldChar w:fldCharType="end"/>
    </w:r>
    <w:r w:rsidRPr="00CB72E9">
      <w:rPr>
        <w:b/>
        <w:bCs/>
        <w:color w:val="FFFFFF" w:themeColor="background1"/>
      </w:rPr>
      <w:tab/>
    </w:r>
    <w:r>
      <w:rPr>
        <w:b/>
        <w:bCs/>
        <w:color w:val="FFFFFF" w:themeColor="background1"/>
      </w:rPr>
      <w:tab/>
    </w:r>
    <w:r>
      <w:rPr>
        <w:b/>
        <w:bCs/>
        <w:color w:val="FFFFFF" w:themeColor="background1"/>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14E19" w14:textId="77777777" w:rsidR="008F6F61" w:rsidRDefault="008F6F61" w:rsidP="009A6C8A">
      <w:r>
        <w:separator/>
      </w:r>
    </w:p>
    <w:p w14:paraId="7AEE0193" w14:textId="77777777" w:rsidR="008F6F61" w:rsidRDefault="008F6F61" w:rsidP="009A6C8A"/>
    <w:p w14:paraId="17BF6535" w14:textId="77777777" w:rsidR="008F6F61" w:rsidRDefault="008F6F61" w:rsidP="009A6C8A"/>
  </w:footnote>
  <w:footnote w:type="continuationSeparator" w:id="0">
    <w:p w14:paraId="513C2891" w14:textId="77777777" w:rsidR="008F6F61" w:rsidRDefault="008F6F61" w:rsidP="009A6C8A">
      <w:r>
        <w:continuationSeparator/>
      </w:r>
    </w:p>
    <w:p w14:paraId="0BED3625" w14:textId="77777777" w:rsidR="008F6F61" w:rsidRDefault="008F6F61" w:rsidP="009A6C8A"/>
    <w:p w14:paraId="2642D966" w14:textId="77777777" w:rsidR="008F6F61" w:rsidRDefault="008F6F61" w:rsidP="009A6C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2AF8F" w14:textId="77777777" w:rsidR="008F6F61" w:rsidRDefault="008F6F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9AFB7" w14:textId="2153F84B" w:rsidR="008F6F61" w:rsidRPr="009A6C8A" w:rsidRDefault="008F6F61" w:rsidP="009A6C8A">
    <w:pPr>
      <w:pStyle w:val="Header"/>
      <w:rPr>
        <w:color w:val="FFFFFF" w:themeColor="background1"/>
        <w:lang w:eastAsia="ko-KR"/>
      </w:rPr>
    </w:pPr>
    <w:r w:rsidRPr="009A6C8A">
      <w:rPr>
        <w:noProof/>
        <w:color w:val="FFFFFF" w:themeColor="background1"/>
      </w:rPr>
      <w:drawing>
        <wp:anchor distT="0" distB="0" distL="114300" distR="114300" simplePos="0" relativeHeight="251700224" behindDoc="1" locked="0" layoutInCell="1" allowOverlap="1" wp14:anchorId="3AF8E557" wp14:editId="7B07D92D">
          <wp:simplePos x="0" y="0"/>
          <wp:positionH relativeFrom="page">
            <wp:posOffset>-194641</wp:posOffset>
          </wp:positionH>
          <wp:positionV relativeFrom="paragraph">
            <wp:posOffset>-274320</wp:posOffset>
          </wp:positionV>
          <wp:extent cx="7975158" cy="683260"/>
          <wp:effectExtent l="0" t="0" r="6985" b="2540"/>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l-bars-short.png"/>
                  <pic:cNvPicPr/>
                </pic:nvPicPr>
                <pic:blipFill>
                  <a:blip r:embed="rId1">
                    <a:extLst>
                      <a:ext uri="{28A0092B-C50C-407E-A947-70E740481C1C}">
                        <a14:useLocalDpi xmlns:a14="http://schemas.microsoft.com/office/drawing/2010/main" val="0"/>
                      </a:ext>
                    </a:extLst>
                  </a:blip>
                  <a:stretch>
                    <a:fillRect/>
                  </a:stretch>
                </pic:blipFill>
                <pic:spPr>
                  <a:xfrm>
                    <a:off x="0" y="0"/>
                    <a:ext cx="7975158" cy="683260"/>
                  </a:xfrm>
                  <a:prstGeom prst="rect">
                    <a:avLst/>
                  </a:prstGeom>
                </pic:spPr>
              </pic:pic>
            </a:graphicData>
          </a:graphic>
          <wp14:sizeRelH relativeFrom="margin">
            <wp14:pctWidth>0</wp14:pctWidth>
          </wp14:sizeRelH>
          <wp14:sizeRelV relativeFrom="margin">
            <wp14:pctHeight>0</wp14:pctHeight>
          </wp14:sizeRelV>
        </wp:anchor>
      </w:drawing>
    </w:r>
    <w:r w:rsidRPr="009A6C8A">
      <w:rPr>
        <w:color w:val="FFFFFF" w:themeColor="background1"/>
      </w:rPr>
      <w:t>Facilitation Guide</w:t>
    </w:r>
    <w:proofErr w:type="gramStart"/>
    <w:r w:rsidRPr="009A6C8A">
      <w:rPr>
        <w:color w:val="FFFFFF" w:themeColor="background1"/>
      </w:rPr>
      <w:tab/>
      <w:t xml:space="preserve">  Antibiotic</w:t>
    </w:r>
    <w:proofErr w:type="gramEnd"/>
    <w:r>
      <w:rPr>
        <w:color w:val="FFFFFF" w:themeColor="background1"/>
      </w:rPr>
      <w:t>-</w:t>
    </w:r>
    <w:r w:rsidRPr="009A6C8A">
      <w:rPr>
        <w:color w:val="FFFFFF" w:themeColor="background1"/>
      </w:rPr>
      <w:t>Resistant Gonorrhea</w:t>
    </w:r>
    <w:r w:rsidRPr="009A6C8A">
      <w:rPr>
        <w:color w:val="FFFFFF" w:themeColor="background1"/>
        <w:lang w:eastAsia="ko-KR"/>
      </w:rPr>
      <w:t xml:space="preserve"> Tabletop Exercise </w:t>
    </w:r>
  </w:p>
  <w:p w14:paraId="2A08C0A8" w14:textId="77777777" w:rsidR="008F6F61" w:rsidRPr="00596D5B" w:rsidRDefault="008F6F61" w:rsidP="009A6C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4837D" w14:textId="748AC42F" w:rsidR="008F6F61" w:rsidRDefault="008F6F61" w:rsidP="009A6C8A">
    <w:pPr>
      <w:pStyle w:val="Header"/>
    </w:pPr>
    <w:r>
      <w:rPr>
        <w:noProof/>
      </w:rPr>
      <w:drawing>
        <wp:anchor distT="0" distB="0" distL="114300" distR="114300" simplePos="0" relativeHeight="251704320" behindDoc="1" locked="0" layoutInCell="1" allowOverlap="1" wp14:anchorId="0A9540DB" wp14:editId="430941CB">
          <wp:simplePos x="0" y="0"/>
          <wp:positionH relativeFrom="page">
            <wp:align>left</wp:align>
          </wp:positionH>
          <wp:positionV relativeFrom="paragraph">
            <wp:posOffset>-278295</wp:posOffset>
          </wp:positionV>
          <wp:extent cx="7792278" cy="1811020"/>
          <wp:effectExtent l="0" t="0" r="0" b="0"/>
          <wp:wrapNone/>
          <wp:docPr id="3" name="Picture 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al-bars-tall.png"/>
                  <pic:cNvPicPr/>
                </pic:nvPicPr>
                <pic:blipFill>
                  <a:blip r:embed="rId1">
                    <a:extLst>
                      <a:ext uri="{28A0092B-C50C-407E-A947-70E740481C1C}">
                        <a14:useLocalDpi xmlns:a14="http://schemas.microsoft.com/office/drawing/2010/main" val="0"/>
                      </a:ext>
                    </a:extLst>
                  </a:blip>
                  <a:stretch>
                    <a:fillRect/>
                  </a:stretch>
                </pic:blipFill>
                <pic:spPr>
                  <a:xfrm>
                    <a:off x="0" y="0"/>
                    <a:ext cx="7812471" cy="1815713"/>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91EED" w14:textId="75CB01B9" w:rsidR="008F6F61" w:rsidRPr="0079588A" w:rsidRDefault="008F6F61" w:rsidP="009A6C8A">
    <w:pPr>
      <w:pStyle w:val="Header"/>
      <w:rPr>
        <w:color w:val="FFFFFF" w:themeColor="background1"/>
        <w:lang w:eastAsia="ko-KR"/>
      </w:rPr>
    </w:pPr>
    <w:bookmarkStart w:id="86" w:name="_Hlk69985837"/>
    <w:r w:rsidRPr="0079588A">
      <w:rPr>
        <w:noProof/>
        <w:color w:val="FFFFFF" w:themeColor="background1"/>
        <w:lang w:eastAsia="ko-KR"/>
      </w:rPr>
      <w:drawing>
        <wp:anchor distT="0" distB="0" distL="114300" distR="114300" simplePos="0" relativeHeight="251705344" behindDoc="1" locked="0" layoutInCell="1" allowOverlap="1" wp14:anchorId="601DC3B5" wp14:editId="63A27BA9">
          <wp:simplePos x="0" y="0"/>
          <wp:positionH relativeFrom="page">
            <wp:posOffset>-209550</wp:posOffset>
          </wp:positionH>
          <wp:positionV relativeFrom="paragraph">
            <wp:posOffset>-265126</wp:posOffset>
          </wp:positionV>
          <wp:extent cx="7980045" cy="682625"/>
          <wp:effectExtent l="0" t="0" r="1905"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0045" cy="682625"/>
                  </a:xfrm>
                  <a:prstGeom prst="rect">
                    <a:avLst/>
                  </a:prstGeom>
                  <a:noFill/>
                </pic:spPr>
              </pic:pic>
            </a:graphicData>
          </a:graphic>
          <wp14:sizeRelH relativeFrom="page">
            <wp14:pctWidth>0</wp14:pctWidth>
          </wp14:sizeRelH>
          <wp14:sizeRelV relativeFrom="page">
            <wp14:pctHeight>0</wp14:pctHeight>
          </wp14:sizeRelV>
        </wp:anchor>
      </w:drawing>
    </w:r>
    <w:r w:rsidRPr="0079588A" w:rsidDel="00385520">
      <w:rPr>
        <w:color w:val="FFFFFF" w:themeColor="background1"/>
      </w:rPr>
      <w:t xml:space="preserve"> </w:t>
    </w:r>
    <w:r w:rsidRPr="00385520">
      <w:rPr>
        <w:noProof/>
        <w:color w:val="FFFFFF" w:themeColor="background1"/>
        <w:lang w:eastAsia="ko-KR"/>
      </w:rPr>
      <w:t xml:space="preserve">Facilitation </w:t>
    </w:r>
    <w:proofErr w:type="gramStart"/>
    <w:r w:rsidRPr="00385520">
      <w:rPr>
        <w:noProof/>
        <w:color w:val="FFFFFF" w:themeColor="background1"/>
        <w:lang w:eastAsia="ko-KR"/>
      </w:rPr>
      <w:t>Guide</w:t>
    </w:r>
    <w:r w:rsidRPr="00385520">
      <w:rPr>
        <w:color w:val="FFFFFF" w:themeColor="background1"/>
      </w:rPr>
      <w:t xml:space="preserve">  </w:t>
    </w:r>
    <w:r w:rsidRPr="0079588A">
      <w:rPr>
        <w:color w:val="FFFFFF" w:themeColor="background1"/>
      </w:rPr>
      <w:tab/>
    </w:r>
    <w:proofErr w:type="gramEnd"/>
    <w:r w:rsidRPr="0079588A">
      <w:rPr>
        <w:color w:val="FFFFFF" w:themeColor="background1"/>
      </w:rPr>
      <w:t xml:space="preserve">  Antibiotic</w:t>
    </w:r>
    <w:r>
      <w:rPr>
        <w:color w:val="FFFFFF" w:themeColor="background1"/>
      </w:rPr>
      <w:t>-</w:t>
    </w:r>
    <w:r w:rsidRPr="0079588A">
      <w:rPr>
        <w:color w:val="FFFFFF" w:themeColor="background1"/>
      </w:rPr>
      <w:t>Resistant Gonorrhea</w:t>
    </w:r>
    <w:r w:rsidRPr="0079588A">
      <w:rPr>
        <w:color w:val="FFFFFF" w:themeColor="background1"/>
        <w:lang w:eastAsia="ko-KR"/>
      </w:rPr>
      <w:t xml:space="preserve"> Tabletop Exercise </w:t>
    </w:r>
  </w:p>
  <w:bookmarkEnd w:id="86"/>
  <w:p w14:paraId="576F2F80" w14:textId="77777777" w:rsidR="008F6F61" w:rsidRPr="005A309D" w:rsidRDefault="008F6F61" w:rsidP="009A6C8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47A9A" w14:textId="3DC55A32" w:rsidR="008F6F61" w:rsidRPr="00CB72E9" w:rsidRDefault="008F6F61" w:rsidP="009A6C8A">
    <w:pPr>
      <w:rPr>
        <w:b/>
        <w:bCs/>
        <w:color w:val="FFFFFF" w:themeColor="background1"/>
        <w:lang w:eastAsia="ko-KR"/>
      </w:rPr>
    </w:pPr>
    <w:r w:rsidRPr="00CB72E9">
      <w:rPr>
        <w:b/>
        <w:bCs/>
        <w:noProof/>
        <w:color w:val="FFFFFF" w:themeColor="background1"/>
        <w:lang w:eastAsia="ko-KR"/>
      </w:rPr>
      <w:drawing>
        <wp:anchor distT="0" distB="0" distL="114300" distR="114300" simplePos="0" relativeHeight="251711488" behindDoc="1" locked="0" layoutInCell="1" allowOverlap="1" wp14:anchorId="6EA043D4" wp14:editId="15570CB6">
          <wp:simplePos x="0" y="0"/>
          <wp:positionH relativeFrom="page">
            <wp:posOffset>-209550</wp:posOffset>
          </wp:positionH>
          <wp:positionV relativeFrom="paragraph">
            <wp:posOffset>-265126</wp:posOffset>
          </wp:positionV>
          <wp:extent cx="7980045" cy="682625"/>
          <wp:effectExtent l="0" t="0" r="1905"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0045" cy="682625"/>
                  </a:xfrm>
                  <a:prstGeom prst="rect">
                    <a:avLst/>
                  </a:prstGeom>
                  <a:noFill/>
                </pic:spPr>
              </pic:pic>
            </a:graphicData>
          </a:graphic>
          <wp14:sizeRelH relativeFrom="page">
            <wp14:pctWidth>0</wp14:pctWidth>
          </wp14:sizeRelH>
          <wp14:sizeRelV relativeFrom="page">
            <wp14:pctHeight>0</wp14:pctHeight>
          </wp14:sizeRelV>
        </wp:anchor>
      </w:drawing>
    </w:r>
    <w:r>
      <w:rPr>
        <w:b/>
        <w:bCs/>
        <w:noProof/>
        <w:color w:val="FFFFFF" w:themeColor="background1"/>
        <w:lang w:eastAsia="ko-KR"/>
      </w:rPr>
      <w:t xml:space="preserve">Facilitation </w:t>
    </w:r>
    <w:proofErr w:type="gramStart"/>
    <w:r>
      <w:rPr>
        <w:b/>
        <w:bCs/>
        <w:noProof/>
        <w:color w:val="FFFFFF" w:themeColor="background1"/>
        <w:lang w:eastAsia="ko-KR"/>
      </w:rPr>
      <w:t>Guide</w:t>
    </w:r>
    <w:r w:rsidRPr="00CB72E9">
      <w:rPr>
        <w:b/>
        <w:bCs/>
        <w:color w:val="FFFFFF" w:themeColor="background1"/>
      </w:rPr>
      <w:t xml:space="preserve">  </w:t>
    </w:r>
    <w:r w:rsidRPr="00CB72E9">
      <w:rPr>
        <w:b/>
        <w:bCs/>
        <w:color w:val="FFFFFF" w:themeColor="background1"/>
      </w:rPr>
      <w:tab/>
    </w:r>
    <w:proofErr w:type="gramEnd"/>
    <w:r w:rsidRPr="00CB72E9">
      <w:rPr>
        <w:b/>
        <w:bCs/>
        <w:color w:val="FFFFFF" w:themeColor="background1"/>
      </w:rPr>
      <w:t xml:space="preserve">  Antibiotic</w:t>
    </w:r>
    <w:r>
      <w:rPr>
        <w:b/>
        <w:bCs/>
        <w:color w:val="FFFFFF" w:themeColor="background1"/>
      </w:rPr>
      <w:t>-</w:t>
    </w:r>
    <w:r w:rsidRPr="00CB72E9">
      <w:rPr>
        <w:b/>
        <w:bCs/>
        <w:color w:val="FFFFFF" w:themeColor="background1"/>
      </w:rPr>
      <w:t>Resistant Gonorrhea</w:t>
    </w:r>
    <w:r w:rsidRPr="00CB72E9">
      <w:rPr>
        <w:b/>
        <w:bCs/>
        <w:color w:val="FFFFFF" w:themeColor="background1"/>
        <w:lang w:eastAsia="ko-KR"/>
      </w:rPr>
      <w:t xml:space="preserve"> Tabletop Exercise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5A895B0"/>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1" w15:restartNumberingAfterBreak="0">
    <w:nsid w:val="FFFFFF89"/>
    <w:multiLevelType w:val="singleLevel"/>
    <w:tmpl w:val="C2B4F52E"/>
    <w:lvl w:ilvl="0">
      <w:start w:val="1"/>
      <w:numFmt w:val="bullet"/>
      <w:pStyle w:val="ListBullet"/>
      <w:lvlText w:val=""/>
      <w:lvlJc w:val="left"/>
      <w:pPr>
        <w:tabs>
          <w:tab w:val="num" w:pos="720"/>
        </w:tabs>
        <w:ind w:left="720" w:hanging="360"/>
      </w:pPr>
      <w:rPr>
        <w:rFonts w:ascii="Symbol" w:hAnsi="Symbol" w:hint="default"/>
        <w:color w:val="auto"/>
      </w:rPr>
    </w:lvl>
  </w:abstractNum>
  <w:abstractNum w:abstractNumId="2" w15:restartNumberingAfterBreak="0">
    <w:nsid w:val="086C50A3"/>
    <w:multiLevelType w:val="hybridMultilevel"/>
    <w:tmpl w:val="81923B9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5281A"/>
    <w:multiLevelType w:val="hybridMultilevel"/>
    <w:tmpl w:val="50343CA8"/>
    <w:lvl w:ilvl="0" w:tplc="62EC530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34350"/>
    <w:multiLevelType w:val="hybridMultilevel"/>
    <w:tmpl w:val="180E2C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6F5368"/>
    <w:multiLevelType w:val="hybridMultilevel"/>
    <w:tmpl w:val="BC9AD8CC"/>
    <w:lvl w:ilvl="0" w:tplc="843C5BF4">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63E89"/>
    <w:multiLevelType w:val="hybridMultilevel"/>
    <w:tmpl w:val="9FE6D438"/>
    <w:lvl w:ilvl="0" w:tplc="BDD8AAFC">
      <w:start w:val="1"/>
      <w:numFmt w:val="bullet"/>
      <w:lvlText w:val=""/>
      <w:lvlJc w:val="left"/>
      <w:pPr>
        <w:ind w:left="720" w:hanging="360"/>
      </w:pPr>
      <w:rPr>
        <w:rFonts w:ascii="Symbol" w:hAnsi="Symbol" w:hint="default"/>
        <w:color w:val="auto"/>
      </w:rPr>
    </w:lvl>
    <w:lvl w:ilvl="1" w:tplc="B2A2A1BC">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B20FF"/>
    <w:multiLevelType w:val="hybridMultilevel"/>
    <w:tmpl w:val="2B3E32BC"/>
    <w:lvl w:ilvl="0" w:tplc="98B01B1E">
      <w:start w:val="1"/>
      <w:numFmt w:val="decimal"/>
      <w:lvlText w:val="%1."/>
      <w:lvlJc w:val="left"/>
      <w:pPr>
        <w:ind w:left="1080" w:hanging="360"/>
      </w:pPr>
      <w:rPr>
        <w:rFonts w:ascii="Arial" w:hAnsi="Arial" w:cs="Arial" w:hint="default"/>
      </w:rPr>
    </w:lvl>
    <w:lvl w:ilvl="1" w:tplc="D3169B40">
      <w:start w:val="1"/>
      <w:numFmt w:val="lowerLetter"/>
      <w:lvlText w:val="%2."/>
      <w:lvlJc w:val="left"/>
      <w:pPr>
        <w:ind w:left="1800" w:hanging="360"/>
      </w:pPr>
      <w:rPr>
        <w:rFonts w:ascii="Arial"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25707B"/>
    <w:multiLevelType w:val="hybridMultilevel"/>
    <w:tmpl w:val="F858EC30"/>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F4EB4"/>
    <w:multiLevelType w:val="hybridMultilevel"/>
    <w:tmpl w:val="0A582D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4A924AA"/>
    <w:multiLevelType w:val="hybridMultilevel"/>
    <w:tmpl w:val="70D2C200"/>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BC3D82"/>
    <w:multiLevelType w:val="hybridMultilevel"/>
    <w:tmpl w:val="B48A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57093"/>
    <w:multiLevelType w:val="hybridMultilevel"/>
    <w:tmpl w:val="EA08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9F1597"/>
    <w:multiLevelType w:val="hybridMultilevel"/>
    <w:tmpl w:val="D8EEE1BA"/>
    <w:lvl w:ilvl="0" w:tplc="9872BCA4">
      <w:start w:val="1"/>
      <w:numFmt w:val="bullet"/>
      <w:lvlText w:val=""/>
      <w:lvlJc w:val="left"/>
      <w:pPr>
        <w:ind w:left="720" w:hanging="360"/>
      </w:pPr>
      <w:rPr>
        <w:rFonts w:ascii="Symbol" w:hAnsi="Symbol" w:hint="default"/>
        <w:spacing w:val="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578E7"/>
    <w:multiLevelType w:val="hybridMultilevel"/>
    <w:tmpl w:val="C51071BE"/>
    <w:lvl w:ilvl="0" w:tplc="0409000F">
      <w:start w:val="1"/>
      <w:numFmt w:val="decimal"/>
      <w:pStyle w:val="numbers1"/>
      <w:lvlText w:val="%1."/>
      <w:lvlJc w:val="left"/>
      <w:pPr>
        <w:tabs>
          <w:tab w:val="num" w:pos="720"/>
        </w:tabs>
        <w:ind w:left="720" w:hanging="360"/>
      </w:pPr>
      <w:rPr>
        <w:rFonts w:ascii="Times New Roman" w:hAnsi="Times New Roman"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A0D3579"/>
    <w:multiLevelType w:val="hybridMultilevel"/>
    <w:tmpl w:val="5ABA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D16E2C"/>
    <w:multiLevelType w:val="hybridMultilevel"/>
    <w:tmpl w:val="C4EABB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DB17C2"/>
    <w:multiLevelType w:val="hybridMultilevel"/>
    <w:tmpl w:val="230AA522"/>
    <w:lvl w:ilvl="0" w:tplc="9872BCA4">
      <w:start w:val="1"/>
      <w:numFmt w:val="bullet"/>
      <w:lvlText w:val=""/>
      <w:lvlJc w:val="left"/>
      <w:pPr>
        <w:ind w:left="720" w:hanging="360"/>
      </w:pPr>
      <w:rPr>
        <w:rFonts w:ascii="Symbol" w:hAnsi="Symbol" w:hint="default"/>
        <w:spacing w:val="0"/>
        <w:position w:val="0"/>
      </w:rPr>
    </w:lvl>
    <w:lvl w:ilvl="1" w:tplc="04090003" w:tentative="1">
      <w:start w:val="1"/>
      <w:numFmt w:val="bullet"/>
      <w:lvlText w:val="o"/>
      <w:lvlJc w:val="left"/>
      <w:pPr>
        <w:ind w:left="-645" w:hanging="360"/>
      </w:pPr>
      <w:rPr>
        <w:rFonts w:ascii="Courier New" w:hAnsi="Courier New" w:cs="Courier New" w:hint="default"/>
      </w:rPr>
    </w:lvl>
    <w:lvl w:ilvl="2" w:tplc="04090005" w:tentative="1">
      <w:start w:val="1"/>
      <w:numFmt w:val="bullet"/>
      <w:lvlText w:val=""/>
      <w:lvlJc w:val="left"/>
      <w:pPr>
        <w:ind w:left="75" w:hanging="360"/>
      </w:pPr>
      <w:rPr>
        <w:rFonts w:ascii="Wingdings" w:hAnsi="Wingdings" w:hint="default"/>
      </w:rPr>
    </w:lvl>
    <w:lvl w:ilvl="3" w:tplc="04090001" w:tentative="1">
      <w:start w:val="1"/>
      <w:numFmt w:val="bullet"/>
      <w:lvlText w:val=""/>
      <w:lvlJc w:val="left"/>
      <w:pPr>
        <w:ind w:left="795" w:hanging="360"/>
      </w:pPr>
      <w:rPr>
        <w:rFonts w:ascii="Symbol" w:hAnsi="Symbol" w:hint="default"/>
      </w:rPr>
    </w:lvl>
    <w:lvl w:ilvl="4" w:tplc="04090003" w:tentative="1">
      <w:start w:val="1"/>
      <w:numFmt w:val="bullet"/>
      <w:lvlText w:val="o"/>
      <w:lvlJc w:val="left"/>
      <w:pPr>
        <w:ind w:left="1515" w:hanging="360"/>
      </w:pPr>
      <w:rPr>
        <w:rFonts w:ascii="Courier New" w:hAnsi="Courier New" w:cs="Courier New" w:hint="default"/>
      </w:rPr>
    </w:lvl>
    <w:lvl w:ilvl="5" w:tplc="04090005" w:tentative="1">
      <w:start w:val="1"/>
      <w:numFmt w:val="bullet"/>
      <w:lvlText w:val=""/>
      <w:lvlJc w:val="left"/>
      <w:pPr>
        <w:ind w:left="2235" w:hanging="360"/>
      </w:pPr>
      <w:rPr>
        <w:rFonts w:ascii="Wingdings" w:hAnsi="Wingdings" w:hint="default"/>
      </w:rPr>
    </w:lvl>
    <w:lvl w:ilvl="6" w:tplc="04090001" w:tentative="1">
      <w:start w:val="1"/>
      <w:numFmt w:val="bullet"/>
      <w:lvlText w:val=""/>
      <w:lvlJc w:val="left"/>
      <w:pPr>
        <w:ind w:left="2955" w:hanging="360"/>
      </w:pPr>
      <w:rPr>
        <w:rFonts w:ascii="Symbol" w:hAnsi="Symbol" w:hint="default"/>
      </w:rPr>
    </w:lvl>
    <w:lvl w:ilvl="7" w:tplc="04090003" w:tentative="1">
      <w:start w:val="1"/>
      <w:numFmt w:val="bullet"/>
      <w:lvlText w:val="o"/>
      <w:lvlJc w:val="left"/>
      <w:pPr>
        <w:ind w:left="3675" w:hanging="360"/>
      </w:pPr>
      <w:rPr>
        <w:rFonts w:ascii="Courier New" w:hAnsi="Courier New" w:cs="Courier New" w:hint="default"/>
      </w:rPr>
    </w:lvl>
    <w:lvl w:ilvl="8" w:tplc="04090005" w:tentative="1">
      <w:start w:val="1"/>
      <w:numFmt w:val="bullet"/>
      <w:lvlText w:val=""/>
      <w:lvlJc w:val="left"/>
      <w:pPr>
        <w:ind w:left="4395" w:hanging="360"/>
      </w:pPr>
      <w:rPr>
        <w:rFonts w:ascii="Wingdings" w:hAnsi="Wingdings" w:hint="default"/>
      </w:rPr>
    </w:lvl>
  </w:abstractNum>
  <w:abstractNum w:abstractNumId="18" w15:restartNumberingAfterBreak="0">
    <w:nsid w:val="43821381"/>
    <w:multiLevelType w:val="hybridMultilevel"/>
    <w:tmpl w:val="DD70D3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7636D27"/>
    <w:multiLevelType w:val="hybridMultilevel"/>
    <w:tmpl w:val="7C6EFCD6"/>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A6430B2"/>
    <w:multiLevelType w:val="hybridMultilevel"/>
    <w:tmpl w:val="C8B0B3D0"/>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5234E8"/>
    <w:multiLevelType w:val="hybridMultilevel"/>
    <w:tmpl w:val="0F3E2E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F93069"/>
    <w:multiLevelType w:val="hybridMultilevel"/>
    <w:tmpl w:val="C3DEB42E"/>
    <w:lvl w:ilvl="0" w:tplc="C374CF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D0243B3"/>
    <w:multiLevelType w:val="hybridMultilevel"/>
    <w:tmpl w:val="682493E8"/>
    <w:lvl w:ilvl="0" w:tplc="04090001">
      <w:start w:val="1"/>
      <w:numFmt w:val="bullet"/>
      <w:lvlText w:val=""/>
      <w:lvlJc w:val="left"/>
      <w:pPr>
        <w:ind w:left="1080" w:hanging="360"/>
      </w:pPr>
      <w:rPr>
        <w:rFonts w:ascii="Symbol" w:hAnsi="Symbol" w:hint="default"/>
      </w:rPr>
    </w:lvl>
    <w:lvl w:ilvl="1" w:tplc="9558F352">
      <w:numFmt w:val="bullet"/>
      <w:lvlText w:val="•"/>
      <w:lvlJc w:val="left"/>
      <w:pPr>
        <w:ind w:left="2160" w:hanging="720"/>
      </w:pPr>
      <w:rPr>
        <w:rFonts w:ascii="Arial" w:eastAsiaTheme="minorEastAsia"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9B1FFE"/>
    <w:multiLevelType w:val="hybridMultilevel"/>
    <w:tmpl w:val="34FCF130"/>
    <w:lvl w:ilvl="0" w:tplc="0409000F">
      <w:start w:val="1"/>
      <w:numFmt w:val="bullet"/>
      <w:pStyle w:val="Table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C8157C"/>
    <w:multiLevelType w:val="hybridMultilevel"/>
    <w:tmpl w:val="8634D9C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A0439"/>
    <w:multiLevelType w:val="hybridMultilevel"/>
    <w:tmpl w:val="7D7C6B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4DE2EFE"/>
    <w:multiLevelType w:val="hybridMultilevel"/>
    <w:tmpl w:val="F2B242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0"/>
  </w:num>
  <w:num w:numId="4">
    <w:abstractNumId w:val="23"/>
  </w:num>
  <w:num w:numId="5">
    <w:abstractNumId w:val="14"/>
  </w:num>
  <w:num w:numId="6">
    <w:abstractNumId w:val="13"/>
  </w:num>
  <w:num w:numId="7">
    <w:abstractNumId w:val="17"/>
  </w:num>
  <w:num w:numId="8">
    <w:abstractNumId w:val="24"/>
  </w:num>
  <w:num w:numId="9">
    <w:abstractNumId w:val="22"/>
  </w:num>
  <w:num w:numId="10">
    <w:abstractNumId w:val="16"/>
  </w:num>
  <w:num w:numId="11">
    <w:abstractNumId w:val="11"/>
  </w:num>
  <w:num w:numId="12">
    <w:abstractNumId w:val="3"/>
  </w:num>
  <w:num w:numId="13">
    <w:abstractNumId w:val="12"/>
  </w:num>
  <w:num w:numId="14">
    <w:abstractNumId w:val="5"/>
  </w:num>
  <w:num w:numId="15">
    <w:abstractNumId w:val="8"/>
  </w:num>
  <w:num w:numId="16">
    <w:abstractNumId w:val="6"/>
  </w:num>
  <w:num w:numId="17">
    <w:abstractNumId w:val="21"/>
  </w:num>
  <w:num w:numId="18">
    <w:abstractNumId w:val="27"/>
  </w:num>
  <w:num w:numId="19">
    <w:abstractNumId w:val="10"/>
  </w:num>
  <w:num w:numId="20">
    <w:abstractNumId w:val="9"/>
  </w:num>
  <w:num w:numId="21">
    <w:abstractNumId w:val="26"/>
  </w:num>
  <w:num w:numId="22">
    <w:abstractNumId w:val="2"/>
  </w:num>
  <w:num w:numId="23">
    <w:abstractNumId w:val="4"/>
  </w:num>
  <w:num w:numId="24">
    <w:abstractNumId w:val="15"/>
  </w:num>
  <w:num w:numId="25">
    <w:abstractNumId w:val="7"/>
  </w:num>
  <w:num w:numId="26">
    <w:abstractNumId w:val="18"/>
  </w:num>
  <w:num w:numId="27">
    <w:abstractNumId w:val="19"/>
  </w:num>
  <w:num w:numId="28">
    <w:abstractNumId w:val="28"/>
  </w:num>
  <w:num w:numId="29">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8433">
      <o:colormru v:ext="edit" colors="bla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11C"/>
    <w:rsid w:val="00000BF8"/>
    <w:rsid w:val="00002188"/>
    <w:rsid w:val="000028E0"/>
    <w:rsid w:val="000062B1"/>
    <w:rsid w:val="00006F08"/>
    <w:rsid w:val="00007F5D"/>
    <w:rsid w:val="000105D2"/>
    <w:rsid w:val="00010EA2"/>
    <w:rsid w:val="0001117F"/>
    <w:rsid w:val="0001149F"/>
    <w:rsid w:val="0001163F"/>
    <w:rsid w:val="00012ADC"/>
    <w:rsid w:val="00013AA4"/>
    <w:rsid w:val="00014B47"/>
    <w:rsid w:val="00014E51"/>
    <w:rsid w:val="00015883"/>
    <w:rsid w:val="00020310"/>
    <w:rsid w:val="000213D5"/>
    <w:rsid w:val="000214C7"/>
    <w:rsid w:val="00023515"/>
    <w:rsid w:val="00024FFE"/>
    <w:rsid w:val="000253B4"/>
    <w:rsid w:val="000264E8"/>
    <w:rsid w:val="00027BE6"/>
    <w:rsid w:val="00031064"/>
    <w:rsid w:val="000310A4"/>
    <w:rsid w:val="00033A10"/>
    <w:rsid w:val="00034142"/>
    <w:rsid w:val="0003441D"/>
    <w:rsid w:val="000369F5"/>
    <w:rsid w:val="00036CDC"/>
    <w:rsid w:val="00037A04"/>
    <w:rsid w:val="000401B9"/>
    <w:rsid w:val="000411FD"/>
    <w:rsid w:val="00041DCC"/>
    <w:rsid w:val="000432AB"/>
    <w:rsid w:val="00043716"/>
    <w:rsid w:val="00043E2C"/>
    <w:rsid w:val="00044F0F"/>
    <w:rsid w:val="0004571F"/>
    <w:rsid w:val="00045B8D"/>
    <w:rsid w:val="00045DD0"/>
    <w:rsid w:val="00046129"/>
    <w:rsid w:val="000473F1"/>
    <w:rsid w:val="000500F1"/>
    <w:rsid w:val="00050770"/>
    <w:rsid w:val="000527BD"/>
    <w:rsid w:val="00053CF5"/>
    <w:rsid w:val="000545DA"/>
    <w:rsid w:val="00054BB3"/>
    <w:rsid w:val="00056897"/>
    <w:rsid w:val="00056C6A"/>
    <w:rsid w:val="00057318"/>
    <w:rsid w:val="00057453"/>
    <w:rsid w:val="00057C12"/>
    <w:rsid w:val="00060272"/>
    <w:rsid w:val="00061032"/>
    <w:rsid w:val="000619D8"/>
    <w:rsid w:val="0006287B"/>
    <w:rsid w:val="000629EB"/>
    <w:rsid w:val="00062B97"/>
    <w:rsid w:val="000640B3"/>
    <w:rsid w:val="00064A13"/>
    <w:rsid w:val="000655AB"/>
    <w:rsid w:val="000659B6"/>
    <w:rsid w:val="00067DB7"/>
    <w:rsid w:val="000721C7"/>
    <w:rsid w:val="00072DDB"/>
    <w:rsid w:val="00073340"/>
    <w:rsid w:val="00073446"/>
    <w:rsid w:val="0007745E"/>
    <w:rsid w:val="00077961"/>
    <w:rsid w:val="00077FC7"/>
    <w:rsid w:val="00081734"/>
    <w:rsid w:val="000817D0"/>
    <w:rsid w:val="00082198"/>
    <w:rsid w:val="00083319"/>
    <w:rsid w:val="000842AF"/>
    <w:rsid w:val="00084863"/>
    <w:rsid w:val="00085B82"/>
    <w:rsid w:val="00086E9E"/>
    <w:rsid w:val="00087B12"/>
    <w:rsid w:val="00087ED1"/>
    <w:rsid w:val="0009047C"/>
    <w:rsid w:val="00090E2C"/>
    <w:rsid w:val="000911E9"/>
    <w:rsid w:val="00091B76"/>
    <w:rsid w:val="00091E8F"/>
    <w:rsid w:val="00092908"/>
    <w:rsid w:val="0009344F"/>
    <w:rsid w:val="00093ACF"/>
    <w:rsid w:val="000963AD"/>
    <w:rsid w:val="00096590"/>
    <w:rsid w:val="00096F2E"/>
    <w:rsid w:val="000A0074"/>
    <w:rsid w:val="000B0113"/>
    <w:rsid w:val="000B04BC"/>
    <w:rsid w:val="000B07BE"/>
    <w:rsid w:val="000B0EE6"/>
    <w:rsid w:val="000B1629"/>
    <w:rsid w:val="000B2D8E"/>
    <w:rsid w:val="000B432E"/>
    <w:rsid w:val="000B4BBC"/>
    <w:rsid w:val="000B6BA6"/>
    <w:rsid w:val="000C1223"/>
    <w:rsid w:val="000C1399"/>
    <w:rsid w:val="000C3DE3"/>
    <w:rsid w:val="000C5670"/>
    <w:rsid w:val="000C56F0"/>
    <w:rsid w:val="000C6EBA"/>
    <w:rsid w:val="000C6F73"/>
    <w:rsid w:val="000C79A0"/>
    <w:rsid w:val="000D19C1"/>
    <w:rsid w:val="000D2BD1"/>
    <w:rsid w:val="000D3787"/>
    <w:rsid w:val="000D3E62"/>
    <w:rsid w:val="000D4911"/>
    <w:rsid w:val="000D5293"/>
    <w:rsid w:val="000D63B2"/>
    <w:rsid w:val="000D6677"/>
    <w:rsid w:val="000D77A6"/>
    <w:rsid w:val="000D7CC7"/>
    <w:rsid w:val="000E002F"/>
    <w:rsid w:val="000E1748"/>
    <w:rsid w:val="000E1C2E"/>
    <w:rsid w:val="000E31AD"/>
    <w:rsid w:val="000E376F"/>
    <w:rsid w:val="000E4665"/>
    <w:rsid w:val="000E4E31"/>
    <w:rsid w:val="000E5919"/>
    <w:rsid w:val="000E5FF5"/>
    <w:rsid w:val="000E63A8"/>
    <w:rsid w:val="000E65F8"/>
    <w:rsid w:val="000F0806"/>
    <w:rsid w:val="000F2875"/>
    <w:rsid w:val="000F3A3F"/>
    <w:rsid w:val="000F70DA"/>
    <w:rsid w:val="000F76A4"/>
    <w:rsid w:val="000F7D4C"/>
    <w:rsid w:val="0010002E"/>
    <w:rsid w:val="00100627"/>
    <w:rsid w:val="001029A9"/>
    <w:rsid w:val="001031A9"/>
    <w:rsid w:val="00104067"/>
    <w:rsid w:val="00105A18"/>
    <w:rsid w:val="00105FC6"/>
    <w:rsid w:val="00106298"/>
    <w:rsid w:val="00106511"/>
    <w:rsid w:val="00106A2D"/>
    <w:rsid w:val="00107142"/>
    <w:rsid w:val="0010732D"/>
    <w:rsid w:val="00107692"/>
    <w:rsid w:val="00110180"/>
    <w:rsid w:val="0011098A"/>
    <w:rsid w:val="00110EDF"/>
    <w:rsid w:val="0011126C"/>
    <w:rsid w:val="001112F9"/>
    <w:rsid w:val="00111A6F"/>
    <w:rsid w:val="00111DCC"/>
    <w:rsid w:val="0011240D"/>
    <w:rsid w:val="001124BD"/>
    <w:rsid w:val="0011265B"/>
    <w:rsid w:val="001129A6"/>
    <w:rsid w:val="00112B0D"/>
    <w:rsid w:val="00112FC3"/>
    <w:rsid w:val="00114B16"/>
    <w:rsid w:val="00114C15"/>
    <w:rsid w:val="00116985"/>
    <w:rsid w:val="00117170"/>
    <w:rsid w:val="001235A4"/>
    <w:rsid w:val="001237BC"/>
    <w:rsid w:val="00123CC3"/>
    <w:rsid w:val="001255A7"/>
    <w:rsid w:val="0012670D"/>
    <w:rsid w:val="00127C4D"/>
    <w:rsid w:val="001302CF"/>
    <w:rsid w:val="001309EE"/>
    <w:rsid w:val="00130DCC"/>
    <w:rsid w:val="00130DCF"/>
    <w:rsid w:val="00132DD4"/>
    <w:rsid w:val="00133C5B"/>
    <w:rsid w:val="001340A1"/>
    <w:rsid w:val="00134278"/>
    <w:rsid w:val="00134488"/>
    <w:rsid w:val="00135223"/>
    <w:rsid w:val="00135923"/>
    <w:rsid w:val="00136FB9"/>
    <w:rsid w:val="001426A9"/>
    <w:rsid w:val="00145583"/>
    <w:rsid w:val="00145DEA"/>
    <w:rsid w:val="00146DDF"/>
    <w:rsid w:val="0014794A"/>
    <w:rsid w:val="0015002F"/>
    <w:rsid w:val="00150C2F"/>
    <w:rsid w:val="001513DE"/>
    <w:rsid w:val="00151485"/>
    <w:rsid w:val="00152B67"/>
    <w:rsid w:val="0015465D"/>
    <w:rsid w:val="001551B8"/>
    <w:rsid w:val="001559BC"/>
    <w:rsid w:val="001559CD"/>
    <w:rsid w:val="00156288"/>
    <w:rsid w:val="00156955"/>
    <w:rsid w:val="00156EE3"/>
    <w:rsid w:val="0016103F"/>
    <w:rsid w:val="00162F65"/>
    <w:rsid w:val="001646E1"/>
    <w:rsid w:val="00165205"/>
    <w:rsid w:val="00165AD8"/>
    <w:rsid w:val="001662D9"/>
    <w:rsid w:val="0017074B"/>
    <w:rsid w:val="00171DBB"/>
    <w:rsid w:val="00173397"/>
    <w:rsid w:val="00175C14"/>
    <w:rsid w:val="00175EF4"/>
    <w:rsid w:val="00177803"/>
    <w:rsid w:val="001807DD"/>
    <w:rsid w:val="001810B6"/>
    <w:rsid w:val="00184192"/>
    <w:rsid w:val="00185677"/>
    <w:rsid w:val="00185829"/>
    <w:rsid w:val="00186367"/>
    <w:rsid w:val="00186696"/>
    <w:rsid w:val="00186702"/>
    <w:rsid w:val="00187371"/>
    <w:rsid w:val="00187A7B"/>
    <w:rsid w:val="00187C4C"/>
    <w:rsid w:val="00190CC0"/>
    <w:rsid w:val="00191CEA"/>
    <w:rsid w:val="00193503"/>
    <w:rsid w:val="001936E4"/>
    <w:rsid w:val="0019553D"/>
    <w:rsid w:val="00195F98"/>
    <w:rsid w:val="00196152"/>
    <w:rsid w:val="00196376"/>
    <w:rsid w:val="00197BB8"/>
    <w:rsid w:val="00197DC5"/>
    <w:rsid w:val="001A08AE"/>
    <w:rsid w:val="001A1149"/>
    <w:rsid w:val="001A2397"/>
    <w:rsid w:val="001A39A3"/>
    <w:rsid w:val="001A4FF7"/>
    <w:rsid w:val="001A5898"/>
    <w:rsid w:val="001A6813"/>
    <w:rsid w:val="001A6C85"/>
    <w:rsid w:val="001B19D2"/>
    <w:rsid w:val="001B1C47"/>
    <w:rsid w:val="001B402E"/>
    <w:rsid w:val="001B4FCF"/>
    <w:rsid w:val="001B5764"/>
    <w:rsid w:val="001B68F1"/>
    <w:rsid w:val="001B6B81"/>
    <w:rsid w:val="001B76FB"/>
    <w:rsid w:val="001B7C8B"/>
    <w:rsid w:val="001B7E51"/>
    <w:rsid w:val="001C1EAB"/>
    <w:rsid w:val="001C2B3D"/>
    <w:rsid w:val="001C2F92"/>
    <w:rsid w:val="001C556E"/>
    <w:rsid w:val="001C5858"/>
    <w:rsid w:val="001C597F"/>
    <w:rsid w:val="001C7303"/>
    <w:rsid w:val="001C7B7F"/>
    <w:rsid w:val="001D0493"/>
    <w:rsid w:val="001D13B9"/>
    <w:rsid w:val="001D14EF"/>
    <w:rsid w:val="001D39C1"/>
    <w:rsid w:val="001D53F0"/>
    <w:rsid w:val="001D5EFC"/>
    <w:rsid w:val="001D6125"/>
    <w:rsid w:val="001D6A8C"/>
    <w:rsid w:val="001D7611"/>
    <w:rsid w:val="001D78E2"/>
    <w:rsid w:val="001E00EF"/>
    <w:rsid w:val="001E21CA"/>
    <w:rsid w:val="001E46B8"/>
    <w:rsid w:val="001E5A1A"/>
    <w:rsid w:val="001E6160"/>
    <w:rsid w:val="001F00B4"/>
    <w:rsid w:val="001F1ABB"/>
    <w:rsid w:val="001F4C8E"/>
    <w:rsid w:val="001F4D74"/>
    <w:rsid w:val="001F5339"/>
    <w:rsid w:val="001F6C04"/>
    <w:rsid w:val="001F6E05"/>
    <w:rsid w:val="001F7106"/>
    <w:rsid w:val="002008C3"/>
    <w:rsid w:val="00201293"/>
    <w:rsid w:val="002015F2"/>
    <w:rsid w:val="00202C5D"/>
    <w:rsid w:val="0020347E"/>
    <w:rsid w:val="00204EFA"/>
    <w:rsid w:val="00205741"/>
    <w:rsid w:val="00205CE9"/>
    <w:rsid w:val="00205DA9"/>
    <w:rsid w:val="00207669"/>
    <w:rsid w:val="00210083"/>
    <w:rsid w:val="0021008D"/>
    <w:rsid w:val="00210101"/>
    <w:rsid w:val="00210BC8"/>
    <w:rsid w:val="00211C51"/>
    <w:rsid w:val="00212441"/>
    <w:rsid w:val="002146F2"/>
    <w:rsid w:val="00216528"/>
    <w:rsid w:val="00217571"/>
    <w:rsid w:val="00220FC0"/>
    <w:rsid w:val="00222AF7"/>
    <w:rsid w:val="00222C0F"/>
    <w:rsid w:val="00223C94"/>
    <w:rsid w:val="002249BD"/>
    <w:rsid w:val="00224FCD"/>
    <w:rsid w:val="00225155"/>
    <w:rsid w:val="00227097"/>
    <w:rsid w:val="00230686"/>
    <w:rsid w:val="0023070E"/>
    <w:rsid w:val="00230AA1"/>
    <w:rsid w:val="0023112A"/>
    <w:rsid w:val="00232004"/>
    <w:rsid w:val="002323C4"/>
    <w:rsid w:val="00232483"/>
    <w:rsid w:val="00232BDD"/>
    <w:rsid w:val="00233AB6"/>
    <w:rsid w:val="00237634"/>
    <w:rsid w:val="002379F1"/>
    <w:rsid w:val="00237A7C"/>
    <w:rsid w:val="00237BF2"/>
    <w:rsid w:val="00237C6D"/>
    <w:rsid w:val="00240522"/>
    <w:rsid w:val="0024085B"/>
    <w:rsid w:val="00240FED"/>
    <w:rsid w:val="002416B4"/>
    <w:rsid w:val="002416EB"/>
    <w:rsid w:val="00243C2A"/>
    <w:rsid w:val="00244D9A"/>
    <w:rsid w:val="00245484"/>
    <w:rsid w:val="00247ADB"/>
    <w:rsid w:val="00247C8B"/>
    <w:rsid w:val="00250D65"/>
    <w:rsid w:val="002512B2"/>
    <w:rsid w:val="002530FA"/>
    <w:rsid w:val="00253EFD"/>
    <w:rsid w:val="00254B78"/>
    <w:rsid w:val="00254B7E"/>
    <w:rsid w:val="002568C9"/>
    <w:rsid w:val="00256A81"/>
    <w:rsid w:val="00256E5B"/>
    <w:rsid w:val="0025754D"/>
    <w:rsid w:val="00257DB5"/>
    <w:rsid w:val="00261862"/>
    <w:rsid w:val="00261CA9"/>
    <w:rsid w:val="00262303"/>
    <w:rsid w:val="00262451"/>
    <w:rsid w:val="00262714"/>
    <w:rsid w:val="00262FAA"/>
    <w:rsid w:val="00264F3D"/>
    <w:rsid w:val="00265983"/>
    <w:rsid w:val="00266929"/>
    <w:rsid w:val="00266EE9"/>
    <w:rsid w:val="002677F5"/>
    <w:rsid w:val="00270C10"/>
    <w:rsid w:val="00271BB5"/>
    <w:rsid w:val="002734B5"/>
    <w:rsid w:val="00273BC7"/>
    <w:rsid w:val="00275192"/>
    <w:rsid w:val="00275372"/>
    <w:rsid w:val="00280A9A"/>
    <w:rsid w:val="00282F90"/>
    <w:rsid w:val="002835F5"/>
    <w:rsid w:val="00283AF3"/>
    <w:rsid w:val="002846D2"/>
    <w:rsid w:val="0028555A"/>
    <w:rsid w:val="002870AB"/>
    <w:rsid w:val="00287B0F"/>
    <w:rsid w:val="00290D44"/>
    <w:rsid w:val="00291630"/>
    <w:rsid w:val="00291AD2"/>
    <w:rsid w:val="00292AC7"/>
    <w:rsid w:val="0029307D"/>
    <w:rsid w:val="00293787"/>
    <w:rsid w:val="0029416A"/>
    <w:rsid w:val="002955ED"/>
    <w:rsid w:val="00295864"/>
    <w:rsid w:val="00296527"/>
    <w:rsid w:val="00297768"/>
    <w:rsid w:val="002A106C"/>
    <w:rsid w:val="002A2676"/>
    <w:rsid w:val="002A7ED0"/>
    <w:rsid w:val="002A7F3F"/>
    <w:rsid w:val="002B03EE"/>
    <w:rsid w:val="002B0C4F"/>
    <w:rsid w:val="002B2949"/>
    <w:rsid w:val="002B3881"/>
    <w:rsid w:val="002B49A4"/>
    <w:rsid w:val="002B4D6B"/>
    <w:rsid w:val="002B5296"/>
    <w:rsid w:val="002B5569"/>
    <w:rsid w:val="002B570C"/>
    <w:rsid w:val="002B5893"/>
    <w:rsid w:val="002B7089"/>
    <w:rsid w:val="002B7104"/>
    <w:rsid w:val="002B77EB"/>
    <w:rsid w:val="002B7E79"/>
    <w:rsid w:val="002C0191"/>
    <w:rsid w:val="002C2592"/>
    <w:rsid w:val="002C2D62"/>
    <w:rsid w:val="002C30FA"/>
    <w:rsid w:val="002C443B"/>
    <w:rsid w:val="002C7BA8"/>
    <w:rsid w:val="002D17B4"/>
    <w:rsid w:val="002D1B8D"/>
    <w:rsid w:val="002D5990"/>
    <w:rsid w:val="002D5C62"/>
    <w:rsid w:val="002D773F"/>
    <w:rsid w:val="002E0C4C"/>
    <w:rsid w:val="002E0E34"/>
    <w:rsid w:val="002E1D5A"/>
    <w:rsid w:val="002E2331"/>
    <w:rsid w:val="002E3FAB"/>
    <w:rsid w:val="002E4AEE"/>
    <w:rsid w:val="002E5244"/>
    <w:rsid w:val="002F011F"/>
    <w:rsid w:val="002F0271"/>
    <w:rsid w:val="002F02C5"/>
    <w:rsid w:val="002F07BB"/>
    <w:rsid w:val="002F0E2D"/>
    <w:rsid w:val="002F10DE"/>
    <w:rsid w:val="002F1413"/>
    <w:rsid w:val="002F2440"/>
    <w:rsid w:val="002F252D"/>
    <w:rsid w:val="002F2789"/>
    <w:rsid w:val="002F3847"/>
    <w:rsid w:val="002F46E7"/>
    <w:rsid w:val="002F472B"/>
    <w:rsid w:val="002F58B3"/>
    <w:rsid w:val="002F61E3"/>
    <w:rsid w:val="002F744C"/>
    <w:rsid w:val="0030039C"/>
    <w:rsid w:val="00300427"/>
    <w:rsid w:val="003024F7"/>
    <w:rsid w:val="00304B69"/>
    <w:rsid w:val="00305088"/>
    <w:rsid w:val="003053CC"/>
    <w:rsid w:val="00305D5F"/>
    <w:rsid w:val="00305FB6"/>
    <w:rsid w:val="00306384"/>
    <w:rsid w:val="00306AB1"/>
    <w:rsid w:val="00306C72"/>
    <w:rsid w:val="00306E3C"/>
    <w:rsid w:val="003100D7"/>
    <w:rsid w:val="0031071C"/>
    <w:rsid w:val="0031252D"/>
    <w:rsid w:val="00312653"/>
    <w:rsid w:val="00312BA2"/>
    <w:rsid w:val="0031302E"/>
    <w:rsid w:val="0031567F"/>
    <w:rsid w:val="0031592F"/>
    <w:rsid w:val="003162DF"/>
    <w:rsid w:val="003174C5"/>
    <w:rsid w:val="003269EF"/>
    <w:rsid w:val="00327673"/>
    <w:rsid w:val="00327FD1"/>
    <w:rsid w:val="0033265F"/>
    <w:rsid w:val="00333584"/>
    <w:rsid w:val="00335529"/>
    <w:rsid w:val="003359ED"/>
    <w:rsid w:val="00336A0E"/>
    <w:rsid w:val="00336D0A"/>
    <w:rsid w:val="00340773"/>
    <w:rsid w:val="00340E44"/>
    <w:rsid w:val="00341F3C"/>
    <w:rsid w:val="00342EE2"/>
    <w:rsid w:val="00343517"/>
    <w:rsid w:val="00345A66"/>
    <w:rsid w:val="00345FBF"/>
    <w:rsid w:val="003462BF"/>
    <w:rsid w:val="00346C30"/>
    <w:rsid w:val="00346E0A"/>
    <w:rsid w:val="00347080"/>
    <w:rsid w:val="00347731"/>
    <w:rsid w:val="00347B57"/>
    <w:rsid w:val="00347D26"/>
    <w:rsid w:val="00347E8D"/>
    <w:rsid w:val="00350998"/>
    <w:rsid w:val="00351571"/>
    <w:rsid w:val="00351655"/>
    <w:rsid w:val="00353504"/>
    <w:rsid w:val="003552E1"/>
    <w:rsid w:val="00356670"/>
    <w:rsid w:val="00361184"/>
    <w:rsid w:val="00364374"/>
    <w:rsid w:val="0036550D"/>
    <w:rsid w:val="00365765"/>
    <w:rsid w:val="00365A73"/>
    <w:rsid w:val="00365EE6"/>
    <w:rsid w:val="003664B7"/>
    <w:rsid w:val="00367F7D"/>
    <w:rsid w:val="00367FD4"/>
    <w:rsid w:val="00370E24"/>
    <w:rsid w:val="00370FA7"/>
    <w:rsid w:val="00372468"/>
    <w:rsid w:val="00372AAC"/>
    <w:rsid w:val="00373645"/>
    <w:rsid w:val="00373C11"/>
    <w:rsid w:val="0037488B"/>
    <w:rsid w:val="00374D0F"/>
    <w:rsid w:val="00375768"/>
    <w:rsid w:val="00375E2D"/>
    <w:rsid w:val="00376C47"/>
    <w:rsid w:val="00377EA6"/>
    <w:rsid w:val="00380782"/>
    <w:rsid w:val="00381F3E"/>
    <w:rsid w:val="003850AA"/>
    <w:rsid w:val="00385520"/>
    <w:rsid w:val="003872F7"/>
    <w:rsid w:val="003873CB"/>
    <w:rsid w:val="00387C69"/>
    <w:rsid w:val="00390779"/>
    <w:rsid w:val="00390DF0"/>
    <w:rsid w:val="0039186F"/>
    <w:rsid w:val="00391E9B"/>
    <w:rsid w:val="00392554"/>
    <w:rsid w:val="00393185"/>
    <w:rsid w:val="003945F4"/>
    <w:rsid w:val="003A0B67"/>
    <w:rsid w:val="003A0CBE"/>
    <w:rsid w:val="003A247C"/>
    <w:rsid w:val="003A3920"/>
    <w:rsid w:val="003A3DCA"/>
    <w:rsid w:val="003A4139"/>
    <w:rsid w:val="003A4DDF"/>
    <w:rsid w:val="003A53F5"/>
    <w:rsid w:val="003A582C"/>
    <w:rsid w:val="003A72E9"/>
    <w:rsid w:val="003A7D05"/>
    <w:rsid w:val="003B0B7A"/>
    <w:rsid w:val="003B1F0D"/>
    <w:rsid w:val="003B3A66"/>
    <w:rsid w:val="003B3A7F"/>
    <w:rsid w:val="003B4D14"/>
    <w:rsid w:val="003B550A"/>
    <w:rsid w:val="003B6222"/>
    <w:rsid w:val="003B699D"/>
    <w:rsid w:val="003B7545"/>
    <w:rsid w:val="003B7778"/>
    <w:rsid w:val="003C0ED9"/>
    <w:rsid w:val="003C1425"/>
    <w:rsid w:val="003C16AB"/>
    <w:rsid w:val="003C1CF7"/>
    <w:rsid w:val="003C201A"/>
    <w:rsid w:val="003C26AB"/>
    <w:rsid w:val="003C3F4D"/>
    <w:rsid w:val="003C45A2"/>
    <w:rsid w:val="003C4E8A"/>
    <w:rsid w:val="003C4FA2"/>
    <w:rsid w:val="003C56CE"/>
    <w:rsid w:val="003D1106"/>
    <w:rsid w:val="003D3206"/>
    <w:rsid w:val="003D4EB5"/>
    <w:rsid w:val="003D5527"/>
    <w:rsid w:val="003D6C3F"/>
    <w:rsid w:val="003E01C0"/>
    <w:rsid w:val="003E0360"/>
    <w:rsid w:val="003E1732"/>
    <w:rsid w:val="003E1791"/>
    <w:rsid w:val="003E19E6"/>
    <w:rsid w:val="003E243E"/>
    <w:rsid w:val="003E36A3"/>
    <w:rsid w:val="003E3F28"/>
    <w:rsid w:val="003E524C"/>
    <w:rsid w:val="003E55AB"/>
    <w:rsid w:val="003E5ADF"/>
    <w:rsid w:val="003F00B1"/>
    <w:rsid w:val="003F1806"/>
    <w:rsid w:val="003F1BC6"/>
    <w:rsid w:val="003F24F8"/>
    <w:rsid w:val="003F394B"/>
    <w:rsid w:val="003F4122"/>
    <w:rsid w:val="003F52DC"/>
    <w:rsid w:val="003F5F6E"/>
    <w:rsid w:val="003F66D7"/>
    <w:rsid w:val="003F6B28"/>
    <w:rsid w:val="003F74A3"/>
    <w:rsid w:val="003F757A"/>
    <w:rsid w:val="003F75D4"/>
    <w:rsid w:val="00401286"/>
    <w:rsid w:val="00407D26"/>
    <w:rsid w:val="00410665"/>
    <w:rsid w:val="004112F9"/>
    <w:rsid w:val="00414049"/>
    <w:rsid w:val="004141D2"/>
    <w:rsid w:val="00415746"/>
    <w:rsid w:val="00416CA9"/>
    <w:rsid w:val="004176C2"/>
    <w:rsid w:val="00417BF9"/>
    <w:rsid w:val="004250E2"/>
    <w:rsid w:val="0042607C"/>
    <w:rsid w:val="00426272"/>
    <w:rsid w:val="004264CD"/>
    <w:rsid w:val="00427803"/>
    <w:rsid w:val="004279F0"/>
    <w:rsid w:val="00427A17"/>
    <w:rsid w:val="00431A14"/>
    <w:rsid w:val="00432D23"/>
    <w:rsid w:val="00433DC7"/>
    <w:rsid w:val="00434860"/>
    <w:rsid w:val="004356CF"/>
    <w:rsid w:val="00436B3D"/>
    <w:rsid w:val="004376C7"/>
    <w:rsid w:val="00437935"/>
    <w:rsid w:val="00437E37"/>
    <w:rsid w:val="00440808"/>
    <w:rsid w:val="00440F1D"/>
    <w:rsid w:val="004424E5"/>
    <w:rsid w:val="004425F2"/>
    <w:rsid w:val="004439DE"/>
    <w:rsid w:val="00443F74"/>
    <w:rsid w:val="00444CC9"/>
    <w:rsid w:val="00445147"/>
    <w:rsid w:val="0045026E"/>
    <w:rsid w:val="00450F71"/>
    <w:rsid w:val="00451754"/>
    <w:rsid w:val="004517A2"/>
    <w:rsid w:val="00451FA7"/>
    <w:rsid w:val="004567CC"/>
    <w:rsid w:val="00457759"/>
    <w:rsid w:val="00457BA9"/>
    <w:rsid w:val="00457E9C"/>
    <w:rsid w:val="0046042C"/>
    <w:rsid w:val="0046116E"/>
    <w:rsid w:val="00461742"/>
    <w:rsid w:val="00461BA5"/>
    <w:rsid w:val="004623E1"/>
    <w:rsid w:val="00467125"/>
    <w:rsid w:val="004672EC"/>
    <w:rsid w:val="00467423"/>
    <w:rsid w:val="004677BF"/>
    <w:rsid w:val="00471F84"/>
    <w:rsid w:val="00472006"/>
    <w:rsid w:val="00472A6D"/>
    <w:rsid w:val="00473B56"/>
    <w:rsid w:val="00474746"/>
    <w:rsid w:val="004757B6"/>
    <w:rsid w:val="00475927"/>
    <w:rsid w:val="0047599F"/>
    <w:rsid w:val="00477C38"/>
    <w:rsid w:val="00480707"/>
    <w:rsid w:val="004819F1"/>
    <w:rsid w:val="0048285C"/>
    <w:rsid w:val="00482B21"/>
    <w:rsid w:val="004836CB"/>
    <w:rsid w:val="004836E1"/>
    <w:rsid w:val="004836F1"/>
    <w:rsid w:val="00483E12"/>
    <w:rsid w:val="0048401C"/>
    <w:rsid w:val="00484DAA"/>
    <w:rsid w:val="00485374"/>
    <w:rsid w:val="004853B0"/>
    <w:rsid w:val="004869BE"/>
    <w:rsid w:val="004874BF"/>
    <w:rsid w:val="00487D02"/>
    <w:rsid w:val="00487F3B"/>
    <w:rsid w:val="00490821"/>
    <w:rsid w:val="004914A0"/>
    <w:rsid w:val="00491C39"/>
    <w:rsid w:val="00491C6B"/>
    <w:rsid w:val="00492610"/>
    <w:rsid w:val="0049264E"/>
    <w:rsid w:val="00492DE5"/>
    <w:rsid w:val="00493540"/>
    <w:rsid w:val="00494275"/>
    <w:rsid w:val="004942B9"/>
    <w:rsid w:val="00494B4F"/>
    <w:rsid w:val="004961B8"/>
    <w:rsid w:val="0049664E"/>
    <w:rsid w:val="0049712B"/>
    <w:rsid w:val="004A1947"/>
    <w:rsid w:val="004A2448"/>
    <w:rsid w:val="004A3A40"/>
    <w:rsid w:val="004A43D8"/>
    <w:rsid w:val="004A4ED4"/>
    <w:rsid w:val="004A68CC"/>
    <w:rsid w:val="004A72E5"/>
    <w:rsid w:val="004A7BA1"/>
    <w:rsid w:val="004B04C1"/>
    <w:rsid w:val="004B07D2"/>
    <w:rsid w:val="004B18CA"/>
    <w:rsid w:val="004B1916"/>
    <w:rsid w:val="004B261C"/>
    <w:rsid w:val="004B34BE"/>
    <w:rsid w:val="004B35AD"/>
    <w:rsid w:val="004B377A"/>
    <w:rsid w:val="004B3A67"/>
    <w:rsid w:val="004B408A"/>
    <w:rsid w:val="004B48C8"/>
    <w:rsid w:val="004B609B"/>
    <w:rsid w:val="004B739E"/>
    <w:rsid w:val="004B7B05"/>
    <w:rsid w:val="004C2A97"/>
    <w:rsid w:val="004C2FEC"/>
    <w:rsid w:val="004C4A05"/>
    <w:rsid w:val="004C59DA"/>
    <w:rsid w:val="004C5ED0"/>
    <w:rsid w:val="004C5F1A"/>
    <w:rsid w:val="004C63BC"/>
    <w:rsid w:val="004C73C9"/>
    <w:rsid w:val="004C7F2F"/>
    <w:rsid w:val="004D0416"/>
    <w:rsid w:val="004D07E4"/>
    <w:rsid w:val="004D0AE0"/>
    <w:rsid w:val="004D0B0A"/>
    <w:rsid w:val="004D15A6"/>
    <w:rsid w:val="004D18DD"/>
    <w:rsid w:val="004D1AC4"/>
    <w:rsid w:val="004D3399"/>
    <w:rsid w:val="004D3853"/>
    <w:rsid w:val="004D38CF"/>
    <w:rsid w:val="004D4E41"/>
    <w:rsid w:val="004D5B47"/>
    <w:rsid w:val="004D765E"/>
    <w:rsid w:val="004E09AA"/>
    <w:rsid w:val="004E09F5"/>
    <w:rsid w:val="004E0D72"/>
    <w:rsid w:val="004E0FA0"/>
    <w:rsid w:val="004E2386"/>
    <w:rsid w:val="004E2A9D"/>
    <w:rsid w:val="004E3C6B"/>
    <w:rsid w:val="004E47A4"/>
    <w:rsid w:val="004E4A22"/>
    <w:rsid w:val="004E4ADD"/>
    <w:rsid w:val="004E4F9E"/>
    <w:rsid w:val="004E55C6"/>
    <w:rsid w:val="004E793B"/>
    <w:rsid w:val="004E7973"/>
    <w:rsid w:val="004F2F0C"/>
    <w:rsid w:val="004F4839"/>
    <w:rsid w:val="004F5C80"/>
    <w:rsid w:val="004F608B"/>
    <w:rsid w:val="004F6FC8"/>
    <w:rsid w:val="0050053E"/>
    <w:rsid w:val="00500873"/>
    <w:rsid w:val="0050207F"/>
    <w:rsid w:val="005034C6"/>
    <w:rsid w:val="00503601"/>
    <w:rsid w:val="00503BCF"/>
    <w:rsid w:val="00503DCB"/>
    <w:rsid w:val="00504423"/>
    <w:rsid w:val="00504EE8"/>
    <w:rsid w:val="00506C59"/>
    <w:rsid w:val="005108F7"/>
    <w:rsid w:val="00510CF6"/>
    <w:rsid w:val="00511683"/>
    <w:rsid w:val="00511CC7"/>
    <w:rsid w:val="005126BC"/>
    <w:rsid w:val="00512E4D"/>
    <w:rsid w:val="00514EA4"/>
    <w:rsid w:val="00515060"/>
    <w:rsid w:val="00516036"/>
    <w:rsid w:val="005161F7"/>
    <w:rsid w:val="0051629D"/>
    <w:rsid w:val="0051668D"/>
    <w:rsid w:val="0051715B"/>
    <w:rsid w:val="0051782B"/>
    <w:rsid w:val="005178DC"/>
    <w:rsid w:val="00520214"/>
    <w:rsid w:val="00520A4F"/>
    <w:rsid w:val="00520B55"/>
    <w:rsid w:val="00521944"/>
    <w:rsid w:val="0052201C"/>
    <w:rsid w:val="00522498"/>
    <w:rsid w:val="00522504"/>
    <w:rsid w:val="00523F52"/>
    <w:rsid w:val="005241B0"/>
    <w:rsid w:val="00524713"/>
    <w:rsid w:val="005266EB"/>
    <w:rsid w:val="0052743D"/>
    <w:rsid w:val="00527C18"/>
    <w:rsid w:val="00527D44"/>
    <w:rsid w:val="005300C7"/>
    <w:rsid w:val="005305D4"/>
    <w:rsid w:val="00534122"/>
    <w:rsid w:val="00534B82"/>
    <w:rsid w:val="00535EDB"/>
    <w:rsid w:val="0053658A"/>
    <w:rsid w:val="00536C17"/>
    <w:rsid w:val="00537662"/>
    <w:rsid w:val="00537770"/>
    <w:rsid w:val="00537AD3"/>
    <w:rsid w:val="00540840"/>
    <w:rsid w:val="00541A1B"/>
    <w:rsid w:val="005420A7"/>
    <w:rsid w:val="00542128"/>
    <w:rsid w:val="00542245"/>
    <w:rsid w:val="00543AA9"/>
    <w:rsid w:val="00544C24"/>
    <w:rsid w:val="00544D6D"/>
    <w:rsid w:val="00544F05"/>
    <w:rsid w:val="005450E1"/>
    <w:rsid w:val="00547942"/>
    <w:rsid w:val="00550444"/>
    <w:rsid w:val="00552B2F"/>
    <w:rsid w:val="00553743"/>
    <w:rsid w:val="005537AF"/>
    <w:rsid w:val="0055511B"/>
    <w:rsid w:val="005554A7"/>
    <w:rsid w:val="00555F2F"/>
    <w:rsid w:val="00556940"/>
    <w:rsid w:val="0056008C"/>
    <w:rsid w:val="005606EA"/>
    <w:rsid w:val="00560953"/>
    <w:rsid w:val="00560D1C"/>
    <w:rsid w:val="00560EC4"/>
    <w:rsid w:val="00562C0B"/>
    <w:rsid w:val="00562C42"/>
    <w:rsid w:val="005634E9"/>
    <w:rsid w:val="00563B38"/>
    <w:rsid w:val="00566887"/>
    <w:rsid w:val="0056778F"/>
    <w:rsid w:val="00567A67"/>
    <w:rsid w:val="00567D0F"/>
    <w:rsid w:val="00567DF3"/>
    <w:rsid w:val="005703C1"/>
    <w:rsid w:val="005718AC"/>
    <w:rsid w:val="00574665"/>
    <w:rsid w:val="00574AF8"/>
    <w:rsid w:val="005757B5"/>
    <w:rsid w:val="00577636"/>
    <w:rsid w:val="005778CA"/>
    <w:rsid w:val="005815C7"/>
    <w:rsid w:val="0058213E"/>
    <w:rsid w:val="00582CE6"/>
    <w:rsid w:val="0058438C"/>
    <w:rsid w:val="005845EF"/>
    <w:rsid w:val="0058544C"/>
    <w:rsid w:val="00590AFB"/>
    <w:rsid w:val="00592B92"/>
    <w:rsid w:val="00593BF3"/>
    <w:rsid w:val="0059406C"/>
    <w:rsid w:val="00595875"/>
    <w:rsid w:val="00595B39"/>
    <w:rsid w:val="00596D5B"/>
    <w:rsid w:val="0059766C"/>
    <w:rsid w:val="005A1380"/>
    <w:rsid w:val="005A206D"/>
    <w:rsid w:val="005A2AFF"/>
    <w:rsid w:val="005A309D"/>
    <w:rsid w:val="005A3EB7"/>
    <w:rsid w:val="005A51D5"/>
    <w:rsid w:val="005A5858"/>
    <w:rsid w:val="005A6632"/>
    <w:rsid w:val="005A7BFE"/>
    <w:rsid w:val="005B03A9"/>
    <w:rsid w:val="005B0428"/>
    <w:rsid w:val="005B1BCE"/>
    <w:rsid w:val="005B2041"/>
    <w:rsid w:val="005B224B"/>
    <w:rsid w:val="005B33C3"/>
    <w:rsid w:val="005B3967"/>
    <w:rsid w:val="005B70CF"/>
    <w:rsid w:val="005B77D1"/>
    <w:rsid w:val="005C0536"/>
    <w:rsid w:val="005C1D9D"/>
    <w:rsid w:val="005C3195"/>
    <w:rsid w:val="005C3820"/>
    <w:rsid w:val="005C58BE"/>
    <w:rsid w:val="005C5A30"/>
    <w:rsid w:val="005C6A69"/>
    <w:rsid w:val="005C71C7"/>
    <w:rsid w:val="005D0E70"/>
    <w:rsid w:val="005D0F41"/>
    <w:rsid w:val="005D2023"/>
    <w:rsid w:val="005D2FD6"/>
    <w:rsid w:val="005D30EB"/>
    <w:rsid w:val="005D31F2"/>
    <w:rsid w:val="005D37DA"/>
    <w:rsid w:val="005D3A94"/>
    <w:rsid w:val="005D46F0"/>
    <w:rsid w:val="005D51C2"/>
    <w:rsid w:val="005D5944"/>
    <w:rsid w:val="005D5E7C"/>
    <w:rsid w:val="005D5FDD"/>
    <w:rsid w:val="005D61F3"/>
    <w:rsid w:val="005D780A"/>
    <w:rsid w:val="005D7D07"/>
    <w:rsid w:val="005D7EB8"/>
    <w:rsid w:val="005E24E4"/>
    <w:rsid w:val="005E2647"/>
    <w:rsid w:val="005E2A0C"/>
    <w:rsid w:val="005E3D2C"/>
    <w:rsid w:val="005E6ADB"/>
    <w:rsid w:val="005E7B6F"/>
    <w:rsid w:val="005F0960"/>
    <w:rsid w:val="005F2AFC"/>
    <w:rsid w:val="005F2FD6"/>
    <w:rsid w:val="005F3A2C"/>
    <w:rsid w:val="005F42D3"/>
    <w:rsid w:val="005F5694"/>
    <w:rsid w:val="005F6438"/>
    <w:rsid w:val="00600689"/>
    <w:rsid w:val="00603044"/>
    <w:rsid w:val="00603BDA"/>
    <w:rsid w:val="006063F5"/>
    <w:rsid w:val="00607CAD"/>
    <w:rsid w:val="00610BA0"/>
    <w:rsid w:val="00610CD3"/>
    <w:rsid w:val="00611397"/>
    <w:rsid w:val="00616CD9"/>
    <w:rsid w:val="00620EC6"/>
    <w:rsid w:val="00621005"/>
    <w:rsid w:val="00621531"/>
    <w:rsid w:val="00621B2A"/>
    <w:rsid w:val="00623E51"/>
    <w:rsid w:val="00625365"/>
    <w:rsid w:val="00625600"/>
    <w:rsid w:val="00630636"/>
    <w:rsid w:val="00631176"/>
    <w:rsid w:val="00631282"/>
    <w:rsid w:val="0063141C"/>
    <w:rsid w:val="0063184C"/>
    <w:rsid w:val="00633C9F"/>
    <w:rsid w:val="006345EA"/>
    <w:rsid w:val="006352C0"/>
    <w:rsid w:val="00635543"/>
    <w:rsid w:val="00635CA2"/>
    <w:rsid w:val="00636594"/>
    <w:rsid w:val="00636AF9"/>
    <w:rsid w:val="006375C7"/>
    <w:rsid w:val="0064018F"/>
    <w:rsid w:val="00640C38"/>
    <w:rsid w:val="00642080"/>
    <w:rsid w:val="00642F99"/>
    <w:rsid w:val="006430F9"/>
    <w:rsid w:val="00643D26"/>
    <w:rsid w:val="00643F64"/>
    <w:rsid w:val="00644205"/>
    <w:rsid w:val="00644AD9"/>
    <w:rsid w:val="00644E4F"/>
    <w:rsid w:val="006464C0"/>
    <w:rsid w:val="00650265"/>
    <w:rsid w:val="00651838"/>
    <w:rsid w:val="006523BA"/>
    <w:rsid w:val="0065393C"/>
    <w:rsid w:val="00653BEF"/>
    <w:rsid w:val="00654B8E"/>
    <w:rsid w:val="00654D46"/>
    <w:rsid w:val="00655EDA"/>
    <w:rsid w:val="00656FDE"/>
    <w:rsid w:val="00657379"/>
    <w:rsid w:val="006578CF"/>
    <w:rsid w:val="006609E1"/>
    <w:rsid w:val="0066172C"/>
    <w:rsid w:val="00662627"/>
    <w:rsid w:val="00662DF0"/>
    <w:rsid w:val="006637DE"/>
    <w:rsid w:val="00664EC8"/>
    <w:rsid w:val="00665B1C"/>
    <w:rsid w:val="00666FD5"/>
    <w:rsid w:val="0066719F"/>
    <w:rsid w:val="00667323"/>
    <w:rsid w:val="00667844"/>
    <w:rsid w:val="00667955"/>
    <w:rsid w:val="006705A9"/>
    <w:rsid w:val="006707DE"/>
    <w:rsid w:val="00671382"/>
    <w:rsid w:val="006716DD"/>
    <w:rsid w:val="00671CC5"/>
    <w:rsid w:val="00671D09"/>
    <w:rsid w:val="006723D5"/>
    <w:rsid w:val="00672ECF"/>
    <w:rsid w:val="00672F52"/>
    <w:rsid w:val="00673637"/>
    <w:rsid w:val="00673777"/>
    <w:rsid w:val="006743E8"/>
    <w:rsid w:val="006755AC"/>
    <w:rsid w:val="00676166"/>
    <w:rsid w:val="00676AA1"/>
    <w:rsid w:val="006779B7"/>
    <w:rsid w:val="00680F74"/>
    <w:rsid w:val="00681EC9"/>
    <w:rsid w:val="006845B7"/>
    <w:rsid w:val="006848D1"/>
    <w:rsid w:val="00684C8D"/>
    <w:rsid w:val="00684FB0"/>
    <w:rsid w:val="0068514C"/>
    <w:rsid w:val="00687D23"/>
    <w:rsid w:val="00690C63"/>
    <w:rsid w:val="006913B5"/>
    <w:rsid w:val="00693415"/>
    <w:rsid w:val="00693B8E"/>
    <w:rsid w:val="006941EF"/>
    <w:rsid w:val="00694C66"/>
    <w:rsid w:val="0069507A"/>
    <w:rsid w:val="0069600F"/>
    <w:rsid w:val="006A03B6"/>
    <w:rsid w:val="006A0522"/>
    <w:rsid w:val="006A130D"/>
    <w:rsid w:val="006A16F2"/>
    <w:rsid w:val="006A18BD"/>
    <w:rsid w:val="006A214A"/>
    <w:rsid w:val="006A2BC3"/>
    <w:rsid w:val="006A7E7D"/>
    <w:rsid w:val="006B085F"/>
    <w:rsid w:val="006B20CC"/>
    <w:rsid w:val="006B2921"/>
    <w:rsid w:val="006B2AFB"/>
    <w:rsid w:val="006B2C1B"/>
    <w:rsid w:val="006B2E0C"/>
    <w:rsid w:val="006B3B3D"/>
    <w:rsid w:val="006B3D00"/>
    <w:rsid w:val="006B3E9A"/>
    <w:rsid w:val="006B5D06"/>
    <w:rsid w:val="006B5EDB"/>
    <w:rsid w:val="006B6310"/>
    <w:rsid w:val="006B735F"/>
    <w:rsid w:val="006B7FE1"/>
    <w:rsid w:val="006C02DC"/>
    <w:rsid w:val="006C1859"/>
    <w:rsid w:val="006C1A68"/>
    <w:rsid w:val="006C21E9"/>
    <w:rsid w:val="006C2934"/>
    <w:rsid w:val="006C30D0"/>
    <w:rsid w:val="006C4D84"/>
    <w:rsid w:val="006C4DEB"/>
    <w:rsid w:val="006C4E32"/>
    <w:rsid w:val="006C5668"/>
    <w:rsid w:val="006C5F71"/>
    <w:rsid w:val="006C616D"/>
    <w:rsid w:val="006C61F8"/>
    <w:rsid w:val="006C7A00"/>
    <w:rsid w:val="006D2328"/>
    <w:rsid w:val="006D351F"/>
    <w:rsid w:val="006D4AD9"/>
    <w:rsid w:val="006D5750"/>
    <w:rsid w:val="006D643C"/>
    <w:rsid w:val="006E072F"/>
    <w:rsid w:val="006E160B"/>
    <w:rsid w:val="006E1724"/>
    <w:rsid w:val="006E1A8C"/>
    <w:rsid w:val="006E236D"/>
    <w:rsid w:val="006E296B"/>
    <w:rsid w:val="006E313F"/>
    <w:rsid w:val="006E3224"/>
    <w:rsid w:val="006E4045"/>
    <w:rsid w:val="006E6362"/>
    <w:rsid w:val="006E6A88"/>
    <w:rsid w:val="006E72AD"/>
    <w:rsid w:val="006E74A7"/>
    <w:rsid w:val="006E753E"/>
    <w:rsid w:val="006E7AB7"/>
    <w:rsid w:val="006F258A"/>
    <w:rsid w:val="006F51F5"/>
    <w:rsid w:val="00701901"/>
    <w:rsid w:val="00701ADC"/>
    <w:rsid w:val="00705A54"/>
    <w:rsid w:val="00705B39"/>
    <w:rsid w:val="007067D1"/>
    <w:rsid w:val="00710DA0"/>
    <w:rsid w:val="0071121D"/>
    <w:rsid w:val="00711925"/>
    <w:rsid w:val="00712919"/>
    <w:rsid w:val="007140BE"/>
    <w:rsid w:val="00716C57"/>
    <w:rsid w:val="00720134"/>
    <w:rsid w:val="007205E8"/>
    <w:rsid w:val="00721684"/>
    <w:rsid w:val="007222AC"/>
    <w:rsid w:val="00724087"/>
    <w:rsid w:val="007251D8"/>
    <w:rsid w:val="00733C83"/>
    <w:rsid w:val="00734091"/>
    <w:rsid w:val="00734790"/>
    <w:rsid w:val="00734B6B"/>
    <w:rsid w:val="007353A6"/>
    <w:rsid w:val="0073599A"/>
    <w:rsid w:val="007368C4"/>
    <w:rsid w:val="00737F7F"/>
    <w:rsid w:val="00740EBA"/>
    <w:rsid w:val="007417DC"/>
    <w:rsid w:val="0074462F"/>
    <w:rsid w:val="007447F2"/>
    <w:rsid w:val="00744FC4"/>
    <w:rsid w:val="0074507E"/>
    <w:rsid w:val="00745C43"/>
    <w:rsid w:val="00746D4A"/>
    <w:rsid w:val="00747BB4"/>
    <w:rsid w:val="00747C51"/>
    <w:rsid w:val="007515D5"/>
    <w:rsid w:val="00751FFE"/>
    <w:rsid w:val="0075318E"/>
    <w:rsid w:val="00753A32"/>
    <w:rsid w:val="00753B12"/>
    <w:rsid w:val="00754168"/>
    <w:rsid w:val="007542E4"/>
    <w:rsid w:val="00754CB0"/>
    <w:rsid w:val="00754FA2"/>
    <w:rsid w:val="00755992"/>
    <w:rsid w:val="0075607F"/>
    <w:rsid w:val="00756844"/>
    <w:rsid w:val="00757F83"/>
    <w:rsid w:val="00760718"/>
    <w:rsid w:val="00760BDE"/>
    <w:rsid w:val="00761059"/>
    <w:rsid w:val="00762806"/>
    <w:rsid w:val="00762C42"/>
    <w:rsid w:val="0076442C"/>
    <w:rsid w:val="00764DF4"/>
    <w:rsid w:val="00765AD5"/>
    <w:rsid w:val="007673DE"/>
    <w:rsid w:val="00767404"/>
    <w:rsid w:val="0076783E"/>
    <w:rsid w:val="0077063C"/>
    <w:rsid w:val="00771311"/>
    <w:rsid w:val="007715DC"/>
    <w:rsid w:val="00771B97"/>
    <w:rsid w:val="00771CF7"/>
    <w:rsid w:val="00772CBA"/>
    <w:rsid w:val="00776DCE"/>
    <w:rsid w:val="00776E27"/>
    <w:rsid w:val="00777360"/>
    <w:rsid w:val="00780012"/>
    <w:rsid w:val="0078093A"/>
    <w:rsid w:val="00783B8B"/>
    <w:rsid w:val="00785BFB"/>
    <w:rsid w:val="00786AAA"/>
    <w:rsid w:val="00787685"/>
    <w:rsid w:val="00790880"/>
    <w:rsid w:val="0079118F"/>
    <w:rsid w:val="00792842"/>
    <w:rsid w:val="00792A9B"/>
    <w:rsid w:val="007931F1"/>
    <w:rsid w:val="00793309"/>
    <w:rsid w:val="0079415B"/>
    <w:rsid w:val="0079498D"/>
    <w:rsid w:val="0079588A"/>
    <w:rsid w:val="007968D4"/>
    <w:rsid w:val="00796B93"/>
    <w:rsid w:val="007A20BB"/>
    <w:rsid w:val="007A2E03"/>
    <w:rsid w:val="007A41E8"/>
    <w:rsid w:val="007A5F28"/>
    <w:rsid w:val="007A5FDA"/>
    <w:rsid w:val="007A62A6"/>
    <w:rsid w:val="007A6B60"/>
    <w:rsid w:val="007A7290"/>
    <w:rsid w:val="007B0113"/>
    <w:rsid w:val="007B0B6A"/>
    <w:rsid w:val="007B1B03"/>
    <w:rsid w:val="007B20E8"/>
    <w:rsid w:val="007B2829"/>
    <w:rsid w:val="007B2C21"/>
    <w:rsid w:val="007B2D7B"/>
    <w:rsid w:val="007B2E94"/>
    <w:rsid w:val="007B3191"/>
    <w:rsid w:val="007B40E9"/>
    <w:rsid w:val="007B51B4"/>
    <w:rsid w:val="007B6254"/>
    <w:rsid w:val="007B62A4"/>
    <w:rsid w:val="007B69C5"/>
    <w:rsid w:val="007B78FD"/>
    <w:rsid w:val="007C1CBC"/>
    <w:rsid w:val="007C305A"/>
    <w:rsid w:val="007C35BA"/>
    <w:rsid w:val="007C493E"/>
    <w:rsid w:val="007C4A49"/>
    <w:rsid w:val="007C5906"/>
    <w:rsid w:val="007C622C"/>
    <w:rsid w:val="007C6986"/>
    <w:rsid w:val="007C7158"/>
    <w:rsid w:val="007C7C5B"/>
    <w:rsid w:val="007C7D88"/>
    <w:rsid w:val="007C7E4A"/>
    <w:rsid w:val="007D0F28"/>
    <w:rsid w:val="007D0F5B"/>
    <w:rsid w:val="007D3B65"/>
    <w:rsid w:val="007D4001"/>
    <w:rsid w:val="007D697C"/>
    <w:rsid w:val="007D6A46"/>
    <w:rsid w:val="007E09D3"/>
    <w:rsid w:val="007E1756"/>
    <w:rsid w:val="007E37E8"/>
    <w:rsid w:val="007E3C71"/>
    <w:rsid w:val="007F0D4F"/>
    <w:rsid w:val="007F11AE"/>
    <w:rsid w:val="007F1CB9"/>
    <w:rsid w:val="007F295A"/>
    <w:rsid w:val="007F2CCD"/>
    <w:rsid w:val="007F2CCF"/>
    <w:rsid w:val="007F33F7"/>
    <w:rsid w:val="007F47CB"/>
    <w:rsid w:val="007F51A0"/>
    <w:rsid w:val="007F6D44"/>
    <w:rsid w:val="007F7836"/>
    <w:rsid w:val="00800B40"/>
    <w:rsid w:val="008016CA"/>
    <w:rsid w:val="008057E2"/>
    <w:rsid w:val="00807213"/>
    <w:rsid w:val="00810E1C"/>
    <w:rsid w:val="0081115B"/>
    <w:rsid w:val="008115B9"/>
    <w:rsid w:val="00811A5F"/>
    <w:rsid w:val="008126B6"/>
    <w:rsid w:val="008137E2"/>
    <w:rsid w:val="00813902"/>
    <w:rsid w:val="00813F77"/>
    <w:rsid w:val="00814EE0"/>
    <w:rsid w:val="008156B0"/>
    <w:rsid w:val="00823C86"/>
    <w:rsid w:val="00824314"/>
    <w:rsid w:val="00825130"/>
    <w:rsid w:val="008253D2"/>
    <w:rsid w:val="0082585C"/>
    <w:rsid w:val="00825B03"/>
    <w:rsid w:val="00826360"/>
    <w:rsid w:val="00826B14"/>
    <w:rsid w:val="00827AEF"/>
    <w:rsid w:val="00827E8E"/>
    <w:rsid w:val="008313A2"/>
    <w:rsid w:val="00833B34"/>
    <w:rsid w:val="00836AD9"/>
    <w:rsid w:val="00836C17"/>
    <w:rsid w:val="008374A8"/>
    <w:rsid w:val="00841A50"/>
    <w:rsid w:val="00842E38"/>
    <w:rsid w:val="008433AF"/>
    <w:rsid w:val="00845C4A"/>
    <w:rsid w:val="00845C85"/>
    <w:rsid w:val="00846910"/>
    <w:rsid w:val="0085057C"/>
    <w:rsid w:val="00851110"/>
    <w:rsid w:val="008520D9"/>
    <w:rsid w:val="0085253E"/>
    <w:rsid w:val="00855B42"/>
    <w:rsid w:val="00856135"/>
    <w:rsid w:val="0085681E"/>
    <w:rsid w:val="00857DA5"/>
    <w:rsid w:val="00860004"/>
    <w:rsid w:val="008639F2"/>
    <w:rsid w:val="008640E6"/>
    <w:rsid w:val="008645B1"/>
    <w:rsid w:val="00864A8B"/>
    <w:rsid w:val="00865BC6"/>
    <w:rsid w:val="0086634F"/>
    <w:rsid w:val="00866C42"/>
    <w:rsid w:val="00867837"/>
    <w:rsid w:val="008716E6"/>
    <w:rsid w:val="008721D4"/>
    <w:rsid w:val="008725CE"/>
    <w:rsid w:val="00877544"/>
    <w:rsid w:val="00880E8D"/>
    <w:rsid w:val="008813EB"/>
    <w:rsid w:val="0088355D"/>
    <w:rsid w:val="00883A2B"/>
    <w:rsid w:val="0088505B"/>
    <w:rsid w:val="00886098"/>
    <w:rsid w:val="00886117"/>
    <w:rsid w:val="0088693B"/>
    <w:rsid w:val="00890371"/>
    <w:rsid w:val="008905B6"/>
    <w:rsid w:val="00891722"/>
    <w:rsid w:val="008917B8"/>
    <w:rsid w:val="00891A84"/>
    <w:rsid w:val="00893607"/>
    <w:rsid w:val="00893F20"/>
    <w:rsid w:val="008949B4"/>
    <w:rsid w:val="00895562"/>
    <w:rsid w:val="008961E3"/>
    <w:rsid w:val="008A0359"/>
    <w:rsid w:val="008A0546"/>
    <w:rsid w:val="008A1505"/>
    <w:rsid w:val="008A21A4"/>
    <w:rsid w:val="008A2518"/>
    <w:rsid w:val="008A2ABE"/>
    <w:rsid w:val="008A5678"/>
    <w:rsid w:val="008A5768"/>
    <w:rsid w:val="008A5870"/>
    <w:rsid w:val="008A606B"/>
    <w:rsid w:val="008A74CD"/>
    <w:rsid w:val="008A7732"/>
    <w:rsid w:val="008B03C7"/>
    <w:rsid w:val="008B0AB1"/>
    <w:rsid w:val="008B152E"/>
    <w:rsid w:val="008B46B2"/>
    <w:rsid w:val="008B7C9A"/>
    <w:rsid w:val="008C1808"/>
    <w:rsid w:val="008C1A3F"/>
    <w:rsid w:val="008C2442"/>
    <w:rsid w:val="008C27DF"/>
    <w:rsid w:val="008C2F89"/>
    <w:rsid w:val="008C3147"/>
    <w:rsid w:val="008C3194"/>
    <w:rsid w:val="008C3278"/>
    <w:rsid w:val="008C3561"/>
    <w:rsid w:val="008C36B3"/>
    <w:rsid w:val="008C41F4"/>
    <w:rsid w:val="008C4706"/>
    <w:rsid w:val="008C513D"/>
    <w:rsid w:val="008C6A4F"/>
    <w:rsid w:val="008C7551"/>
    <w:rsid w:val="008D13BB"/>
    <w:rsid w:val="008D152C"/>
    <w:rsid w:val="008D310E"/>
    <w:rsid w:val="008D3975"/>
    <w:rsid w:val="008D5F19"/>
    <w:rsid w:val="008D6CD7"/>
    <w:rsid w:val="008D7ACD"/>
    <w:rsid w:val="008E0FAE"/>
    <w:rsid w:val="008E253E"/>
    <w:rsid w:val="008E2607"/>
    <w:rsid w:val="008E260C"/>
    <w:rsid w:val="008E43F5"/>
    <w:rsid w:val="008E5031"/>
    <w:rsid w:val="008E6C72"/>
    <w:rsid w:val="008E7E46"/>
    <w:rsid w:val="008F0A7D"/>
    <w:rsid w:val="008F25FE"/>
    <w:rsid w:val="008F3026"/>
    <w:rsid w:val="008F47A2"/>
    <w:rsid w:val="008F5537"/>
    <w:rsid w:val="008F55D4"/>
    <w:rsid w:val="008F6F61"/>
    <w:rsid w:val="009006DF"/>
    <w:rsid w:val="00900ABB"/>
    <w:rsid w:val="00900C29"/>
    <w:rsid w:val="00903EBE"/>
    <w:rsid w:val="0090403A"/>
    <w:rsid w:val="00904ABC"/>
    <w:rsid w:val="00904BCA"/>
    <w:rsid w:val="009063FC"/>
    <w:rsid w:val="00910C33"/>
    <w:rsid w:val="009115E2"/>
    <w:rsid w:val="00911809"/>
    <w:rsid w:val="00912B93"/>
    <w:rsid w:val="00912CD3"/>
    <w:rsid w:val="0091332D"/>
    <w:rsid w:val="009139A3"/>
    <w:rsid w:val="00913F59"/>
    <w:rsid w:val="00915B80"/>
    <w:rsid w:val="009169AA"/>
    <w:rsid w:val="0092005D"/>
    <w:rsid w:val="0092036E"/>
    <w:rsid w:val="00920719"/>
    <w:rsid w:val="00921A09"/>
    <w:rsid w:val="00921A42"/>
    <w:rsid w:val="00922E17"/>
    <w:rsid w:val="0092452B"/>
    <w:rsid w:val="00924C38"/>
    <w:rsid w:val="00926C3B"/>
    <w:rsid w:val="00926D78"/>
    <w:rsid w:val="00927705"/>
    <w:rsid w:val="009278FD"/>
    <w:rsid w:val="009317AC"/>
    <w:rsid w:val="00932527"/>
    <w:rsid w:val="00933157"/>
    <w:rsid w:val="00933E12"/>
    <w:rsid w:val="009342A2"/>
    <w:rsid w:val="00934776"/>
    <w:rsid w:val="00935F21"/>
    <w:rsid w:val="00935FDF"/>
    <w:rsid w:val="009361CA"/>
    <w:rsid w:val="0094215B"/>
    <w:rsid w:val="00942690"/>
    <w:rsid w:val="009433DE"/>
    <w:rsid w:val="0094495F"/>
    <w:rsid w:val="0094631F"/>
    <w:rsid w:val="00946A9B"/>
    <w:rsid w:val="00951445"/>
    <w:rsid w:val="00951849"/>
    <w:rsid w:val="00951F8E"/>
    <w:rsid w:val="009525EF"/>
    <w:rsid w:val="00952B18"/>
    <w:rsid w:val="0095462E"/>
    <w:rsid w:val="00954728"/>
    <w:rsid w:val="00955138"/>
    <w:rsid w:val="009565A5"/>
    <w:rsid w:val="00956B69"/>
    <w:rsid w:val="00956B88"/>
    <w:rsid w:val="00957393"/>
    <w:rsid w:val="00957791"/>
    <w:rsid w:val="00960537"/>
    <w:rsid w:val="009610DA"/>
    <w:rsid w:val="00961CFC"/>
    <w:rsid w:val="00962C0C"/>
    <w:rsid w:val="009647DD"/>
    <w:rsid w:val="00964DCA"/>
    <w:rsid w:val="00965A90"/>
    <w:rsid w:val="00965CBB"/>
    <w:rsid w:val="0096723E"/>
    <w:rsid w:val="00970CA3"/>
    <w:rsid w:val="00970FE4"/>
    <w:rsid w:val="009718C6"/>
    <w:rsid w:val="00972373"/>
    <w:rsid w:val="00972615"/>
    <w:rsid w:val="00972755"/>
    <w:rsid w:val="00974A73"/>
    <w:rsid w:val="00974D0C"/>
    <w:rsid w:val="00974E04"/>
    <w:rsid w:val="00975415"/>
    <w:rsid w:val="00976D17"/>
    <w:rsid w:val="00977DB5"/>
    <w:rsid w:val="009821D0"/>
    <w:rsid w:val="0098361D"/>
    <w:rsid w:val="00983E79"/>
    <w:rsid w:val="009847EB"/>
    <w:rsid w:val="00984EFA"/>
    <w:rsid w:val="0098509B"/>
    <w:rsid w:val="00986B88"/>
    <w:rsid w:val="00987478"/>
    <w:rsid w:val="00991B6D"/>
    <w:rsid w:val="00992CC8"/>
    <w:rsid w:val="009932C6"/>
    <w:rsid w:val="00993692"/>
    <w:rsid w:val="00994799"/>
    <w:rsid w:val="009A05F2"/>
    <w:rsid w:val="009A1B0F"/>
    <w:rsid w:val="009A3012"/>
    <w:rsid w:val="009A3A1B"/>
    <w:rsid w:val="009A4CB3"/>
    <w:rsid w:val="009A51B8"/>
    <w:rsid w:val="009A555B"/>
    <w:rsid w:val="009A5B17"/>
    <w:rsid w:val="009A6C8A"/>
    <w:rsid w:val="009A6CC6"/>
    <w:rsid w:val="009B11C4"/>
    <w:rsid w:val="009B20CE"/>
    <w:rsid w:val="009B282D"/>
    <w:rsid w:val="009B38DA"/>
    <w:rsid w:val="009B38F3"/>
    <w:rsid w:val="009B408A"/>
    <w:rsid w:val="009B410F"/>
    <w:rsid w:val="009B4CEA"/>
    <w:rsid w:val="009B74A5"/>
    <w:rsid w:val="009C07E6"/>
    <w:rsid w:val="009C0BC0"/>
    <w:rsid w:val="009C0C08"/>
    <w:rsid w:val="009C0F2C"/>
    <w:rsid w:val="009C298D"/>
    <w:rsid w:val="009C5085"/>
    <w:rsid w:val="009C544E"/>
    <w:rsid w:val="009C5ED6"/>
    <w:rsid w:val="009C7C39"/>
    <w:rsid w:val="009C7C4B"/>
    <w:rsid w:val="009D0272"/>
    <w:rsid w:val="009D2056"/>
    <w:rsid w:val="009D3CFC"/>
    <w:rsid w:val="009D76AC"/>
    <w:rsid w:val="009E0EE0"/>
    <w:rsid w:val="009E1D21"/>
    <w:rsid w:val="009E21B3"/>
    <w:rsid w:val="009E4B8C"/>
    <w:rsid w:val="009E5545"/>
    <w:rsid w:val="009E699C"/>
    <w:rsid w:val="009E75F4"/>
    <w:rsid w:val="009E7762"/>
    <w:rsid w:val="009E7B06"/>
    <w:rsid w:val="009F0EA2"/>
    <w:rsid w:val="009F191C"/>
    <w:rsid w:val="009F1B94"/>
    <w:rsid w:val="009F2B22"/>
    <w:rsid w:val="009F39FD"/>
    <w:rsid w:val="009F481D"/>
    <w:rsid w:val="009F55D5"/>
    <w:rsid w:val="009F5816"/>
    <w:rsid w:val="009F5C88"/>
    <w:rsid w:val="009F6585"/>
    <w:rsid w:val="009F6960"/>
    <w:rsid w:val="009F70EA"/>
    <w:rsid w:val="00A0080A"/>
    <w:rsid w:val="00A008D9"/>
    <w:rsid w:val="00A02F08"/>
    <w:rsid w:val="00A033DA"/>
    <w:rsid w:val="00A0427C"/>
    <w:rsid w:val="00A0487A"/>
    <w:rsid w:val="00A05738"/>
    <w:rsid w:val="00A05B6E"/>
    <w:rsid w:val="00A05BDA"/>
    <w:rsid w:val="00A07118"/>
    <w:rsid w:val="00A103E0"/>
    <w:rsid w:val="00A11D42"/>
    <w:rsid w:val="00A12426"/>
    <w:rsid w:val="00A13CC6"/>
    <w:rsid w:val="00A13DB8"/>
    <w:rsid w:val="00A15B44"/>
    <w:rsid w:val="00A16097"/>
    <w:rsid w:val="00A17F49"/>
    <w:rsid w:val="00A201C3"/>
    <w:rsid w:val="00A205F4"/>
    <w:rsid w:val="00A218E3"/>
    <w:rsid w:val="00A23151"/>
    <w:rsid w:val="00A23421"/>
    <w:rsid w:val="00A25586"/>
    <w:rsid w:val="00A2566A"/>
    <w:rsid w:val="00A279FB"/>
    <w:rsid w:val="00A30E75"/>
    <w:rsid w:val="00A3387E"/>
    <w:rsid w:val="00A33D56"/>
    <w:rsid w:val="00A34CEC"/>
    <w:rsid w:val="00A34ECD"/>
    <w:rsid w:val="00A352C3"/>
    <w:rsid w:val="00A35B65"/>
    <w:rsid w:val="00A3655D"/>
    <w:rsid w:val="00A3657A"/>
    <w:rsid w:val="00A3721D"/>
    <w:rsid w:val="00A37764"/>
    <w:rsid w:val="00A410C6"/>
    <w:rsid w:val="00A4247A"/>
    <w:rsid w:val="00A43A58"/>
    <w:rsid w:val="00A44B44"/>
    <w:rsid w:val="00A44B69"/>
    <w:rsid w:val="00A4592B"/>
    <w:rsid w:val="00A45CA8"/>
    <w:rsid w:val="00A45CF9"/>
    <w:rsid w:val="00A47F24"/>
    <w:rsid w:val="00A5066D"/>
    <w:rsid w:val="00A50DD3"/>
    <w:rsid w:val="00A510A1"/>
    <w:rsid w:val="00A51D91"/>
    <w:rsid w:val="00A535DA"/>
    <w:rsid w:val="00A54B48"/>
    <w:rsid w:val="00A56460"/>
    <w:rsid w:val="00A56F98"/>
    <w:rsid w:val="00A57ACC"/>
    <w:rsid w:val="00A6118C"/>
    <w:rsid w:val="00A657B1"/>
    <w:rsid w:val="00A658F8"/>
    <w:rsid w:val="00A66745"/>
    <w:rsid w:val="00A67620"/>
    <w:rsid w:val="00A70B95"/>
    <w:rsid w:val="00A71F2F"/>
    <w:rsid w:val="00A73647"/>
    <w:rsid w:val="00A736BE"/>
    <w:rsid w:val="00A763CE"/>
    <w:rsid w:val="00A76C76"/>
    <w:rsid w:val="00A773B4"/>
    <w:rsid w:val="00A816AF"/>
    <w:rsid w:val="00A81DAF"/>
    <w:rsid w:val="00A8234E"/>
    <w:rsid w:val="00A82601"/>
    <w:rsid w:val="00A83663"/>
    <w:rsid w:val="00A83AFF"/>
    <w:rsid w:val="00A83E67"/>
    <w:rsid w:val="00A84DFB"/>
    <w:rsid w:val="00A859C1"/>
    <w:rsid w:val="00A86E1C"/>
    <w:rsid w:val="00A86F24"/>
    <w:rsid w:val="00A90BEA"/>
    <w:rsid w:val="00A9117C"/>
    <w:rsid w:val="00A920BC"/>
    <w:rsid w:val="00A93744"/>
    <w:rsid w:val="00AA0AEC"/>
    <w:rsid w:val="00AA105E"/>
    <w:rsid w:val="00AA118F"/>
    <w:rsid w:val="00AA1991"/>
    <w:rsid w:val="00AA2941"/>
    <w:rsid w:val="00AA4F94"/>
    <w:rsid w:val="00AA4FF1"/>
    <w:rsid w:val="00AA5152"/>
    <w:rsid w:val="00AA7F44"/>
    <w:rsid w:val="00AB2B26"/>
    <w:rsid w:val="00AB3391"/>
    <w:rsid w:val="00AB55AA"/>
    <w:rsid w:val="00AB5907"/>
    <w:rsid w:val="00AB5DA6"/>
    <w:rsid w:val="00AB6107"/>
    <w:rsid w:val="00AB6380"/>
    <w:rsid w:val="00AB6BEF"/>
    <w:rsid w:val="00AB7823"/>
    <w:rsid w:val="00AC0401"/>
    <w:rsid w:val="00AC14F6"/>
    <w:rsid w:val="00AC1554"/>
    <w:rsid w:val="00AC170E"/>
    <w:rsid w:val="00AC2D48"/>
    <w:rsid w:val="00AC2E46"/>
    <w:rsid w:val="00AC491E"/>
    <w:rsid w:val="00AC4D1F"/>
    <w:rsid w:val="00AC4ED8"/>
    <w:rsid w:val="00AC5342"/>
    <w:rsid w:val="00AC544C"/>
    <w:rsid w:val="00AC5473"/>
    <w:rsid w:val="00AC5EBA"/>
    <w:rsid w:val="00AC60C8"/>
    <w:rsid w:val="00AC687C"/>
    <w:rsid w:val="00AD03E4"/>
    <w:rsid w:val="00AD0554"/>
    <w:rsid w:val="00AD08B8"/>
    <w:rsid w:val="00AD0BB2"/>
    <w:rsid w:val="00AD35D0"/>
    <w:rsid w:val="00AD46A1"/>
    <w:rsid w:val="00AD5190"/>
    <w:rsid w:val="00AD7541"/>
    <w:rsid w:val="00AD7AE2"/>
    <w:rsid w:val="00AD7CFC"/>
    <w:rsid w:val="00AE317E"/>
    <w:rsid w:val="00AE371E"/>
    <w:rsid w:val="00AE4BF1"/>
    <w:rsid w:val="00AE65B7"/>
    <w:rsid w:val="00AE7D4C"/>
    <w:rsid w:val="00AE7D91"/>
    <w:rsid w:val="00AF0805"/>
    <w:rsid w:val="00AF088F"/>
    <w:rsid w:val="00AF0EF3"/>
    <w:rsid w:val="00AF2AFA"/>
    <w:rsid w:val="00AF2FAA"/>
    <w:rsid w:val="00AF37DD"/>
    <w:rsid w:val="00AF4465"/>
    <w:rsid w:val="00AF4EBB"/>
    <w:rsid w:val="00AF5773"/>
    <w:rsid w:val="00AF6159"/>
    <w:rsid w:val="00AF6C75"/>
    <w:rsid w:val="00AF70AC"/>
    <w:rsid w:val="00B00A9F"/>
    <w:rsid w:val="00B00DB8"/>
    <w:rsid w:val="00B03614"/>
    <w:rsid w:val="00B05203"/>
    <w:rsid w:val="00B06009"/>
    <w:rsid w:val="00B065A0"/>
    <w:rsid w:val="00B072B0"/>
    <w:rsid w:val="00B07F3B"/>
    <w:rsid w:val="00B11CCB"/>
    <w:rsid w:val="00B129AF"/>
    <w:rsid w:val="00B1376E"/>
    <w:rsid w:val="00B144D8"/>
    <w:rsid w:val="00B14930"/>
    <w:rsid w:val="00B16573"/>
    <w:rsid w:val="00B16B7F"/>
    <w:rsid w:val="00B17B49"/>
    <w:rsid w:val="00B20123"/>
    <w:rsid w:val="00B20842"/>
    <w:rsid w:val="00B2131A"/>
    <w:rsid w:val="00B225C0"/>
    <w:rsid w:val="00B22EA6"/>
    <w:rsid w:val="00B23254"/>
    <w:rsid w:val="00B2358B"/>
    <w:rsid w:val="00B244CA"/>
    <w:rsid w:val="00B24AC9"/>
    <w:rsid w:val="00B274D1"/>
    <w:rsid w:val="00B27570"/>
    <w:rsid w:val="00B3002B"/>
    <w:rsid w:val="00B308CF"/>
    <w:rsid w:val="00B32F8E"/>
    <w:rsid w:val="00B331E6"/>
    <w:rsid w:val="00B33471"/>
    <w:rsid w:val="00B33B8D"/>
    <w:rsid w:val="00B34A18"/>
    <w:rsid w:val="00B34B67"/>
    <w:rsid w:val="00B34C34"/>
    <w:rsid w:val="00B358E0"/>
    <w:rsid w:val="00B375CB"/>
    <w:rsid w:val="00B40261"/>
    <w:rsid w:val="00B40FA6"/>
    <w:rsid w:val="00B4147A"/>
    <w:rsid w:val="00B43C28"/>
    <w:rsid w:val="00B44B5C"/>
    <w:rsid w:val="00B4579F"/>
    <w:rsid w:val="00B47632"/>
    <w:rsid w:val="00B504B8"/>
    <w:rsid w:val="00B5092A"/>
    <w:rsid w:val="00B51796"/>
    <w:rsid w:val="00B51BDB"/>
    <w:rsid w:val="00B5231C"/>
    <w:rsid w:val="00B52C5D"/>
    <w:rsid w:val="00B53D33"/>
    <w:rsid w:val="00B541F6"/>
    <w:rsid w:val="00B56B62"/>
    <w:rsid w:val="00B57A81"/>
    <w:rsid w:val="00B61DAD"/>
    <w:rsid w:val="00B62371"/>
    <w:rsid w:val="00B64A4B"/>
    <w:rsid w:val="00B655B9"/>
    <w:rsid w:val="00B65B53"/>
    <w:rsid w:val="00B65B7D"/>
    <w:rsid w:val="00B6605B"/>
    <w:rsid w:val="00B66456"/>
    <w:rsid w:val="00B67240"/>
    <w:rsid w:val="00B674DE"/>
    <w:rsid w:val="00B676DC"/>
    <w:rsid w:val="00B70BB7"/>
    <w:rsid w:val="00B71CE1"/>
    <w:rsid w:val="00B73442"/>
    <w:rsid w:val="00B73B2F"/>
    <w:rsid w:val="00B75506"/>
    <w:rsid w:val="00B75C9B"/>
    <w:rsid w:val="00B75D41"/>
    <w:rsid w:val="00B760FC"/>
    <w:rsid w:val="00B763A6"/>
    <w:rsid w:val="00B775EB"/>
    <w:rsid w:val="00B80B69"/>
    <w:rsid w:val="00B8164D"/>
    <w:rsid w:val="00B816BD"/>
    <w:rsid w:val="00B82F22"/>
    <w:rsid w:val="00B870AF"/>
    <w:rsid w:val="00B870BC"/>
    <w:rsid w:val="00B875E0"/>
    <w:rsid w:val="00B8786A"/>
    <w:rsid w:val="00B9122B"/>
    <w:rsid w:val="00B9189D"/>
    <w:rsid w:val="00B93457"/>
    <w:rsid w:val="00B93A74"/>
    <w:rsid w:val="00B93BCD"/>
    <w:rsid w:val="00B946F7"/>
    <w:rsid w:val="00B94DF1"/>
    <w:rsid w:val="00B95D7B"/>
    <w:rsid w:val="00B9656E"/>
    <w:rsid w:val="00B9691D"/>
    <w:rsid w:val="00B97DD0"/>
    <w:rsid w:val="00B97FEB"/>
    <w:rsid w:val="00BA00E1"/>
    <w:rsid w:val="00BA0818"/>
    <w:rsid w:val="00BA0A38"/>
    <w:rsid w:val="00BA0CE4"/>
    <w:rsid w:val="00BA0E71"/>
    <w:rsid w:val="00BA2083"/>
    <w:rsid w:val="00BA4D0E"/>
    <w:rsid w:val="00BA7005"/>
    <w:rsid w:val="00BA76D9"/>
    <w:rsid w:val="00BA7985"/>
    <w:rsid w:val="00BB0DBE"/>
    <w:rsid w:val="00BB1CDA"/>
    <w:rsid w:val="00BB3770"/>
    <w:rsid w:val="00BB4549"/>
    <w:rsid w:val="00BB5CD0"/>
    <w:rsid w:val="00BB65D0"/>
    <w:rsid w:val="00BB6C35"/>
    <w:rsid w:val="00BB7A1D"/>
    <w:rsid w:val="00BC0B82"/>
    <w:rsid w:val="00BC1890"/>
    <w:rsid w:val="00BC1C0B"/>
    <w:rsid w:val="00BC29E7"/>
    <w:rsid w:val="00BC3125"/>
    <w:rsid w:val="00BC322D"/>
    <w:rsid w:val="00BC34E8"/>
    <w:rsid w:val="00BC3778"/>
    <w:rsid w:val="00BC3895"/>
    <w:rsid w:val="00BC4F13"/>
    <w:rsid w:val="00BC4F76"/>
    <w:rsid w:val="00BC6D4D"/>
    <w:rsid w:val="00BD4E48"/>
    <w:rsid w:val="00BD56C3"/>
    <w:rsid w:val="00BD5C2D"/>
    <w:rsid w:val="00BD6FFD"/>
    <w:rsid w:val="00BD73C6"/>
    <w:rsid w:val="00BD7E0B"/>
    <w:rsid w:val="00BE111C"/>
    <w:rsid w:val="00BE17B1"/>
    <w:rsid w:val="00BE25F0"/>
    <w:rsid w:val="00BE2814"/>
    <w:rsid w:val="00BE4A2D"/>
    <w:rsid w:val="00BE5D85"/>
    <w:rsid w:val="00BE64B3"/>
    <w:rsid w:val="00BE6A75"/>
    <w:rsid w:val="00BE78F7"/>
    <w:rsid w:val="00BF0A4D"/>
    <w:rsid w:val="00BF1053"/>
    <w:rsid w:val="00BF2547"/>
    <w:rsid w:val="00BF254D"/>
    <w:rsid w:val="00BF34B7"/>
    <w:rsid w:val="00BF570A"/>
    <w:rsid w:val="00BF6872"/>
    <w:rsid w:val="00C00165"/>
    <w:rsid w:val="00C00824"/>
    <w:rsid w:val="00C0250E"/>
    <w:rsid w:val="00C041BE"/>
    <w:rsid w:val="00C04FC4"/>
    <w:rsid w:val="00C058D8"/>
    <w:rsid w:val="00C059C7"/>
    <w:rsid w:val="00C05CDC"/>
    <w:rsid w:val="00C067DA"/>
    <w:rsid w:val="00C0687C"/>
    <w:rsid w:val="00C06B0C"/>
    <w:rsid w:val="00C1001F"/>
    <w:rsid w:val="00C113CC"/>
    <w:rsid w:val="00C127D7"/>
    <w:rsid w:val="00C12A43"/>
    <w:rsid w:val="00C12B0C"/>
    <w:rsid w:val="00C13735"/>
    <w:rsid w:val="00C13836"/>
    <w:rsid w:val="00C15105"/>
    <w:rsid w:val="00C152E3"/>
    <w:rsid w:val="00C154F6"/>
    <w:rsid w:val="00C157C8"/>
    <w:rsid w:val="00C1613F"/>
    <w:rsid w:val="00C2028D"/>
    <w:rsid w:val="00C20363"/>
    <w:rsid w:val="00C2050A"/>
    <w:rsid w:val="00C254D6"/>
    <w:rsid w:val="00C258BB"/>
    <w:rsid w:val="00C273D4"/>
    <w:rsid w:val="00C3053E"/>
    <w:rsid w:val="00C311B8"/>
    <w:rsid w:val="00C32D6D"/>
    <w:rsid w:val="00C33637"/>
    <w:rsid w:val="00C33DBB"/>
    <w:rsid w:val="00C34197"/>
    <w:rsid w:val="00C35BB4"/>
    <w:rsid w:val="00C36458"/>
    <w:rsid w:val="00C37077"/>
    <w:rsid w:val="00C373DF"/>
    <w:rsid w:val="00C4048A"/>
    <w:rsid w:val="00C41545"/>
    <w:rsid w:val="00C4267B"/>
    <w:rsid w:val="00C427EE"/>
    <w:rsid w:val="00C432FB"/>
    <w:rsid w:val="00C44D3F"/>
    <w:rsid w:val="00C451B1"/>
    <w:rsid w:val="00C47688"/>
    <w:rsid w:val="00C479FA"/>
    <w:rsid w:val="00C5021C"/>
    <w:rsid w:val="00C50AA1"/>
    <w:rsid w:val="00C51336"/>
    <w:rsid w:val="00C523D2"/>
    <w:rsid w:val="00C5357E"/>
    <w:rsid w:val="00C5387D"/>
    <w:rsid w:val="00C538BC"/>
    <w:rsid w:val="00C54899"/>
    <w:rsid w:val="00C550DC"/>
    <w:rsid w:val="00C557A0"/>
    <w:rsid w:val="00C55B34"/>
    <w:rsid w:val="00C5615D"/>
    <w:rsid w:val="00C57DA1"/>
    <w:rsid w:val="00C615EA"/>
    <w:rsid w:val="00C61B41"/>
    <w:rsid w:val="00C62A11"/>
    <w:rsid w:val="00C6304E"/>
    <w:rsid w:val="00C6309D"/>
    <w:rsid w:val="00C65A61"/>
    <w:rsid w:val="00C66098"/>
    <w:rsid w:val="00C660C8"/>
    <w:rsid w:val="00C66C16"/>
    <w:rsid w:val="00C66D1D"/>
    <w:rsid w:val="00C674E1"/>
    <w:rsid w:val="00C70309"/>
    <w:rsid w:val="00C70DF9"/>
    <w:rsid w:val="00C72804"/>
    <w:rsid w:val="00C72B5E"/>
    <w:rsid w:val="00C760CC"/>
    <w:rsid w:val="00C76F74"/>
    <w:rsid w:val="00C77135"/>
    <w:rsid w:val="00C7778C"/>
    <w:rsid w:val="00C8156F"/>
    <w:rsid w:val="00C8533E"/>
    <w:rsid w:val="00C860AB"/>
    <w:rsid w:val="00C867C9"/>
    <w:rsid w:val="00C86B16"/>
    <w:rsid w:val="00C879E1"/>
    <w:rsid w:val="00C90ABF"/>
    <w:rsid w:val="00C91184"/>
    <w:rsid w:val="00C91363"/>
    <w:rsid w:val="00C91475"/>
    <w:rsid w:val="00C92C7D"/>
    <w:rsid w:val="00C93A6C"/>
    <w:rsid w:val="00C94EAE"/>
    <w:rsid w:val="00C953BF"/>
    <w:rsid w:val="00C95A86"/>
    <w:rsid w:val="00C95F5D"/>
    <w:rsid w:val="00C97B0A"/>
    <w:rsid w:val="00CA02BF"/>
    <w:rsid w:val="00CA12EE"/>
    <w:rsid w:val="00CA1C53"/>
    <w:rsid w:val="00CA284D"/>
    <w:rsid w:val="00CA2F45"/>
    <w:rsid w:val="00CA3BD4"/>
    <w:rsid w:val="00CA46D9"/>
    <w:rsid w:val="00CA48F8"/>
    <w:rsid w:val="00CA4B7F"/>
    <w:rsid w:val="00CA4D29"/>
    <w:rsid w:val="00CA4FFB"/>
    <w:rsid w:val="00CA6B6F"/>
    <w:rsid w:val="00CA6DD1"/>
    <w:rsid w:val="00CA7C99"/>
    <w:rsid w:val="00CB0180"/>
    <w:rsid w:val="00CB06D7"/>
    <w:rsid w:val="00CB1729"/>
    <w:rsid w:val="00CB383C"/>
    <w:rsid w:val="00CB38CE"/>
    <w:rsid w:val="00CB72E9"/>
    <w:rsid w:val="00CB7EC9"/>
    <w:rsid w:val="00CC078D"/>
    <w:rsid w:val="00CC195E"/>
    <w:rsid w:val="00CC1F61"/>
    <w:rsid w:val="00CC2E45"/>
    <w:rsid w:val="00CC3032"/>
    <w:rsid w:val="00CC4865"/>
    <w:rsid w:val="00CC58A5"/>
    <w:rsid w:val="00CC700E"/>
    <w:rsid w:val="00CC7CEB"/>
    <w:rsid w:val="00CD02B4"/>
    <w:rsid w:val="00CD06EB"/>
    <w:rsid w:val="00CD2EAE"/>
    <w:rsid w:val="00CD4CD7"/>
    <w:rsid w:val="00CD63AE"/>
    <w:rsid w:val="00CD6D64"/>
    <w:rsid w:val="00CD794F"/>
    <w:rsid w:val="00CD7DF7"/>
    <w:rsid w:val="00CE0B75"/>
    <w:rsid w:val="00CE2630"/>
    <w:rsid w:val="00CE32C2"/>
    <w:rsid w:val="00CE34EA"/>
    <w:rsid w:val="00CE42CA"/>
    <w:rsid w:val="00CE54D7"/>
    <w:rsid w:val="00CE57D4"/>
    <w:rsid w:val="00CF059B"/>
    <w:rsid w:val="00CF06A6"/>
    <w:rsid w:val="00CF2472"/>
    <w:rsid w:val="00CF3542"/>
    <w:rsid w:val="00CF4213"/>
    <w:rsid w:val="00CF62E1"/>
    <w:rsid w:val="00CF63F7"/>
    <w:rsid w:val="00CF670D"/>
    <w:rsid w:val="00D014B6"/>
    <w:rsid w:val="00D01735"/>
    <w:rsid w:val="00D02218"/>
    <w:rsid w:val="00D02B7E"/>
    <w:rsid w:val="00D03B5A"/>
    <w:rsid w:val="00D03C5D"/>
    <w:rsid w:val="00D0440A"/>
    <w:rsid w:val="00D04439"/>
    <w:rsid w:val="00D05975"/>
    <w:rsid w:val="00D11D1E"/>
    <w:rsid w:val="00D127C4"/>
    <w:rsid w:val="00D13C16"/>
    <w:rsid w:val="00D13CDC"/>
    <w:rsid w:val="00D1441F"/>
    <w:rsid w:val="00D16CAF"/>
    <w:rsid w:val="00D17772"/>
    <w:rsid w:val="00D2124C"/>
    <w:rsid w:val="00D21A35"/>
    <w:rsid w:val="00D21E1F"/>
    <w:rsid w:val="00D2352F"/>
    <w:rsid w:val="00D24355"/>
    <w:rsid w:val="00D24AC7"/>
    <w:rsid w:val="00D25B67"/>
    <w:rsid w:val="00D25D4B"/>
    <w:rsid w:val="00D26054"/>
    <w:rsid w:val="00D27563"/>
    <w:rsid w:val="00D27CE5"/>
    <w:rsid w:val="00D30005"/>
    <w:rsid w:val="00D309B2"/>
    <w:rsid w:val="00D30EEC"/>
    <w:rsid w:val="00D31BAE"/>
    <w:rsid w:val="00D32A68"/>
    <w:rsid w:val="00D334B5"/>
    <w:rsid w:val="00D33A44"/>
    <w:rsid w:val="00D340C8"/>
    <w:rsid w:val="00D35935"/>
    <w:rsid w:val="00D35DE3"/>
    <w:rsid w:val="00D37A66"/>
    <w:rsid w:val="00D37D22"/>
    <w:rsid w:val="00D4142A"/>
    <w:rsid w:val="00D41813"/>
    <w:rsid w:val="00D42A6B"/>
    <w:rsid w:val="00D439E5"/>
    <w:rsid w:val="00D45BCF"/>
    <w:rsid w:val="00D45D14"/>
    <w:rsid w:val="00D46D15"/>
    <w:rsid w:val="00D474DE"/>
    <w:rsid w:val="00D47C2C"/>
    <w:rsid w:val="00D47DE6"/>
    <w:rsid w:val="00D51363"/>
    <w:rsid w:val="00D51C52"/>
    <w:rsid w:val="00D5215E"/>
    <w:rsid w:val="00D52470"/>
    <w:rsid w:val="00D53AC5"/>
    <w:rsid w:val="00D55002"/>
    <w:rsid w:val="00D57194"/>
    <w:rsid w:val="00D57D53"/>
    <w:rsid w:val="00D60C70"/>
    <w:rsid w:val="00D60E6E"/>
    <w:rsid w:val="00D615A2"/>
    <w:rsid w:val="00D61899"/>
    <w:rsid w:val="00D622E4"/>
    <w:rsid w:val="00D63820"/>
    <w:rsid w:val="00D63DCE"/>
    <w:rsid w:val="00D64EA3"/>
    <w:rsid w:val="00D674A1"/>
    <w:rsid w:val="00D67D59"/>
    <w:rsid w:val="00D706B0"/>
    <w:rsid w:val="00D7228D"/>
    <w:rsid w:val="00D723BB"/>
    <w:rsid w:val="00D73D07"/>
    <w:rsid w:val="00D753FD"/>
    <w:rsid w:val="00D75F2A"/>
    <w:rsid w:val="00D777C8"/>
    <w:rsid w:val="00D81358"/>
    <w:rsid w:val="00D81363"/>
    <w:rsid w:val="00D8139D"/>
    <w:rsid w:val="00D81908"/>
    <w:rsid w:val="00D819DF"/>
    <w:rsid w:val="00D81A09"/>
    <w:rsid w:val="00D81CB6"/>
    <w:rsid w:val="00D830AC"/>
    <w:rsid w:val="00D84D0F"/>
    <w:rsid w:val="00D857EA"/>
    <w:rsid w:val="00D85DBE"/>
    <w:rsid w:val="00D8649C"/>
    <w:rsid w:val="00D86BC9"/>
    <w:rsid w:val="00D90100"/>
    <w:rsid w:val="00D9069C"/>
    <w:rsid w:val="00D91019"/>
    <w:rsid w:val="00D91FD3"/>
    <w:rsid w:val="00D92C74"/>
    <w:rsid w:val="00D92FAC"/>
    <w:rsid w:val="00D95BF0"/>
    <w:rsid w:val="00D95D34"/>
    <w:rsid w:val="00D9656B"/>
    <w:rsid w:val="00DA1885"/>
    <w:rsid w:val="00DA21F6"/>
    <w:rsid w:val="00DA2CDA"/>
    <w:rsid w:val="00DA423C"/>
    <w:rsid w:val="00DA4543"/>
    <w:rsid w:val="00DA50D5"/>
    <w:rsid w:val="00DA5B5E"/>
    <w:rsid w:val="00DA5DD4"/>
    <w:rsid w:val="00DA5E80"/>
    <w:rsid w:val="00DA726E"/>
    <w:rsid w:val="00DA75D7"/>
    <w:rsid w:val="00DA7926"/>
    <w:rsid w:val="00DA79D4"/>
    <w:rsid w:val="00DA7AC2"/>
    <w:rsid w:val="00DB0927"/>
    <w:rsid w:val="00DB12E7"/>
    <w:rsid w:val="00DB1502"/>
    <w:rsid w:val="00DB35EB"/>
    <w:rsid w:val="00DB3AC8"/>
    <w:rsid w:val="00DB3EF9"/>
    <w:rsid w:val="00DB4EA4"/>
    <w:rsid w:val="00DB606D"/>
    <w:rsid w:val="00DB6A08"/>
    <w:rsid w:val="00DB6DA9"/>
    <w:rsid w:val="00DC079C"/>
    <w:rsid w:val="00DC1DB5"/>
    <w:rsid w:val="00DC27EF"/>
    <w:rsid w:val="00DC37D5"/>
    <w:rsid w:val="00DC4138"/>
    <w:rsid w:val="00DC4BE5"/>
    <w:rsid w:val="00DC4DE6"/>
    <w:rsid w:val="00DC4F72"/>
    <w:rsid w:val="00DC4F87"/>
    <w:rsid w:val="00DC69D5"/>
    <w:rsid w:val="00DC7D8F"/>
    <w:rsid w:val="00DD0F75"/>
    <w:rsid w:val="00DD1935"/>
    <w:rsid w:val="00DD44DD"/>
    <w:rsid w:val="00DD4CB7"/>
    <w:rsid w:val="00DD62B7"/>
    <w:rsid w:val="00DD7D80"/>
    <w:rsid w:val="00DE0E6E"/>
    <w:rsid w:val="00DE3DB9"/>
    <w:rsid w:val="00DE4573"/>
    <w:rsid w:val="00DE5FE4"/>
    <w:rsid w:val="00DE7030"/>
    <w:rsid w:val="00DE78DE"/>
    <w:rsid w:val="00DF0360"/>
    <w:rsid w:val="00DF12FF"/>
    <w:rsid w:val="00DF138E"/>
    <w:rsid w:val="00DF2003"/>
    <w:rsid w:val="00DF2F3E"/>
    <w:rsid w:val="00DF5332"/>
    <w:rsid w:val="00DF5F48"/>
    <w:rsid w:val="00DF71D9"/>
    <w:rsid w:val="00DF76CC"/>
    <w:rsid w:val="00DF772D"/>
    <w:rsid w:val="00E001F5"/>
    <w:rsid w:val="00E019B5"/>
    <w:rsid w:val="00E021B5"/>
    <w:rsid w:val="00E021FA"/>
    <w:rsid w:val="00E04AFF"/>
    <w:rsid w:val="00E050D2"/>
    <w:rsid w:val="00E0565C"/>
    <w:rsid w:val="00E06582"/>
    <w:rsid w:val="00E06B33"/>
    <w:rsid w:val="00E07159"/>
    <w:rsid w:val="00E07373"/>
    <w:rsid w:val="00E101E7"/>
    <w:rsid w:val="00E10BE4"/>
    <w:rsid w:val="00E1131D"/>
    <w:rsid w:val="00E12691"/>
    <w:rsid w:val="00E1300A"/>
    <w:rsid w:val="00E130D1"/>
    <w:rsid w:val="00E142F6"/>
    <w:rsid w:val="00E14605"/>
    <w:rsid w:val="00E14AEB"/>
    <w:rsid w:val="00E14E3A"/>
    <w:rsid w:val="00E1517F"/>
    <w:rsid w:val="00E15B68"/>
    <w:rsid w:val="00E15F48"/>
    <w:rsid w:val="00E172C3"/>
    <w:rsid w:val="00E17348"/>
    <w:rsid w:val="00E211C1"/>
    <w:rsid w:val="00E24483"/>
    <w:rsid w:val="00E2476B"/>
    <w:rsid w:val="00E25674"/>
    <w:rsid w:val="00E25C8B"/>
    <w:rsid w:val="00E25D94"/>
    <w:rsid w:val="00E265AF"/>
    <w:rsid w:val="00E266BC"/>
    <w:rsid w:val="00E32FF5"/>
    <w:rsid w:val="00E33495"/>
    <w:rsid w:val="00E340B8"/>
    <w:rsid w:val="00E35816"/>
    <w:rsid w:val="00E3606E"/>
    <w:rsid w:val="00E36F34"/>
    <w:rsid w:val="00E40A16"/>
    <w:rsid w:val="00E427CE"/>
    <w:rsid w:val="00E439C9"/>
    <w:rsid w:val="00E439FB"/>
    <w:rsid w:val="00E43B61"/>
    <w:rsid w:val="00E44002"/>
    <w:rsid w:val="00E464EA"/>
    <w:rsid w:val="00E4674F"/>
    <w:rsid w:val="00E46E0E"/>
    <w:rsid w:val="00E476D9"/>
    <w:rsid w:val="00E4785A"/>
    <w:rsid w:val="00E51C41"/>
    <w:rsid w:val="00E535E1"/>
    <w:rsid w:val="00E53E61"/>
    <w:rsid w:val="00E545D5"/>
    <w:rsid w:val="00E54A9C"/>
    <w:rsid w:val="00E54AAD"/>
    <w:rsid w:val="00E54B13"/>
    <w:rsid w:val="00E55065"/>
    <w:rsid w:val="00E55AC0"/>
    <w:rsid w:val="00E55E07"/>
    <w:rsid w:val="00E55F4A"/>
    <w:rsid w:val="00E55FD4"/>
    <w:rsid w:val="00E5601E"/>
    <w:rsid w:val="00E57CAA"/>
    <w:rsid w:val="00E632D5"/>
    <w:rsid w:val="00E63B12"/>
    <w:rsid w:val="00E660CB"/>
    <w:rsid w:val="00E6665F"/>
    <w:rsid w:val="00E676AE"/>
    <w:rsid w:val="00E70622"/>
    <w:rsid w:val="00E71144"/>
    <w:rsid w:val="00E7235D"/>
    <w:rsid w:val="00E7269B"/>
    <w:rsid w:val="00E72999"/>
    <w:rsid w:val="00E74AB3"/>
    <w:rsid w:val="00E74F0B"/>
    <w:rsid w:val="00E75419"/>
    <w:rsid w:val="00E760CA"/>
    <w:rsid w:val="00E77836"/>
    <w:rsid w:val="00E80C0C"/>
    <w:rsid w:val="00E8218A"/>
    <w:rsid w:val="00E8249D"/>
    <w:rsid w:val="00E83CE1"/>
    <w:rsid w:val="00E857BE"/>
    <w:rsid w:val="00E85D51"/>
    <w:rsid w:val="00E85E16"/>
    <w:rsid w:val="00E86873"/>
    <w:rsid w:val="00E87928"/>
    <w:rsid w:val="00E87B47"/>
    <w:rsid w:val="00E90221"/>
    <w:rsid w:val="00E907FB"/>
    <w:rsid w:val="00E90ED3"/>
    <w:rsid w:val="00E91FA7"/>
    <w:rsid w:val="00E9246A"/>
    <w:rsid w:val="00E924B3"/>
    <w:rsid w:val="00E93ECF"/>
    <w:rsid w:val="00E9408D"/>
    <w:rsid w:val="00E94102"/>
    <w:rsid w:val="00E94343"/>
    <w:rsid w:val="00E95080"/>
    <w:rsid w:val="00E9617E"/>
    <w:rsid w:val="00E96907"/>
    <w:rsid w:val="00E97369"/>
    <w:rsid w:val="00E978AE"/>
    <w:rsid w:val="00EA0122"/>
    <w:rsid w:val="00EA0209"/>
    <w:rsid w:val="00EA1342"/>
    <w:rsid w:val="00EA2318"/>
    <w:rsid w:val="00EA4E7A"/>
    <w:rsid w:val="00EA5E82"/>
    <w:rsid w:val="00EA609C"/>
    <w:rsid w:val="00EB0707"/>
    <w:rsid w:val="00EB1D42"/>
    <w:rsid w:val="00EB2E22"/>
    <w:rsid w:val="00EB3449"/>
    <w:rsid w:val="00EB37AA"/>
    <w:rsid w:val="00EB5126"/>
    <w:rsid w:val="00EB5DF1"/>
    <w:rsid w:val="00EC20A9"/>
    <w:rsid w:val="00EC27AC"/>
    <w:rsid w:val="00EC2BC1"/>
    <w:rsid w:val="00EC3955"/>
    <w:rsid w:val="00EC3C89"/>
    <w:rsid w:val="00EC50A7"/>
    <w:rsid w:val="00EC6720"/>
    <w:rsid w:val="00EC7B1D"/>
    <w:rsid w:val="00ED058B"/>
    <w:rsid w:val="00ED2541"/>
    <w:rsid w:val="00ED3490"/>
    <w:rsid w:val="00ED4239"/>
    <w:rsid w:val="00ED4E45"/>
    <w:rsid w:val="00ED518A"/>
    <w:rsid w:val="00ED5E14"/>
    <w:rsid w:val="00ED6180"/>
    <w:rsid w:val="00ED6791"/>
    <w:rsid w:val="00ED71C5"/>
    <w:rsid w:val="00ED7339"/>
    <w:rsid w:val="00EE270C"/>
    <w:rsid w:val="00EE43B8"/>
    <w:rsid w:val="00EE5B30"/>
    <w:rsid w:val="00EE6098"/>
    <w:rsid w:val="00EE6BC2"/>
    <w:rsid w:val="00EF20F2"/>
    <w:rsid w:val="00EF22CC"/>
    <w:rsid w:val="00EF22E0"/>
    <w:rsid w:val="00EF2DA5"/>
    <w:rsid w:val="00EF3974"/>
    <w:rsid w:val="00EF3F12"/>
    <w:rsid w:val="00EF5248"/>
    <w:rsid w:val="00EF552C"/>
    <w:rsid w:val="00EF56D5"/>
    <w:rsid w:val="00F00695"/>
    <w:rsid w:val="00F0101A"/>
    <w:rsid w:val="00F016AC"/>
    <w:rsid w:val="00F01C06"/>
    <w:rsid w:val="00F02334"/>
    <w:rsid w:val="00F03203"/>
    <w:rsid w:val="00F04554"/>
    <w:rsid w:val="00F04DB8"/>
    <w:rsid w:val="00F04E12"/>
    <w:rsid w:val="00F04FA9"/>
    <w:rsid w:val="00F05DCF"/>
    <w:rsid w:val="00F06193"/>
    <w:rsid w:val="00F06B9B"/>
    <w:rsid w:val="00F06D6C"/>
    <w:rsid w:val="00F07912"/>
    <w:rsid w:val="00F10FB8"/>
    <w:rsid w:val="00F11EF8"/>
    <w:rsid w:val="00F1263D"/>
    <w:rsid w:val="00F12EBB"/>
    <w:rsid w:val="00F15B63"/>
    <w:rsid w:val="00F15D02"/>
    <w:rsid w:val="00F15FD6"/>
    <w:rsid w:val="00F16591"/>
    <w:rsid w:val="00F2241E"/>
    <w:rsid w:val="00F226DC"/>
    <w:rsid w:val="00F22895"/>
    <w:rsid w:val="00F22928"/>
    <w:rsid w:val="00F23476"/>
    <w:rsid w:val="00F24499"/>
    <w:rsid w:val="00F25B07"/>
    <w:rsid w:val="00F302CE"/>
    <w:rsid w:val="00F30B83"/>
    <w:rsid w:val="00F310C1"/>
    <w:rsid w:val="00F31D7E"/>
    <w:rsid w:val="00F34010"/>
    <w:rsid w:val="00F34586"/>
    <w:rsid w:val="00F35C73"/>
    <w:rsid w:val="00F36564"/>
    <w:rsid w:val="00F40FFC"/>
    <w:rsid w:val="00F41FB3"/>
    <w:rsid w:val="00F457A7"/>
    <w:rsid w:val="00F4675F"/>
    <w:rsid w:val="00F46A57"/>
    <w:rsid w:val="00F46C87"/>
    <w:rsid w:val="00F4735D"/>
    <w:rsid w:val="00F4779F"/>
    <w:rsid w:val="00F515A9"/>
    <w:rsid w:val="00F519C6"/>
    <w:rsid w:val="00F51B3A"/>
    <w:rsid w:val="00F531BF"/>
    <w:rsid w:val="00F53CCF"/>
    <w:rsid w:val="00F558D9"/>
    <w:rsid w:val="00F57FD2"/>
    <w:rsid w:val="00F61826"/>
    <w:rsid w:val="00F6199D"/>
    <w:rsid w:val="00F642C0"/>
    <w:rsid w:val="00F64E25"/>
    <w:rsid w:val="00F65009"/>
    <w:rsid w:val="00F6563E"/>
    <w:rsid w:val="00F670EF"/>
    <w:rsid w:val="00F67E7B"/>
    <w:rsid w:val="00F72795"/>
    <w:rsid w:val="00F74ED1"/>
    <w:rsid w:val="00F76A53"/>
    <w:rsid w:val="00F76B9A"/>
    <w:rsid w:val="00F77319"/>
    <w:rsid w:val="00F77B5C"/>
    <w:rsid w:val="00F80236"/>
    <w:rsid w:val="00F806EC"/>
    <w:rsid w:val="00F816B2"/>
    <w:rsid w:val="00F8189D"/>
    <w:rsid w:val="00F82FF3"/>
    <w:rsid w:val="00F84265"/>
    <w:rsid w:val="00F85D91"/>
    <w:rsid w:val="00F86B70"/>
    <w:rsid w:val="00F86E27"/>
    <w:rsid w:val="00F86FCD"/>
    <w:rsid w:val="00F93230"/>
    <w:rsid w:val="00F93366"/>
    <w:rsid w:val="00F9340D"/>
    <w:rsid w:val="00F93A3C"/>
    <w:rsid w:val="00F93F94"/>
    <w:rsid w:val="00F93FFE"/>
    <w:rsid w:val="00F94237"/>
    <w:rsid w:val="00F95790"/>
    <w:rsid w:val="00F957D5"/>
    <w:rsid w:val="00F96B92"/>
    <w:rsid w:val="00F976DF"/>
    <w:rsid w:val="00F97869"/>
    <w:rsid w:val="00FA0417"/>
    <w:rsid w:val="00FA1E25"/>
    <w:rsid w:val="00FA1EB6"/>
    <w:rsid w:val="00FA254A"/>
    <w:rsid w:val="00FA27D0"/>
    <w:rsid w:val="00FA343D"/>
    <w:rsid w:val="00FA43AF"/>
    <w:rsid w:val="00FA5341"/>
    <w:rsid w:val="00FA5D80"/>
    <w:rsid w:val="00FA618D"/>
    <w:rsid w:val="00FA661D"/>
    <w:rsid w:val="00FB19ED"/>
    <w:rsid w:val="00FB35BC"/>
    <w:rsid w:val="00FB37E3"/>
    <w:rsid w:val="00FB43B1"/>
    <w:rsid w:val="00FB4F2C"/>
    <w:rsid w:val="00FB6F28"/>
    <w:rsid w:val="00FB7635"/>
    <w:rsid w:val="00FC1C34"/>
    <w:rsid w:val="00FC7571"/>
    <w:rsid w:val="00FC791E"/>
    <w:rsid w:val="00FC7A0C"/>
    <w:rsid w:val="00FD1C16"/>
    <w:rsid w:val="00FD2FF0"/>
    <w:rsid w:val="00FD310E"/>
    <w:rsid w:val="00FD3D2D"/>
    <w:rsid w:val="00FD451C"/>
    <w:rsid w:val="00FD4700"/>
    <w:rsid w:val="00FD4DFA"/>
    <w:rsid w:val="00FD50AB"/>
    <w:rsid w:val="00FD5F72"/>
    <w:rsid w:val="00FD6A28"/>
    <w:rsid w:val="00FD74CE"/>
    <w:rsid w:val="00FD77AC"/>
    <w:rsid w:val="00FD7CFD"/>
    <w:rsid w:val="00FE1A72"/>
    <w:rsid w:val="00FE21D4"/>
    <w:rsid w:val="00FE2A8F"/>
    <w:rsid w:val="00FE2B59"/>
    <w:rsid w:val="00FE34EC"/>
    <w:rsid w:val="00FE4FD4"/>
    <w:rsid w:val="00FE5017"/>
    <w:rsid w:val="00FE76E2"/>
    <w:rsid w:val="00FF1873"/>
    <w:rsid w:val="00FF221D"/>
    <w:rsid w:val="00FF336F"/>
    <w:rsid w:val="00FF3C64"/>
    <w:rsid w:val="00FF468D"/>
    <w:rsid w:val="00FF4D94"/>
    <w:rsid w:val="00FF51B2"/>
    <w:rsid w:val="00FF5654"/>
    <w:rsid w:val="00FF5ACA"/>
    <w:rsid w:val="00FF5EF9"/>
    <w:rsid w:val="00FF6E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black"/>
    </o:shapedefaults>
    <o:shapelayout v:ext="edit">
      <o:idmap v:ext="edit" data="1"/>
    </o:shapelayout>
  </w:shapeDefaults>
  <w:decimalSymbol w:val="."/>
  <w:listSeparator w:val=","/>
  <w14:docId w14:val="6FB6E15F"/>
  <w15:docId w15:val="{E7FF0305-C5CB-49D6-9A4E-7D1F1199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6C8A"/>
    <w:pPr>
      <w:tabs>
        <w:tab w:val="center" w:pos="5130"/>
      </w:tabs>
      <w:spacing w:before="60" w:line="276" w:lineRule="auto"/>
    </w:pPr>
    <w:rPr>
      <w:rFonts w:ascii="Microsoft PhagsPa" w:hAnsi="Microsoft PhagsPa" w:cs="Arial"/>
      <w:sz w:val="22"/>
      <w:szCs w:val="22"/>
    </w:rPr>
  </w:style>
  <w:style w:type="paragraph" w:styleId="Heading1">
    <w:name w:val="heading 1"/>
    <w:basedOn w:val="Normal"/>
    <w:next w:val="Normal"/>
    <w:link w:val="Heading1Char"/>
    <w:uiPriority w:val="9"/>
    <w:qFormat/>
    <w:rsid w:val="009F1B94"/>
    <w:pPr>
      <w:keepNext/>
      <w:keepLines/>
      <w:spacing w:before="0" w:after="0" w:line="240" w:lineRule="auto"/>
      <w:outlineLvl w:val="0"/>
    </w:pPr>
    <w:rPr>
      <w:rFonts w:eastAsiaTheme="majorEastAsia" w:cstheme="majorBidi"/>
      <w:color w:val="FFFFFF" w:themeColor="background1"/>
      <w:sz w:val="44"/>
      <w:szCs w:val="44"/>
    </w:rPr>
  </w:style>
  <w:style w:type="paragraph" w:styleId="Heading2">
    <w:name w:val="heading 2"/>
    <w:basedOn w:val="Normal"/>
    <w:next w:val="Normal"/>
    <w:link w:val="Heading2Char"/>
    <w:uiPriority w:val="9"/>
    <w:unhideWhenUsed/>
    <w:qFormat/>
    <w:rsid w:val="006716DD"/>
    <w:pPr>
      <w:spacing w:before="360" w:after="280"/>
      <w:outlineLvl w:val="1"/>
    </w:pPr>
    <w:rPr>
      <w:b/>
      <w:color w:val="256169"/>
      <w:sz w:val="48"/>
      <w:szCs w:val="48"/>
    </w:rPr>
  </w:style>
  <w:style w:type="paragraph" w:styleId="Heading3">
    <w:name w:val="heading 3"/>
    <w:basedOn w:val="Normal"/>
    <w:next w:val="Normal"/>
    <w:link w:val="Heading3Char"/>
    <w:uiPriority w:val="9"/>
    <w:unhideWhenUsed/>
    <w:qFormat/>
    <w:rsid w:val="00327FD1"/>
    <w:pPr>
      <w:spacing w:before="360" w:after="240"/>
      <w:outlineLvl w:val="2"/>
    </w:pPr>
    <w:rPr>
      <w:sz w:val="32"/>
      <w:szCs w:val="32"/>
    </w:rPr>
  </w:style>
  <w:style w:type="paragraph" w:styleId="Heading4">
    <w:name w:val="heading 4"/>
    <w:basedOn w:val="Normal"/>
    <w:next w:val="Normal"/>
    <w:link w:val="Heading4Char"/>
    <w:uiPriority w:val="9"/>
    <w:semiHidden/>
    <w:unhideWhenUsed/>
    <w:qFormat/>
    <w:rsid w:val="00CE54D7"/>
    <w:pPr>
      <w:keepNext/>
      <w:keepLines/>
      <w:spacing w:before="4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CE54D7"/>
    <w:pPr>
      <w:keepNext/>
      <w:keepLines/>
      <w:spacing w:before="40" w:after="0"/>
      <w:outlineLvl w:val="4"/>
    </w:pPr>
    <w:rPr>
      <w:rFonts w:asciiTheme="majorHAnsi" w:eastAsiaTheme="majorEastAsia" w:hAnsiTheme="majorHAnsi" w:cstheme="majorBidi"/>
      <w:color w:val="1F497D" w:themeColor="text2"/>
    </w:rPr>
  </w:style>
  <w:style w:type="paragraph" w:styleId="Heading6">
    <w:name w:val="heading 6"/>
    <w:basedOn w:val="Normal"/>
    <w:next w:val="Normal"/>
    <w:link w:val="Heading6Char"/>
    <w:uiPriority w:val="9"/>
    <w:semiHidden/>
    <w:unhideWhenUsed/>
    <w:qFormat/>
    <w:rsid w:val="00CE54D7"/>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E54D7"/>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E54D7"/>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CE54D7"/>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1B03"/>
    <w:pPr>
      <w:tabs>
        <w:tab w:val="right" w:pos="9360"/>
      </w:tabs>
    </w:pPr>
    <w:rPr>
      <w:rFonts w:ascii="Arial" w:hAnsi="Arial"/>
      <w:b/>
      <w:color w:val="000080"/>
      <w:sz w:val="20"/>
      <w:szCs w:val="20"/>
    </w:rPr>
  </w:style>
  <w:style w:type="paragraph" w:styleId="Footer">
    <w:name w:val="footer"/>
    <w:basedOn w:val="Normal"/>
    <w:link w:val="FooterChar"/>
    <w:uiPriority w:val="99"/>
    <w:rsid w:val="00BE111C"/>
    <w:pPr>
      <w:tabs>
        <w:tab w:val="center" w:pos="4320"/>
        <w:tab w:val="right" w:pos="8640"/>
      </w:tabs>
    </w:pPr>
  </w:style>
  <w:style w:type="paragraph" w:styleId="TOC2">
    <w:name w:val="toc 2"/>
    <w:basedOn w:val="Normal"/>
    <w:next w:val="Normal"/>
    <w:autoRedefine/>
    <w:uiPriority w:val="39"/>
    <w:rsid w:val="00E211C1"/>
    <w:pPr>
      <w:tabs>
        <w:tab w:val="right" w:pos="5130"/>
        <w:tab w:val="right" w:pos="9360"/>
        <w:tab w:val="left" w:pos="14400"/>
        <w:tab w:val="left" w:pos="16646"/>
      </w:tabs>
      <w:spacing w:before="40" w:after="40"/>
      <w:ind w:left="634" w:hanging="389"/>
    </w:pPr>
    <w:rPr>
      <w:rFonts w:ascii="Verdana" w:hAnsi="Verdana"/>
    </w:rPr>
  </w:style>
  <w:style w:type="character" w:styleId="PageNumber">
    <w:name w:val="page number"/>
    <w:basedOn w:val="DefaultParagraphFont"/>
    <w:rsid w:val="00BE111C"/>
  </w:style>
  <w:style w:type="table" w:customStyle="1" w:styleId="Table">
    <w:name w:val="Table"/>
    <w:basedOn w:val="TableNormal"/>
    <w:rsid w:val="00457E9C"/>
    <w:rPr>
      <w:rFonts w:ascii="Arial" w:hAnsi="Aria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Arial" w:hAnsi="Arial"/>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AC4D1F"/>
    <w:pPr>
      <w:tabs>
        <w:tab w:val="left" w:pos="270"/>
        <w:tab w:val="left" w:pos="450"/>
        <w:tab w:val="right" w:leader="dot" w:pos="9360"/>
      </w:tabs>
      <w:spacing w:before="120"/>
      <w:jc w:val="center"/>
    </w:pPr>
    <w:rPr>
      <w:rFonts w:ascii="Arial" w:hAnsi="Arial" w:cs="Arial"/>
      <w:noProof/>
      <w:sz w:val="24"/>
      <w:szCs w:val="24"/>
    </w:rPr>
  </w:style>
  <w:style w:type="character" w:styleId="Hyperlink">
    <w:name w:val="Hyperlink"/>
    <w:basedOn w:val="DefaultParagraphFont"/>
    <w:uiPriority w:val="99"/>
    <w:rsid w:val="00D622E4"/>
    <w:rPr>
      <w:color w:val="0000FF"/>
      <w:u w:val="single"/>
    </w:rPr>
  </w:style>
  <w:style w:type="paragraph" w:styleId="ListBullet">
    <w:name w:val="List Bullet"/>
    <w:basedOn w:val="Normal"/>
    <w:rsid w:val="00C273D4"/>
    <w:pPr>
      <w:numPr>
        <w:numId w:val="1"/>
      </w:numPr>
    </w:pPr>
  </w:style>
  <w:style w:type="paragraph" w:customStyle="1" w:styleId="Tabletext">
    <w:name w:val="Table text"/>
    <w:basedOn w:val="Normal"/>
    <w:rsid w:val="00F15B63"/>
    <w:pPr>
      <w:spacing w:before="40" w:after="40"/>
    </w:pPr>
    <w:rPr>
      <w:rFonts w:ascii="Arial" w:hAnsi="Arial"/>
      <w:sz w:val="20"/>
    </w:rPr>
  </w:style>
  <w:style w:type="paragraph" w:styleId="BodyText">
    <w:name w:val="Body Text"/>
    <w:basedOn w:val="Normal"/>
    <w:link w:val="BodyTextChar"/>
    <w:uiPriority w:val="99"/>
    <w:rsid w:val="00C273D4"/>
    <w:pPr>
      <w:spacing w:after="160"/>
    </w:pPr>
  </w:style>
  <w:style w:type="paragraph" w:customStyle="1" w:styleId="TableHead">
    <w:name w:val="Table Head"/>
    <w:basedOn w:val="Normal"/>
    <w:rsid w:val="009F70EA"/>
    <w:pPr>
      <w:spacing w:before="40" w:after="40"/>
      <w:jc w:val="center"/>
    </w:pPr>
    <w:rPr>
      <w:rFonts w:ascii="Arial" w:hAnsi="Arial"/>
      <w:b/>
      <w:sz w:val="20"/>
    </w:rPr>
  </w:style>
  <w:style w:type="paragraph" w:styleId="Caption">
    <w:name w:val="caption"/>
    <w:basedOn w:val="Normal"/>
    <w:next w:val="Normal"/>
    <w:uiPriority w:val="35"/>
    <w:unhideWhenUsed/>
    <w:qFormat/>
    <w:rsid w:val="00CE54D7"/>
    <w:pPr>
      <w:spacing w:line="240" w:lineRule="auto"/>
    </w:pPr>
    <w:rPr>
      <w:b/>
      <w:bCs/>
      <w:smallCaps/>
      <w:color w:val="595959" w:themeColor="text1" w:themeTint="A6"/>
      <w:spacing w:val="6"/>
    </w:rPr>
  </w:style>
  <w:style w:type="paragraph" w:customStyle="1" w:styleId="Tablebullet">
    <w:name w:val="Table bullet"/>
    <w:basedOn w:val="Tabletext"/>
    <w:rsid w:val="00B65B53"/>
    <w:pPr>
      <w:numPr>
        <w:numId w:val="2"/>
      </w:numPr>
    </w:pPr>
  </w:style>
  <w:style w:type="paragraph" w:styleId="BalloonText">
    <w:name w:val="Balloon Text"/>
    <w:basedOn w:val="Normal"/>
    <w:semiHidden/>
    <w:rsid w:val="00F515A9"/>
    <w:rPr>
      <w:rFonts w:ascii="Tahoma" w:hAnsi="Tahoma" w:cs="Tahoma"/>
      <w:sz w:val="16"/>
      <w:szCs w:val="16"/>
    </w:rPr>
  </w:style>
  <w:style w:type="paragraph" w:customStyle="1" w:styleId="HeaderTitle">
    <w:name w:val="HeaderTitle"/>
    <w:basedOn w:val="Normal"/>
    <w:rsid w:val="007715DC"/>
    <w:rPr>
      <w:rFonts w:ascii="Verdana" w:hAnsi="Verdana"/>
      <w:b/>
      <w:caps/>
      <w:color w:val="FFFFFF"/>
      <w:sz w:val="28"/>
      <w:szCs w:val="28"/>
      <w:lang w:val="fr-FR"/>
    </w:rPr>
  </w:style>
  <w:style w:type="paragraph" w:customStyle="1" w:styleId="HeaderSubTitle">
    <w:name w:val="HeaderSubTitle"/>
    <w:basedOn w:val="Normal"/>
    <w:rsid w:val="007715DC"/>
    <w:rPr>
      <w:rFonts w:ascii="Arial" w:hAnsi="Arial"/>
      <w:b/>
      <w:color w:val="FFFFFF"/>
      <w:lang w:val="fr-FR"/>
    </w:rPr>
  </w:style>
  <w:style w:type="paragraph" w:styleId="Title">
    <w:name w:val="Title"/>
    <w:basedOn w:val="Normal"/>
    <w:next w:val="Normal"/>
    <w:link w:val="TitleChar"/>
    <w:uiPriority w:val="10"/>
    <w:qFormat/>
    <w:rsid w:val="00CE54D7"/>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customStyle="1" w:styleId="FooterTitle">
    <w:name w:val="FooterTitle"/>
    <w:next w:val="Heading3"/>
    <w:link w:val="FooterTitleChar"/>
    <w:rsid w:val="007715DC"/>
    <w:pPr>
      <w:tabs>
        <w:tab w:val="center" w:pos="4680"/>
        <w:tab w:val="right" w:pos="9360"/>
      </w:tabs>
    </w:pPr>
    <w:rPr>
      <w:rFonts w:ascii="Arial Bold" w:hAnsi="Arial Bold" w:cs="Arial"/>
      <w:b/>
      <w:color w:val="2E368F"/>
      <w:sz w:val="18"/>
      <w:szCs w:val="18"/>
    </w:rPr>
  </w:style>
  <w:style w:type="paragraph" w:customStyle="1" w:styleId="PageNumber0">
    <w:name w:val="PageNumber"/>
    <w:basedOn w:val="FooterTitle"/>
    <w:rsid w:val="007715DC"/>
    <w:rPr>
      <w:rFonts w:ascii="Arial" w:hAnsi="Arial"/>
    </w:rPr>
  </w:style>
  <w:style w:type="character" w:customStyle="1" w:styleId="HeaderChar">
    <w:name w:val="Header Char"/>
    <w:basedOn w:val="DefaultParagraphFont"/>
    <w:link w:val="Header"/>
    <w:rsid w:val="007B1B03"/>
    <w:rPr>
      <w:rFonts w:ascii="Arial" w:hAnsi="Arial" w:cs="Arial"/>
      <w:b/>
      <w:color w:val="000080"/>
      <w:lang w:val="en-US" w:eastAsia="en-US" w:bidi="ar-SA"/>
    </w:rPr>
  </w:style>
  <w:style w:type="character" w:customStyle="1" w:styleId="FooterTitleChar">
    <w:name w:val="FooterTitle Char"/>
    <w:basedOn w:val="HeaderChar"/>
    <w:link w:val="FooterTitle"/>
    <w:rsid w:val="007715DC"/>
    <w:rPr>
      <w:rFonts w:ascii="Arial Bold" w:hAnsi="Arial Bold" w:cs="Arial"/>
      <w:b/>
      <w:color w:val="2E368F"/>
      <w:sz w:val="18"/>
      <w:szCs w:val="18"/>
      <w:lang w:val="en-US" w:eastAsia="en-US" w:bidi="ar-SA"/>
    </w:rPr>
  </w:style>
  <w:style w:type="paragraph" w:customStyle="1" w:styleId="Draft">
    <w:name w:val="Draft"/>
    <w:basedOn w:val="Header"/>
    <w:link w:val="DraftChar"/>
    <w:rsid w:val="007B1B03"/>
    <w:pPr>
      <w:tabs>
        <w:tab w:val="center" w:pos="4680"/>
      </w:tabs>
      <w:jc w:val="center"/>
    </w:pPr>
    <w:rPr>
      <w:rFonts w:ascii="Verdana" w:hAnsi="Verdana"/>
      <w:b w:val="0"/>
      <w:caps/>
      <w:color w:val="2E368F"/>
      <w:sz w:val="18"/>
      <w:szCs w:val="18"/>
    </w:rPr>
  </w:style>
  <w:style w:type="table" w:styleId="TableGrid">
    <w:name w:val="Table Grid"/>
    <w:basedOn w:val="TableNormal"/>
    <w:uiPriority w:val="39"/>
    <w:rsid w:val="00AE4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C273D4"/>
    <w:pPr>
      <w:numPr>
        <w:numId w:val="3"/>
      </w:numPr>
      <w:tabs>
        <w:tab w:val="clear" w:pos="720"/>
      </w:tabs>
      <w:ind w:left="1080"/>
    </w:pPr>
  </w:style>
  <w:style w:type="character" w:customStyle="1" w:styleId="DraftChar">
    <w:name w:val="Draft Char"/>
    <w:basedOn w:val="HeaderChar"/>
    <w:link w:val="Draft"/>
    <w:rsid w:val="007B1B03"/>
    <w:rPr>
      <w:rFonts w:ascii="Verdana" w:hAnsi="Verdana" w:cs="Arial"/>
      <w:b/>
      <w:caps/>
      <w:color w:val="2E368F"/>
      <w:sz w:val="18"/>
      <w:szCs w:val="18"/>
      <w:lang w:val="en-US" w:eastAsia="en-US" w:bidi="ar-SA"/>
    </w:rPr>
  </w:style>
  <w:style w:type="paragraph" w:customStyle="1" w:styleId="Report">
    <w:name w:val="Report"/>
    <w:basedOn w:val="Heading1"/>
    <w:rsid w:val="00D81CB6"/>
    <w:rPr>
      <w:rFonts w:ascii="Verdana" w:hAnsi="Verdana"/>
      <w:smallCaps/>
      <w:sz w:val="56"/>
      <w:szCs w:val="56"/>
    </w:rPr>
  </w:style>
  <w:style w:type="numbering" w:styleId="1ai">
    <w:name w:val="Outline List 1"/>
    <w:basedOn w:val="NoList"/>
    <w:rsid w:val="00A279FB"/>
    <w:pPr>
      <w:numPr>
        <w:numId w:val="4"/>
      </w:numPr>
    </w:pPr>
  </w:style>
  <w:style w:type="paragraph" w:customStyle="1" w:styleId="Exercise">
    <w:name w:val="Exercise"/>
    <w:basedOn w:val="Report"/>
    <w:rsid w:val="00D81CB6"/>
    <w:rPr>
      <w:b/>
      <w:smallCaps w:val="0"/>
      <w:sz w:val="28"/>
      <w:szCs w:val="28"/>
    </w:rPr>
  </w:style>
  <w:style w:type="paragraph" w:customStyle="1" w:styleId="NormalList">
    <w:name w:val="Normal/List"/>
    <w:basedOn w:val="Normal"/>
    <w:rsid w:val="004623E1"/>
    <w:pPr>
      <w:tabs>
        <w:tab w:val="left" w:pos="576"/>
        <w:tab w:val="left" w:pos="1152"/>
        <w:tab w:val="left" w:pos="1728"/>
        <w:tab w:val="left" w:pos="2304"/>
        <w:tab w:val="left" w:pos="2880"/>
        <w:tab w:val="left" w:pos="3456"/>
      </w:tabs>
    </w:pPr>
    <w:rPr>
      <w:snapToGrid w:val="0"/>
      <w:szCs w:val="20"/>
    </w:rPr>
  </w:style>
  <w:style w:type="character" w:customStyle="1" w:styleId="Heading3Char">
    <w:name w:val="Heading 3 Char"/>
    <w:basedOn w:val="DefaultParagraphFont"/>
    <w:link w:val="Heading3"/>
    <w:uiPriority w:val="9"/>
    <w:rsid w:val="00327FD1"/>
    <w:rPr>
      <w:rFonts w:ascii="Microsoft PhagsPa" w:hAnsi="Microsoft PhagsPa" w:cs="Arial"/>
      <w:sz w:val="32"/>
      <w:szCs w:val="32"/>
    </w:rPr>
  </w:style>
  <w:style w:type="paragraph" w:customStyle="1" w:styleId="DHS">
    <w:name w:val="DHS"/>
    <w:basedOn w:val="Exercise"/>
    <w:rsid w:val="00D81CB6"/>
    <w:pPr>
      <w:spacing w:before="3000"/>
    </w:pPr>
  </w:style>
  <w:style w:type="paragraph" w:styleId="Date">
    <w:name w:val="Date"/>
    <w:basedOn w:val="Normal"/>
    <w:next w:val="Normal"/>
    <w:rsid w:val="00D81CB6"/>
    <w:pPr>
      <w:spacing w:before="480"/>
      <w:jc w:val="center"/>
    </w:pPr>
    <w:rPr>
      <w:rFonts w:ascii="Verdana" w:hAnsi="Verdana"/>
      <w:b/>
      <w:color w:val="000080"/>
      <w:sz w:val="28"/>
      <w:szCs w:val="28"/>
    </w:rPr>
  </w:style>
  <w:style w:type="paragraph" w:customStyle="1" w:styleId="Subheading">
    <w:name w:val="Subheading"/>
    <w:basedOn w:val="Heading3"/>
    <w:rsid w:val="00DC4DE6"/>
    <w:pPr>
      <w:spacing w:after="0"/>
    </w:pPr>
    <w:rPr>
      <w:rFonts w:ascii="Arial Bold" w:hAnsi="Arial Bold"/>
    </w:rPr>
  </w:style>
  <w:style w:type="character" w:styleId="CommentReference">
    <w:name w:val="annotation reference"/>
    <w:basedOn w:val="DefaultParagraphFont"/>
    <w:uiPriority w:val="99"/>
    <w:semiHidden/>
    <w:rsid w:val="00B6605B"/>
    <w:rPr>
      <w:sz w:val="16"/>
      <w:szCs w:val="16"/>
    </w:rPr>
  </w:style>
  <w:style w:type="paragraph" w:styleId="CommentText">
    <w:name w:val="annotation text"/>
    <w:basedOn w:val="Normal"/>
    <w:link w:val="CommentTextChar"/>
    <w:uiPriority w:val="99"/>
    <w:rsid w:val="00B6605B"/>
    <w:rPr>
      <w:sz w:val="20"/>
      <w:szCs w:val="20"/>
    </w:rPr>
  </w:style>
  <w:style w:type="paragraph" w:styleId="CommentSubject">
    <w:name w:val="annotation subject"/>
    <w:basedOn w:val="CommentText"/>
    <w:next w:val="CommentText"/>
    <w:semiHidden/>
    <w:rsid w:val="00B6605B"/>
    <w:rPr>
      <w:b/>
      <w:bCs/>
    </w:rPr>
  </w:style>
  <w:style w:type="paragraph" w:customStyle="1" w:styleId="Contents">
    <w:name w:val="Contents"/>
    <w:basedOn w:val="BodyText"/>
    <w:rsid w:val="00A859C1"/>
    <w:pPr>
      <w:jc w:val="center"/>
    </w:pPr>
    <w:rPr>
      <w:rFonts w:ascii="Arial Bold" w:hAnsi="Arial Bold"/>
      <w:b/>
      <w:smallCaps/>
      <w:color w:val="000080"/>
      <w:sz w:val="38"/>
      <w:szCs w:val="38"/>
    </w:rPr>
  </w:style>
  <w:style w:type="paragraph" w:customStyle="1" w:styleId="ListBulletLast">
    <w:name w:val="List Bullet Last"/>
    <w:basedOn w:val="ListBullet"/>
    <w:rsid w:val="00C273D4"/>
  </w:style>
  <w:style w:type="paragraph" w:customStyle="1" w:styleId="HSEEPBodyText">
    <w:name w:val="HSEEP Body Text"/>
    <w:rsid w:val="00534B82"/>
    <w:pPr>
      <w:spacing w:before="120"/>
      <w:jc w:val="both"/>
    </w:pPr>
    <w:rPr>
      <w:rFonts w:cs="Arial"/>
      <w:bCs/>
      <w:kern w:val="24"/>
      <w:sz w:val="24"/>
      <w:szCs w:val="24"/>
    </w:rPr>
  </w:style>
  <w:style w:type="paragraph" w:customStyle="1" w:styleId="DPPParas">
    <w:name w:val="DPP:Paras"/>
    <w:rsid w:val="00534B82"/>
    <w:pPr>
      <w:spacing w:before="60" w:after="180"/>
      <w:jc w:val="both"/>
    </w:pPr>
    <w:rPr>
      <w:sz w:val="24"/>
    </w:rPr>
  </w:style>
  <w:style w:type="paragraph" w:customStyle="1" w:styleId="DayDateTime">
    <w:name w:val="Day/Date/Time"/>
    <w:next w:val="Normal"/>
    <w:rsid w:val="00347080"/>
    <w:pPr>
      <w:keepNext/>
      <w:pBdr>
        <w:top w:val="single" w:sz="8" w:space="1" w:color="FF9900" w:shadow="1"/>
        <w:left w:val="single" w:sz="8" w:space="4" w:color="FF9900" w:shadow="1"/>
        <w:bottom w:val="single" w:sz="8" w:space="1" w:color="FF9900" w:shadow="1"/>
        <w:right w:val="single" w:sz="8" w:space="4" w:color="FF9900" w:shadow="1"/>
      </w:pBdr>
      <w:shd w:val="clear" w:color="FFD627" w:fill="FF9900"/>
      <w:tabs>
        <w:tab w:val="right" w:pos="9360"/>
      </w:tabs>
      <w:spacing w:before="60"/>
    </w:pPr>
    <w:rPr>
      <w:rFonts w:ascii="Arial" w:hAnsi="Arial"/>
      <w:b/>
      <w:i/>
      <w:sz w:val="24"/>
      <w:szCs w:val="24"/>
    </w:rPr>
  </w:style>
  <w:style w:type="paragraph" w:customStyle="1" w:styleId="leaderdottext">
    <w:name w:val="leaderdottext"/>
    <w:rsid w:val="00347080"/>
    <w:pPr>
      <w:tabs>
        <w:tab w:val="right" w:leader="dot" w:pos="5040"/>
      </w:tabs>
      <w:ind w:left="360"/>
    </w:pPr>
    <w:rPr>
      <w:sz w:val="24"/>
    </w:rPr>
  </w:style>
  <w:style w:type="paragraph" w:customStyle="1" w:styleId="numbers1">
    <w:name w:val="numbers1"/>
    <w:rsid w:val="00482B21"/>
    <w:pPr>
      <w:numPr>
        <w:numId w:val="5"/>
      </w:numPr>
      <w:spacing w:before="120" w:after="240"/>
      <w:jc w:val="both"/>
    </w:pPr>
    <w:rPr>
      <w:sz w:val="24"/>
      <w:szCs w:val="24"/>
    </w:rPr>
  </w:style>
  <w:style w:type="paragraph" w:customStyle="1" w:styleId="DPPQuestions1">
    <w:name w:val="DPP:Questions1"/>
    <w:rsid w:val="00C523D2"/>
    <w:pPr>
      <w:tabs>
        <w:tab w:val="num" w:pos="720"/>
      </w:tabs>
      <w:spacing w:before="120"/>
      <w:ind w:left="720" w:hanging="360"/>
      <w:jc w:val="both"/>
    </w:pPr>
    <w:rPr>
      <w:sz w:val="24"/>
    </w:rPr>
  </w:style>
  <w:style w:type="paragraph" w:customStyle="1" w:styleId="Numbers">
    <w:name w:val="Numbers"/>
    <w:basedOn w:val="Normal"/>
    <w:rsid w:val="00C523D2"/>
    <w:pPr>
      <w:tabs>
        <w:tab w:val="num" w:pos="360"/>
      </w:tabs>
      <w:spacing w:after="240"/>
      <w:ind w:left="360" w:hanging="360"/>
      <w:jc w:val="both"/>
    </w:pPr>
    <w:rPr>
      <w:rFonts w:ascii="Century Gothic" w:hAnsi="Century Gothic"/>
      <w:sz w:val="23"/>
      <w:szCs w:val="23"/>
    </w:rPr>
  </w:style>
  <w:style w:type="paragraph" w:customStyle="1" w:styleId="HSEEPBullet">
    <w:name w:val="HSEEP Bullet"/>
    <w:basedOn w:val="Normal"/>
    <w:rsid w:val="00C523D2"/>
    <w:pPr>
      <w:spacing w:before="120"/>
    </w:pPr>
    <w:rPr>
      <w:szCs w:val="20"/>
    </w:rPr>
  </w:style>
  <w:style w:type="paragraph" w:customStyle="1" w:styleId="BigHeading">
    <w:name w:val="Big Heading"/>
    <w:rsid w:val="007C4A49"/>
    <w:pPr>
      <w:pageBreakBefore/>
      <w:pBdr>
        <w:top w:val="single" w:sz="8" w:space="4" w:color="333399" w:shadow="1"/>
        <w:left w:val="single" w:sz="8" w:space="4" w:color="333399" w:shadow="1"/>
        <w:bottom w:val="single" w:sz="8" w:space="4" w:color="333399" w:shadow="1"/>
        <w:right w:val="single" w:sz="8" w:space="4" w:color="333399" w:shadow="1"/>
      </w:pBdr>
      <w:shd w:val="clear" w:color="6666FF" w:fill="333399"/>
      <w:tabs>
        <w:tab w:val="left" w:pos="432"/>
        <w:tab w:val="left" w:pos="864"/>
        <w:tab w:val="center" w:pos="4320"/>
        <w:tab w:val="right" w:pos="8640"/>
      </w:tabs>
      <w:jc w:val="center"/>
    </w:pPr>
    <w:rPr>
      <w:rFonts w:ascii="Arial" w:hAnsi="Arial"/>
      <w:b/>
      <w:smallCaps/>
      <w:color w:val="FFFFFF"/>
      <w:sz w:val="48"/>
      <w:szCs w:val="48"/>
    </w:rPr>
  </w:style>
  <w:style w:type="paragraph" w:customStyle="1" w:styleId="Footer1">
    <w:name w:val="Footer1"/>
    <w:rsid w:val="007C4A49"/>
    <w:pPr>
      <w:pBdr>
        <w:bottom w:val="single" w:sz="2" w:space="1" w:color="auto"/>
      </w:pBdr>
      <w:tabs>
        <w:tab w:val="right" w:pos="9360"/>
      </w:tabs>
      <w:spacing w:before="120"/>
    </w:pPr>
    <w:rPr>
      <w:i/>
      <w:iCs/>
      <w:sz w:val="22"/>
      <w:szCs w:val="22"/>
    </w:rPr>
  </w:style>
  <w:style w:type="paragraph" w:customStyle="1" w:styleId="Footer2">
    <w:name w:val="Footer2"/>
    <w:rsid w:val="007C4A49"/>
    <w:pPr>
      <w:jc w:val="center"/>
    </w:pPr>
    <w:rPr>
      <w:rFonts w:ascii="Arial" w:hAnsi="Arial" w:cs="Arial"/>
      <w:b/>
      <w:bCs/>
      <w:caps/>
      <w:noProof/>
      <w:sz w:val="32"/>
      <w:szCs w:val="32"/>
    </w:rPr>
  </w:style>
  <w:style w:type="paragraph" w:styleId="ListParagraph">
    <w:name w:val="List Paragraph"/>
    <w:aliases w:val="Bullet List,FooterText,List Paragraph1,Colorful List - Accent 11,Colorful List - Accent 111,numbered,Paragraphe de liste1,列出段落,列出段落1,Bulletr List Paragraph,List Paragraph2,List Paragraph21,Párrafo de lista1,Parágrafo da Lista1,リスト段落1,Pla"/>
    <w:basedOn w:val="Normal"/>
    <w:link w:val="ListParagraphChar"/>
    <w:uiPriority w:val="34"/>
    <w:qFormat/>
    <w:rsid w:val="0048285C"/>
    <w:pPr>
      <w:ind w:left="720"/>
      <w:contextualSpacing/>
    </w:pPr>
  </w:style>
  <w:style w:type="character" w:customStyle="1" w:styleId="Heading2Char">
    <w:name w:val="Heading 2 Char"/>
    <w:basedOn w:val="DefaultParagraphFont"/>
    <w:link w:val="Heading2"/>
    <w:uiPriority w:val="9"/>
    <w:rsid w:val="006716DD"/>
    <w:rPr>
      <w:rFonts w:ascii="Microsoft PhagsPa" w:hAnsi="Microsoft PhagsPa" w:cs="Arial"/>
      <w:b/>
      <w:color w:val="256169"/>
      <w:sz w:val="48"/>
      <w:szCs w:val="48"/>
    </w:rPr>
  </w:style>
  <w:style w:type="character" w:styleId="Emphasis">
    <w:name w:val="Emphasis"/>
    <w:basedOn w:val="DefaultParagraphFont"/>
    <w:uiPriority w:val="20"/>
    <w:qFormat/>
    <w:rsid w:val="00CE54D7"/>
    <w:rPr>
      <w:i/>
      <w:iCs/>
    </w:rPr>
  </w:style>
  <w:style w:type="character" w:customStyle="1" w:styleId="BodyTextChar">
    <w:name w:val="Body Text Char"/>
    <w:basedOn w:val="DefaultParagraphFont"/>
    <w:link w:val="BodyText"/>
    <w:uiPriority w:val="99"/>
    <w:rsid w:val="00855B42"/>
    <w:rPr>
      <w:sz w:val="24"/>
      <w:szCs w:val="24"/>
    </w:rPr>
  </w:style>
  <w:style w:type="character" w:customStyle="1" w:styleId="FooterChar">
    <w:name w:val="Footer Char"/>
    <w:basedOn w:val="DefaultParagraphFont"/>
    <w:link w:val="Footer"/>
    <w:uiPriority w:val="99"/>
    <w:rsid w:val="00C66D1D"/>
    <w:rPr>
      <w:sz w:val="24"/>
      <w:szCs w:val="24"/>
    </w:rPr>
  </w:style>
  <w:style w:type="table" w:customStyle="1" w:styleId="TableGrid1">
    <w:name w:val="Table Grid1"/>
    <w:basedOn w:val="TableNormal"/>
    <w:next w:val="TableGrid"/>
    <w:uiPriority w:val="59"/>
    <w:rsid w:val="00B61DA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753B12"/>
  </w:style>
  <w:style w:type="character" w:customStyle="1" w:styleId="CommentTextChar">
    <w:name w:val="Comment Text Char"/>
    <w:link w:val="CommentText"/>
    <w:uiPriority w:val="99"/>
    <w:rsid w:val="000E5919"/>
  </w:style>
  <w:style w:type="paragraph" w:customStyle="1" w:styleId="TableParagraph">
    <w:name w:val="Table Paragraph"/>
    <w:basedOn w:val="Normal"/>
    <w:uiPriority w:val="1"/>
    <w:rsid w:val="000E5919"/>
    <w:pPr>
      <w:widowControl w:val="0"/>
      <w:autoSpaceDE w:val="0"/>
      <w:autoSpaceDN w:val="0"/>
      <w:adjustRightInd w:val="0"/>
      <w:spacing w:before="57"/>
      <w:ind w:left="110"/>
    </w:pPr>
    <w:rPr>
      <w:rFonts w:ascii="Garamond" w:eastAsia="Times New Roman" w:hAnsi="Garamond" w:cs="Garamond"/>
    </w:rPr>
  </w:style>
  <w:style w:type="paragraph" w:styleId="NormalWeb">
    <w:name w:val="Normal (Web)"/>
    <w:basedOn w:val="Normal"/>
    <w:uiPriority w:val="99"/>
    <w:unhideWhenUsed/>
    <w:rsid w:val="00B40261"/>
    <w:pPr>
      <w:spacing w:before="100" w:beforeAutospacing="1" w:after="100" w:afterAutospacing="1"/>
    </w:pPr>
  </w:style>
  <w:style w:type="character" w:styleId="Strong">
    <w:name w:val="Strong"/>
    <w:basedOn w:val="DefaultParagraphFont"/>
    <w:uiPriority w:val="22"/>
    <w:qFormat/>
    <w:rsid w:val="00CE54D7"/>
    <w:rPr>
      <w:b/>
      <w:bCs/>
    </w:rPr>
  </w:style>
  <w:style w:type="character" w:styleId="FollowedHyperlink">
    <w:name w:val="FollowedHyperlink"/>
    <w:basedOn w:val="DefaultParagraphFont"/>
    <w:semiHidden/>
    <w:unhideWhenUsed/>
    <w:rsid w:val="002F10DE"/>
    <w:rPr>
      <w:color w:val="800080" w:themeColor="followedHyperlink"/>
      <w:u w:val="single"/>
    </w:rPr>
  </w:style>
  <w:style w:type="character" w:styleId="UnresolvedMention">
    <w:name w:val="Unresolved Mention"/>
    <w:basedOn w:val="DefaultParagraphFont"/>
    <w:uiPriority w:val="99"/>
    <w:semiHidden/>
    <w:unhideWhenUsed/>
    <w:rsid w:val="00367F7D"/>
    <w:rPr>
      <w:color w:val="605E5C"/>
      <w:shd w:val="clear" w:color="auto" w:fill="E1DFDD"/>
    </w:rPr>
  </w:style>
  <w:style w:type="character" w:customStyle="1" w:styleId="Heading1Char">
    <w:name w:val="Heading 1 Char"/>
    <w:basedOn w:val="DefaultParagraphFont"/>
    <w:link w:val="Heading1"/>
    <w:uiPriority w:val="9"/>
    <w:rsid w:val="009F1B94"/>
    <w:rPr>
      <w:rFonts w:ascii="Microsoft PhagsPa" w:eastAsiaTheme="majorEastAsia" w:hAnsi="Microsoft PhagsPa" w:cstheme="majorBidi"/>
      <w:color w:val="FFFFFF" w:themeColor="background1"/>
      <w:sz w:val="44"/>
      <w:szCs w:val="44"/>
    </w:rPr>
  </w:style>
  <w:style w:type="paragraph" w:customStyle="1" w:styleId="Default">
    <w:name w:val="Default"/>
    <w:rsid w:val="00AC2E46"/>
    <w:pPr>
      <w:autoSpaceDE w:val="0"/>
      <w:autoSpaceDN w:val="0"/>
      <w:adjustRightInd w:val="0"/>
    </w:pPr>
    <w:rPr>
      <w:rFonts w:ascii="Arial" w:eastAsiaTheme="minorHAnsi" w:hAnsi="Arial" w:cs="Arial"/>
      <w:color w:val="000000"/>
      <w:sz w:val="24"/>
      <w:szCs w:val="24"/>
    </w:rPr>
  </w:style>
  <w:style w:type="character" w:customStyle="1" w:styleId="ListParagraphChar">
    <w:name w:val="List Paragraph Char"/>
    <w:aliases w:val="Bullet List Char,FooterText Char,List Paragraph1 Char,Colorful List - Accent 11 Char,Colorful List - Accent 111 Char,numbered Char,Paragraphe de liste1 Char,列出段落 Char,列出段落1 Char,Bulletr List Paragraph Char,List Paragraph2 Char"/>
    <w:basedOn w:val="DefaultParagraphFont"/>
    <w:link w:val="ListParagraph"/>
    <w:uiPriority w:val="34"/>
    <w:locked/>
    <w:rsid w:val="00B51BDB"/>
  </w:style>
  <w:style w:type="character" w:customStyle="1" w:styleId="Heading4Char">
    <w:name w:val="Heading 4 Char"/>
    <w:basedOn w:val="DefaultParagraphFont"/>
    <w:link w:val="Heading4"/>
    <w:uiPriority w:val="9"/>
    <w:semiHidden/>
    <w:rsid w:val="00CE54D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E54D7"/>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CE54D7"/>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E54D7"/>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E54D7"/>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CE54D7"/>
    <w:rPr>
      <w:rFonts w:asciiTheme="majorHAnsi" w:eastAsiaTheme="majorEastAsia" w:hAnsiTheme="majorHAnsi" w:cstheme="majorBidi"/>
      <w:b/>
      <w:bCs/>
      <w:i/>
      <w:iCs/>
      <w:color w:val="1F497D" w:themeColor="text2"/>
    </w:rPr>
  </w:style>
  <w:style w:type="character" w:customStyle="1" w:styleId="TitleChar">
    <w:name w:val="Title Char"/>
    <w:basedOn w:val="DefaultParagraphFont"/>
    <w:link w:val="Title"/>
    <w:uiPriority w:val="10"/>
    <w:rsid w:val="00CE54D7"/>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CE54D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E54D7"/>
    <w:rPr>
      <w:rFonts w:asciiTheme="majorHAnsi" w:eastAsiaTheme="majorEastAsia" w:hAnsiTheme="majorHAnsi" w:cstheme="majorBidi"/>
      <w:sz w:val="24"/>
      <w:szCs w:val="24"/>
    </w:rPr>
  </w:style>
  <w:style w:type="paragraph" w:styleId="NoSpacing">
    <w:name w:val="No Spacing"/>
    <w:uiPriority w:val="1"/>
    <w:qFormat/>
    <w:rsid w:val="00CE54D7"/>
    <w:pPr>
      <w:spacing w:after="0" w:line="240" w:lineRule="auto"/>
    </w:pPr>
  </w:style>
  <w:style w:type="paragraph" w:styleId="Quote">
    <w:name w:val="Quote"/>
    <w:basedOn w:val="Normal"/>
    <w:next w:val="Normal"/>
    <w:link w:val="QuoteChar"/>
    <w:uiPriority w:val="29"/>
    <w:qFormat/>
    <w:rsid w:val="00CE54D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E54D7"/>
    <w:rPr>
      <w:i/>
      <w:iCs/>
      <w:color w:val="404040" w:themeColor="text1" w:themeTint="BF"/>
    </w:rPr>
  </w:style>
  <w:style w:type="paragraph" w:styleId="IntenseQuote">
    <w:name w:val="Intense Quote"/>
    <w:basedOn w:val="Normal"/>
    <w:next w:val="Normal"/>
    <w:link w:val="IntenseQuoteChar"/>
    <w:uiPriority w:val="30"/>
    <w:qFormat/>
    <w:rsid w:val="00CE54D7"/>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E54D7"/>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E54D7"/>
    <w:rPr>
      <w:i/>
      <w:iCs/>
      <w:color w:val="404040" w:themeColor="text1" w:themeTint="BF"/>
    </w:rPr>
  </w:style>
  <w:style w:type="character" w:styleId="IntenseEmphasis">
    <w:name w:val="Intense Emphasis"/>
    <w:basedOn w:val="DefaultParagraphFont"/>
    <w:uiPriority w:val="21"/>
    <w:qFormat/>
    <w:rsid w:val="00CE54D7"/>
    <w:rPr>
      <w:b/>
      <w:bCs/>
      <w:i/>
      <w:iCs/>
    </w:rPr>
  </w:style>
  <w:style w:type="character" w:styleId="SubtleReference">
    <w:name w:val="Subtle Reference"/>
    <w:basedOn w:val="DefaultParagraphFont"/>
    <w:uiPriority w:val="31"/>
    <w:qFormat/>
    <w:rsid w:val="00CE54D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E54D7"/>
    <w:rPr>
      <w:b/>
      <w:bCs/>
      <w:smallCaps/>
      <w:spacing w:val="5"/>
      <w:u w:val="single"/>
    </w:rPr>
  </w:style>
  <w:style w:type="character" w:styleId="BookTitle">
    <w:name w:val="Book Title"/>
    <w:basedOn w:val="DefaultParagraphFont"/>
    <w:uiPriority w:val="33"/>
    <w:qFormat/>
    <w:rsid w:val="00CE54D7"/>
    <w:rPr>
      <w:b/>
      <w:bCs/>
      <w:smallCaps/>
    </w:rPr>
  </w:style>
  <w:style w:type="paragraph" w:styleId="TOCHeading">
    <w:name w:val="TOC Heading"/>
    <w:basedOn w:val="Heading1"/>
    <w:next w:val="Normal"/>
    <w:uiPriority w:val="39"/>
    <w:unhideWhenUsed/>
    <w:qFormat/>
    <w:rsid w:val="00CE54D7"/>
    <w:pPr>
      <w:outlineLvl w:val="9"/>
    </w:pPr>
  </w:style>
  <w:style w:type="character" w:customStyle="1" w:styleId="HeadingFour">
    <w:name w:val="Heading Four"/>
    <w:uiPriority w:val="1"/>
    <w:qFormat/>
    <w:rsid w:val="001810B6"/>
    <w:rPr>
      <w:b/>
      <w:bCs/>
      <w:sz w:val="28"/>
      <w:szCs w:val="28"/>
    </w:rPr>
  </w:style>
  <w:style w:type="paragraph" w:customStyle="1" w:styleId="HeadingFive">
    <w:name w:val="Heading Five"/>
    <w:basedOn w:val="Normal"/>
    <w:qFormat/>
    <w:rsid w:val="001810B6"/>
    <w:rPr>
      <w:b/>
      <w:bCs/>
      <w:i/>
      <w:iCs/>
      <w:sz w:val="24"/>
      <w:szCs w:val="24"/>
    </w:rPr>
  </w:style>
  <w:style w:type="paragraph" w:styleId="TOC3">
    <w:name w:val="toc 3"/>
    <w:basedOn w:val="Normal"/>
    <w:next w:val="Normal"/>
    <w:autoRedefine/>
    <w:uiPriority w:val="39"/>
    <w:unhideWhenUsed/>
    <w:rsid w:val="00E0565C"/>
    <w:pPr>
      <w:tabs>
        <w:tab w:val="clear" w:pos="5130"/>
      </w:tabs>
      <w:spacing w:after="100"/>
      <w:ind w:left="440"/>
    </w:pPr>
  </w:style>
  <w:style w:type="table" w:styleId="ListTable4-Accent4">
    <w:name w:val="List Table 4 Accent 4"/>
    <w:basedOn w:val="TableNormal"/>
    <w:uiPriority w:val="49"/>
    <w:rsid w:val="00A17F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5Dark-Accent4">
    <w:name w:val="Grid Table 5 Dark Accent 4"/>
    <w:basedOn w:val="TableNormal"/>
    <w:uiPriority w:val="50"/>
    <w:rsid w:val="00B43C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7Colorful-Accent4">
    <w:name w:val="Grid Table 7 Colorful Accent 4"/>
    <w:basedOn w:val="TableNormal"/>
    <w:uiPriority w:val="52"/>
    <w:rsid w:val="00ED423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2-Accent4">
    <w:name w:val="List Table 2 Accent 4"/>
    <w:basedOn w:val="TableNormal"/>
    <w:uiPriority w:val="47"/>
    <w:rsid w:val="00ED423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4473">
      <w:bodyDiv w:val="1"/>
      <w:marLeft w:val="0"/>
      <w:marRight w:val="0"/>
      <w:marTop w:val="0"/>
      <w:marBottom w:val="0"/>
      <w:divBdr>
        <w:top w:val="none" w:sz="0" w:space="0" w:color="auto"/>
        <w:left w:val="none" w:sz="0" w:space="0" w:color="auto"/>
        <w:bottom w:val="none" w:sz="0" w:space="0" w:color="auto"/>
        <w:right w:val="none" w:sz="0" w:space="0" w:color="auto"/>
      </w:divBdr>
    </w:div>
    <w:div w:id="56903989">
      <w:bodyDiv w:val="1"/>
      <w:marLeft w:val="0"/>
      <w:marRight w:val="0"/>
      <w:marTop w:val="0"/>
      <w:marBottom w:val="0"/>
      <w:divBdr>
        <w:top w:val="none" w:sz="0" w:space="0" w:color="auto"/>
        <w:left w:val="none" w:sz="0" w:space="0" w:color="auto"/>
        <w:bottom w:val="none" w:sz="0" w:space="0" w:color="auto"/>
        <w:right w:val="none" w:sz="0" w:space="0" w:color="auto"/>
      </w:divBdr>
    </w:div>
    <w:div w:id="80100748">
      <w:bodyDiv w:val="1"/>
      <w:marLeft w:val="0"/>
      <w:marRight w:val="0"/>
      <w:marTop w:val="0"/>
      <w:marBottom w:val="0"/>
      <w:divBdr>
        <w:top w:val="none" w:sz="0" w:space="0" w:color="auto"/>
        <w:left w:val="none" w:sz="0" w:space="0" w:color="auto"/>
        <w:bottom w:val="none" w:sz="0" w:space="0" w:color="auto"/>
        <w:right w:val="none" w:sz="0" w:space="0" w:color="auto"/>
      </w:divBdr>
      <w:divsChild>
        <w:div w:id="543449810">
          <w:marLeft w:val="0"/>
          <w:marRight w:val="0"/>
          <w:marTop w:val="0"/>
          <w:marBottom w:val="0"/>
          <w:divBdr>
            <w:top w:val="none" w:sz="0" w:space="0" w:color="auto"/>
            <w:left w:val="none" w:sz="0" w:space="0" w:color="auto"/>
            <w:bottom w:val="none" w:sz="0" w:space="0" w:color="auto"/>
            <w:right w:val="none" w:sz="0" w:space="0" w:color="auto"/>
          </w:divBdr>
        </w:div>
        <w:div w:id="1185828422">
          <w:marLeft w:val="0"/>
          <w:marRight w:val="0"/>
          <w:marTop w:val="0"/>
          <w:marBottom w:val="0"/>
          <w:divBdr>
            <w:top w:val="none" w:sz="0" w:space="0" w:color="auto"/>
            <w:left w:val="none" w:sz="0" w:space="0" w:color="auto"/>
            <w:bottom w:val="none" w:sz="0" w:space="0" w:color="auto"/>
            <w:right w:val="none" w:sz="0" w:space="0" w:color="auto"/>
          </w:divBdr>
        </w:div>
        <w:div w:id="2005358115">
          <w:marLeft w:val="0"/>
          <w:marRight w:val="0"/>
          <w:marTop w:val="0"/>
          <w:marBottom w:val="0"/>
          <w:divBdr>
            <w:top w:val="none" w:sz="0" w:space="0" w:color="auto"/>
            <w:left w:val="none" w:sz="0" w:space="0" w:color="auto"/>
            <w:bottom w:val="none" w:sz="0" w:space="0" w:color="auto"/>
            <w:right w:val="none" w:sz="0" w:space="0" w:color="auto"/>
          </w:divBdr>
        </w:div>
      </w:divsChild>
    </w:div>
    <w:div w:id="85081907">
      <w:bodyDiv w:val="1"/>
      <w:marLeft w:val="0"/>
      <w:marRight w:val="0"/>
      <w:marTop w:val="0"/>
      <w:marBottom w:val="0"/>
      <w:divBdr>
        <w:top w:val="none" w:sz="0" w:space="0" w:color="auto"/>
        <w:left w:val="none" w:sz="0" w:space="0" w:color="auto"/>
        <w:bottom w:val="none" w:sz="0" w:space="0" w:color="auto"/>
        <w:right w:val="none" w:sz="0" w:space="0" w:color="auto"/>
      </w:divBdr>
      <w:divsChild>
        <w:div w:id="1548450237">
          <w:marLeft w:val="994"/>
          <w:marRight w:val="0"/>
          <w:marTop w:val="0"/>
          <w:marBottom w:val="120"/>
          <w:divBdr>
            <w:top w:val="none" w:sz="0" w:space="0" w:color="auto"/>
            <w:left w:val="none" w:sz="0" w:space="0" w:color="auto"/>
            <w:bottom w:val="none" w:sz="0" w:space="0" w:color="auto"/>
            <w:right w:val="none" w:sz="0" w:space="0" w:color="auto"/>
          </w:divBdr>
        </w:div>
      </w:divsChild>
    </w:div>
    <w:div w:id="124588137">
      <w:bodyDiv w:val="1"/>
      <w:marLeft w:val="0"/>
      <w:marRight w:val="0"/>
      <w:marTop w:val="0"/>
      <w:marBottom w:val="0"/>
      <w:divBdr>
        <w:top w:val="none" w:sz="0" w:space="0" w:color="auto"/>
        <w:left w:val="none" w:sz="0" w:space="0" w:color="auto"/>
        <w:bottom w:val="none" w:sz="0" w:space="0" w:color="auto"/>
        <w:right w:val="none" w:sz="0" w:space="0" w:color="auto"/>
      </w:divBdr>
    </w:div>
    <w:div w:id="149058229">
      <w:bodyDiv w:val="1"/>
      <w:marLeft w:val="0"/>
      <w:marRight w:val="0"/>
      <w:marTop w:val="0"/>
      <w:marBottom w:val="0"/>
      <w:divBdr>
        <w:top w:val="none" w:sz="0" w:space="0" w:color="auto"/>
        <w:left w:val="none" w:sz="0" w:space="0" w:color="auto"/>
        <w:bottom w:val="none" w:sz="0" w:space="0" w:color="auto"/>
        <w:right w:val="none" w:sz="0" w:space="0" w:color="auto"/>
      </w:divBdr>
    </w:div>
    <w:div w:id="183829622">
      <w:bodyDiv w:val="1"/>
      <w:marLeft w:val="0"/>
      <w:marRight w:val="0"/>
      <w:marTop w:val="0"/>
      <w:marBottom w:val="0"/>
      <w:divBdr>
        <w:top w:val="none" w:sz="0" w:space="0" w:color="auto"/>
        <w:left w:val="none" w:sz="0" w:space="0" w:color="auto"/>
        <w:bottom w:val="none" w:sz="0" w:space="0" w:color="auto"/>
        <w:right w:val="none" w:sz="0" w:space="0" w:color="auto"/>
      </w:divBdr>
    </w:div>
    <w:div w:id="194970774">
      <w:bodyDiv w:val="1"/>
      <w:marLeft w:val="0"/>
      <w:marRight w:val="0"/>
      <w:marTop w:val="0"/>
      <w:marBottom w:val="0"/>
      <w:divBdr>
        <w:top w:val="none" w:sz="0" w:space="0" w:color="auto"/>
        <w:left w:val="none" w:sz="0" w:space="0" w:color="auto"/>
        <w:bottom w:val="none" w:sz="0" w:space="0" w:color="auto"/>
        <w:right w:val="none" w:sz="0" w:space="0" w:color="auto"/>
      </w:divBdr>
    </w:div>
    <w:div w:id="368991586">
      <w:bodyDiv w:val="1"/>
      <w:marLeft w:val="0"/>
      <w:marRight w:val="0"/>
      <w:marTop w:val="0"/>
      <w:marBottom w:val="0"/>
      <w:divBdr>
        <w:top w:val="none" w:sz="0" w:space="0" w:color="auto"/>
        <w:left w:val="none" w:sz="0" w:space="0" w:color="auto"/>
        <w:bottom w:val="none" w:sz="0" w:space="0" w:color="auto"/>
        <w:right w:val="none" w:sz="0" w:space="0" w:color="auto"/>
      </w:divBdr>
      <w:divsChild>
        <w:div w:id="425688286">
          <w:marLeft w:val="1166"/>
          <w:marRight w:val="0"/>
          <w:marTop w:val="0"/>
          <w:marBottom w:val="0"/>
          <w:divBdr>
            <w:top w:val="none" w:sz="0" w:space="0" w:color="auto"/>
            <w:left w:val="none" w:sz="0" w:space="0" w:color="auto"/>
            <w:bottom w:val="none" w:sz="0" w:space="0" w:color="auto"/>
            <w:right w:val="none" w:sz="0" w:space="0" w:color="auto"/>
          </w:divBdr>
        </w:div>
        <w:div w:id="491721857">
          <w:marLeft w:val="1166"/>
          <w:marRight w:val="0"/>
          <w:marTop w:val="0"/>
          <w:marBottom w:val="0"/>
          <w:divBdr>
            <w:top w:val="none" w:sz="0" w:space="0" w:color="auto"/>
            <w:left w:val="none" w:sz="0" w:space="0" w:color="auto"/>
            <w:bottom w:val="none" w:sz="0" w:space="0" w:color="auto"/>
            <w:right w:val="none" w:sz="0" w:space="0" w:color="auto"/>
          </w:divBdr>
        </w:div>
        <w:div w:id="617295012">
          <w:marLeft w:val="1166"/>
          <w:marRight w:val="0"/>
          <w:marTop w:val="0"/>
          <w:marBottom w:val="0"/>
          <w:divBdr>
            <w:top w:val="none" w:sz="0" w:space="0" w:color="auto"/>
            <w:left w:val="none" w:sz="0" w:space="0" w:color="auto"/>
            <w:bottom w:val="none" w:sz="0" w:space="0" w:color="auto"/>
            <w:right w:val="none" w:sz="0" w:space="0" w:color="auto"/>
          </w:divBdr>
        </w:div>
        <w:div w:id="978152622">
          <w:marLeft w:val="1166"/>
          <w:marRight w:val="0"/>
          <w:marTop w:val="0"/>
          <w:marBottom w:val="0"/>
          <w:divBdr>
            <w:top w:val="none" w:sz="0" w:space="0" w:color="auto"/>
            <w:left w:val="none" w:sz="0" w:space="0" w:color="auto"/>
            <w:bottom w:val="none" w:sz="0" w:space="0" w:color="auto"/>
            <w:right w:val="none" w:sz="0" w:space="0" w:color="auto"/>
          </w:divBdr>
        </w:div>
        <w:div w:id="1487548681">
          <w:marLeft w:val="1166"/>
          <w:marRight w:val="0"/>
          <w:marTop w:val="0"/>
          <w:marBottom w:val="0"/>
          <w:divBdr>
            <w:top w:val="none" w:sz="0" w:space="0" w:color="auto"/>
            <w:left w:val="none" w:sz="0" w:space="0" w:color="auto"/>
            <w:bottom w:val="none" w:sz="0" w:space="0" w:color="auto"/>
            <w:right w:val="none" w:sz="0" w:space="0" w:color="auto"/>
          </w:divBdr>
        </w:div>
        <w:div w:id="1736010165">
          <w:marLeft w:val="1166"/>
          <w:marRight w:val="0"/>
          <w:marTop w:val="0"/>
          <w:marBottom w:val="0"/>
          <w:divBdr>
            <w:top w:val="none" w:sz="0" w:space="0" w:color="auto"/>
            <w:left w:val="none" w:sz="0" w:space="0" w:color="auto"/>
            <w:bottom w:val="none" w:sz="0" w:space="0" w:color="auto"/>
            <w:right w:val="none" w:sz="0" w:space="0" w:color="auto"/>
          </w:divBdr>
        </w:div>
      </w:divsChild>
    </w:div>
    <w:div w:id="381827537">
      <w:bodyDiv w:val="1"/>
      <w:marLeft w:val="0"/>
      <w:marRight w:val="0"/>
      <w:marTop w:val="0"/>
      <w:marBottom w:val="0"/>
      <w:divBdr>
        <w:top w:val="none" w:sz="0" w:space="0" w:color="auto"/>
        <w:left w:val="none" w:sz="0" w:space="0" w:color="auto"/>
        <w:bottom w:val="none" w:sz="0" w:space="0" w:color="auto"/>
        <w:right w:val="none" w:sz="0" w:space="0" w:color="auto"/>
      </w:divBdr>
      <w:divsChild>
        <w:div w:id="1672944782">
          <w:marLeft w:val="1166"/>
          <w:marRight w:val="0"/>
          <w:marTop w:val="96"/>
          <w:marBottom w:val="0"/>
          <w:divBdr>
            <w:top w:val="none" w:sz="0" w:space="0" w:color="auto"/>
            <w:left w:val="none" w:sz="0" w:space="0" w:color="auto"/>
            <w:bottom w:val="none" w:sz="0" w:space="0" w:color="auto"/>
            <w:right w:val="none" w:sz="0" w:space="0" w:color="auto"/>
          </w:divBdr>
        </w:div>
      </w:divsChild>
    </w:div>
    <w:div w:id="415784669">
      <w:bodyDiv w:val="1"/>
      <w:marLeft w:val="0"/>
      <w:marRight w:val="0"/>
      <w:marTop w:val="0"/>
      <w:marBottom w:val="0"/>
      <w:divBdr>
        <w:top w:val="none" w:sz="0" w:space="0" w:color="auto"/>
        <w:left w:val="none" w:sz="0" w:space="0" w:color="auto"/>
        <w:bottom w:val="none" w:sz="0" w:space="0" w:color="auto"/>
        <w:right w:val="none" w:sz="0" w:space="0" w:color="auto"/>
      </w:divBdr>
    </w:div>
    <w:div w:id="488207574">
      <w:bodyDiv w:val="1"/>
      <w:marLeft w:val="0"/>
      <w:marRight w:val="0"/>
      <w:marTop w:val="0"/>
      <w:marBottom w:val="0"/>
      <w:divBdr>
        <w:top w:val="none" w:sz="0" w:space="0" w:color="auto"/>
        <w:left w:val="none" w:sz="0" w:space="0" w:color="auto"/>
        <w:bottom w:val="none" w:sz="0" w:space="0" w:color="auto"/>
        <w:right w:val="none" w:sz="0" w:space="0" w:color="auto"/>
      </w:divBdr>
      <w:divsChild>
        <w:div w:id="426080622">
          <w:marLeft w:val="547"/>
          <w:marRight w:val="0"/>
          <w:marTop w:val="0"/>
          <w:marBottom w:val="0"/>
          <w:divBdr>
            <w:top w:val="none" w:sz="0" w:space="0" w:color="auto"/>
            <w:left w:val="none" w:sz="0" w:space="0" w:color="auto"/>
            <w:bottom w:val="none" w:sz="0" w:space="0" w:color="auto"/>
            <w:right w:val="none" w:sz="0" w:space="0" w:color="auto"/>
          </w:divBdr>
        </w:div>
      </w:divsChild>
    </w:div>
    <w:div w:id="586691607">
      <w:bodyDiv w:val="1"/>
      <w:marLeft w:val="0"/>
      <w:marRight w:val="0"/>
      <w:marTop w:val="0"/>
      <w:marBottom w:val="0"/>
      <w:divBdr>
        <w:top w:val="none" w:sz="0" w:space="0" w:color="auto"/>
        <w:left w:val="none" w:sz="0" w:space="0" w:color="auto"/>
        <w:bottom w:val="none" w:sz="0" w:space="0" w:color="auto"/>
        <w:right w:val="none" w:sz="0" w:space="0" w:color="auto"/>
      </w:divBdr>
      <w:divsChild>
        <w:div w:id="220793060">
          <w:marLeft w:val="1627"/>
          <w:marRight w:val="0"/>
          <w:marTop w:val="0"/>
          <w:marBottom w:val="120"/>
          <w:divBdr>
            <w:top w:val="none" w:sz="0" w:space="0" w:color="auto"/>
            <w:left w:val="none" w:sz="0" w:space="0" w:color="auto"/>
            <w:bottom w:val="none" w:sz="0" w:space="0" w:color="auto"/>
            <w:right w:val="none" w:sz="0" w:space="0" w:color="auto"/>
          </w:divBdr>
        </w:div>
        <w:div w:id="1745100670">
          <w:marLeft w:val="1627"/>
          <w:marRight w:val="0"/>
          <w:marTop w:val="0"/>
          <w:marBottom w:val="120"/>
          <w:divBdr>
            <w:top w:val="none" w:sz="0" w:space="0" w:color="auto"/>
            <w:left w:val="none" w:sz="0" w:space="0" w:color="auto"/>
            <w:bottom w:val="none" w:sz="0" w:space="0" w:color="auto"/>
            <w:right w:val="none" w:sz="0" w:space="0" w:color="auto"/>
          </w:divBdr>
        </w:div>
      </w:divsChild>
    </w:div>
    <w:div w:id="638150328">
      <w:bodyDiv w:val="1"/>
      <w:marLeft w:val="0"/>
      <w:marRight w:val="0"/>
      <w:marTop w:val="0"/>
      <w:marBottom w:val="0"/>
      <w:divBdr>
        <w:top w:val="none" w:sz="0" w:space="0" w:color="auto"/>
        <w:left w:val="none" w:sz="0" w:space="0" w:color="auto"/>
        <w:bottom w:val="none" w:sz="0" w:space="0" w:color="auto"/>
        <w:right w:val="none" w:sz="0" w:space="0" w:color="auto"/>
      </w:divBdr>
    </w:div>
    <w:div w:id="719786401">
      <w:bodyDiv w:val="1"/>
      <w:marLeft w:val="0"/>
      <w:marRight w:val="0"/>
      <w:marTop w:val="0"/>
      <w:marBottom w:val="0"/>
      <w:divBdr>
        <w:top w:val="none" w:sz="0" w:space="0" w:color="auto"/>
        <w:left w:val="none" w:sz="0" w:space="0" w:color="auto"/>
        <w:bottom w:val="none" w:sz="0" w:space="0" w:color="auto"/>
        <w:right w:val="none" w:sz="0" w:space="0" w:color="auto"/>
      </w:divBdr>
    </w:div>
    <w:div w:id="831916431">
      <w:bodyDiv w:val="1"/>
      <w:marLeft w:val="0"/>
      <w:marRight w:val="0"/>
      <w:marTop w:val="0"/>
      <w:marBottom w:val="0"/>
      <w:divBdr>
        <w:top w:val="none" w:sz="0" w:space="0" w:color="auto"/>
        <w:left w:val="none" w:sz="0" w:space="0" w:color="auto"/>
        <w:bottom w:val="none" w:sz="0" w:space="0" w:color="auto"/>
        <w:right w:val="none" w:sz="0" w:space="0" w:color="auto"/>
      </w:divBdr>
      <w:divsChild>
        <w:div w:id="1447656998">
          <w:marLeft w:val="1627"/>
          <w:marRight w:val="0"/>
          <w:marTop w:val="0"/>
          <w:marBottom w:val="120"/>
          <w:divBdr>
            <w:top w:val="none" w:sz="0" w:space="0" w:color="auto"/>
            <w:left w:val="none" w:sz="0" w:space="0" w:color="auto"/>
            <w:bottom w:val="none" w:sz="0" w:space="0" w:color="auto"/>
            <w:right w:val="none" w:sz="0" w:space="0" w:color="auto"/>
          </w:divBdr>
        </w:div>
        <w:div w:id="1471944063">
          <w:marLeft w:val="1627"/>
          <w:marRight w:val="0"/>
          <w:marTop w:val="0"/>
          <w:marBottom w:val="120"/>
          <w:divBdr>
            <w:top w:val="none" w:sz="0" w:space="0" w:color="auto"/>
            <w:left w:val="none" w:sz="0" w:space="0" w:color="auto"/>
            <w:bottom w:val="none" w:sz="0" w:space="0" w:color="auto"/>
            <w:right w:val="none" w:sz="0" w:space="0" w:color="auto"/>
          </w:divBdr>
        </w:div>
        <w:div w:id="1759711597">
          <w:marLeft w:val="1627"/>
          <w:marRight w:val="0"/>
          <w:marTop w:val="0"/>
          <w:marBottom w:val="120"/>
          <w:divBdr>
            <w:top w:val="none" w:sz="0" w:space="0" w:color="auto"/>
            <w:left w:val="none" w:sz="0" w:space="0" w:color="auto"/>
            <w:bottom w:val="none" w:sz="0" w:space="0" w:color="auto"/>
            <w:right w:val="none" w:sz="0" w:space="0" w:color="auto"/>
          </w:divBdr>
        </w:div>
        <w:div w:id="1927302023">
          <w:marLeft w:val="1627"/>
          <w:marRight w:val="0"/>
          <w:marTop w:val="0"/>
          <w:marBottom w:val="120"/>
          <w:divBdr>
            <w:top w:val="none" w:sz="0" w:space="0" w:color="auto"/>
            <w:left w:val="none" w:sz="0" w:space="0" w:color="auto"/>
            <w:bottom w:val="none" w:sz="0" w:space="0" w:color="auto"/>
            <w:right w:val="none" w:sz="0" w:space="0" w:color="auto"/>
          </w:divBdr>
        </w:div>
      </w:divsChild>
    </w:div>
    <w:div w:id="853811921">
      <w:bodyDiv w:val="1"/>
      <w:marLeft w:val="0"/>
      <w:marRight w:val="0"/>
      <w:marTop w:val="0"/>
      <w:marBottom w:val="0"/>
      <w:divBdr>
        <w:top w:val="none" w:sz="0" w:space="0" w:color="auto"/>
        <w:left w:val="none" w:sz="0" w:space="0" w:color="auto"/>
        <w:bottom w:val="none" w:sz="0" w:space="0" w:color="auto"/>
        <w:right w:val="none" w:sz="0" w:space="0" w:color="auto"/>
      </w:divBdr>
    </w:div>
    <w:div w:id="879779701">
      <w:bodyDiv w:val="1"/>
      <w:marLeft w:val="0"/>
      <w:marRight w:val="0"/>
      <w:marTop w:val="0"/>
      <w:marBottom w:val="0"/>
      <w:divBdr>
        <w:top w:val="none" w:sz="0" w:space="0" w:color="auto"/>
        <w:left w:val="none" w:sz="0" w:space="0" w:color="auto"/>
        <w:bottom w:val="none" w:sz="0" w:space="0" w:color="auto"/>
        <w:right w:val="none" w:sz="0" w:space="0" w:color="auto"/>
      </w:divBdr>
      <w:divsChild>
        <w:div w:id="210465154">
          <w:marLeft w:val="0"/>
          <w:marRight w:val="0"/>
          <w:marTop w:val="0"/>
          <w:marBottom w:val="0"/>
          <w:divBdr>
            <w:top w:val="none" w:sz="0" w:space="0" w:color="auto"/>
            <w:left w:val="none" w:sz="0" w:space="0" w:color="auto"/>
            <w:bottom w:val="none" w:sz="0" w:space="0" w:color="auto"/>
            <w:right w:val="none" w:sz="0" w:space="0" w:color="auto"/>
          </w:divBdr>
        </w:div>
      </w:divsChild>
    </w:div>
    <w:div w:id="917253302">
      <w:bodyDiv w:val="1"/>
      <w:marLeft w:val="0"/>
      <w:marRight w:val="0"/>
      <w:marTop w:val="0"/>
      <w:marBottom w:val="0"/>
      <w:divBdr>
        <w:top w:val="none" w:sz="0" w:space="0" w:color="auto"/>
        <w:left w:val="none" w:sz="0" w:space="0" w:color="auto"/>
        <w:bottom w:val="none" w:sz="0" w:space="0" w:color="auto"/>
        <w:right w:val="none" w:sz="0" w:space="0" w:color="auto"/>
      </w:divBdr>
    </w:div>
    <w:div w:id="943147980">
      <w:bodyDiv w:val="1"/>
      <w:marLeft w:val="0"/>
      <w:marRight w:val="0"/>
      <w:marTop w:val="0"/>
      <w:marBottom w:val="0"/>
      <w:divBdr>
        <w:top w:val="none" w:sz="0" w:space="0" w:color="auto"/>
        <w:left w:val="none" w:sz="0" w:space="0" w:color="auto"/>
        <w:bottom w:val="none" w:sz="0" w:space="0" w:color="auto"/>
        <w:right w:val="none" w:sz="0" w:space="0" w:color="auto"/>
      </w:divBdr>
    </w:div>
    <w:div w:id="989364050">
      <w:bodyDiv w:val="1"/>
      <w:marLeft w:val="0"/>
      <w:marRight w:val="0"/>
      <w:marTop w:val="0"/>
      <w:marBottom w:val="0"/>
      <w:divBdr>
        <w:top w:val="none" w:sz="0" w:space="0" w:color="auto"/>
        <w:left w:val="none" w:sz="0" w:space="0" w:color="auto"/>
        <w:bottom w:val="none" w:sz="0" w:space="0" w:color="auto"/>
        <w:right w:val="none" w:sz="0" w:space="0" w:color="auto"/>
      </w:divBdr>
    </w:div>
    <w:div w:id="1010838064">
      <w:bodyDiv w:val="1"/>
      <w:marLeft w:val="0"/>
      <w:marRight w:val="0"/>
      <w:marTop w:val="0"/>
      <w:marBottom w:val="0"/>
      <w:divBdr>
        <w:top w:val="none" w:sz="0" w:space="0" w:color="auto"/>
        <w:left w:val="none" w:sz="0" w:space="0" w:color="auto"/>
        <w:bottom w:val="none" w:sz="0" w:space="0" w:color="auto"/>
        <w:right w:val="none" w:sz="0" w:space="0" w:color="auto"/>
      </w:divBdr>
    </w:div>
    <w:div w:id="1040133425">
      <w:bodyDiv w:val="1"/>
      <w:marLeft w:val="0"/>
      <w:marRight w:val="0"/>
      <w:marTop w:val="0"/>
      <w:marBottom w:val="0"/>
      <w:divBdr>
        <w:top w:val="none" w:sz="0" w:space="0" w:color="auto"/>
        <w:left w:val="none" w:sz="0" w:space="0" w:color="auto"/>
        <w:bottom w:val="none" w:sz="0" w:space="0" w:color="auto"/>
        <w:right w:val="none" w:sz="0" w:space="0" w:color="auto"/>
      </w:divBdr>
    </w:div>
    <w:div w:id="1086808845">
      <w:bodyDiv w:val="1"/>
      <w:marLeft w:val="0"/>
      <w:marRight w:val="0"/>
      <w:marTop w:val="0"/>
      <w:marBottom w:val="0"/>
      <w:divBdr>
        <w:top w:val="none" w:sz="0" w:space="0" w:color="auto"/>
        <w:left w:val="none" w:sz="0" w:space="0" w:color="auto"/>
        <w:bottom w:val="none" w:sz="0" w:space="0" w:color="auto"/>
        <w:right w:val="none" w:sz="0" w:space="0" w:color="auto"/>
      </w:divBdr>
      <w:divsChild>
        <w:div w:id="1190948383">
          <w:marLeft w:val="1526"/>
          <w:marRight w:val="0"/>
          <w:marTop w:val="0"/>
          <w:marBottom w:val="120"/>
          <w:divBdr>
            <w:top w:val="none" w:sz="0" w:space="0" w:color="auto"/>
            <w:left w:val="none" w:sz="0" w:space="0" w:color="auto"/>
            <w:bottom w:val="none" w:sz="0" w:space="0" w:color="auto"/>
            <w:right w:val="none" w:sz="0" w:space="0" w:color="auto"/>
          </w:divBdr>
        </w:div>
      </w:divsChild>
    </w:div>
    <w:div w:id="1259212892">
      <w:bodyDiv w:val="1"/>
      <w:marLeft w:val="0"/>
      <w:marRight w:val="0"/>
      <w:marTop w:val="0"/>
      <w:marBottom w:val="0"/>
      <w:divBdr>
        <w:top w:val="none" w:sz="0" w:space="0" w:color="auto"/>
        <w:left w:val="none" w:sz="0" w:space="0" w:color="auto"/>
        <w:bottom w:val="none" w:sz="0" w:space="0" w:color="auto"/>
        <w:right w:val="none" w:sz="0" w:space="0" w:color="auto"/>
      </w:divBdr>
    </w:div>
    <w:div w:id="1291085261">
      <w:bodyDiv w:val="1"/>
      <w:marLeft w:val="0"/>
      <w:marRight w:val="0"/>
      <w:marTop w:val="0"/>
      <w:marBottom w:val="0"/>
      <w:divBdr>
        <w:top w:val="none" w:sz="0" w:space="0" w:color="auto"/>
        <w:left w:val="none" w:sz="0" w:space="0" w:color="auto"/>
        <w:bottom w:val="none" w:sz="0" w:space="0" w:color="auto"/>
        <w:right w:val="none" w:sz="0" w:space="0" w:color="auto"/>
      </w:divBdr>
    </w:div>
    <w:div w:id="1339429034">
      <w:bodyDiv w:val="1"/>
      <w:marLeft w:val="0"/>
      <w:marRight w:val="0"/>
      <w:marTop w:val="0"/>
      <w:marBottom w:val="0"/>
      <w:divBdr>
        <w:top w:val="none" w:sz="0" w:space="0" w:color="auto"/>
        <w:left w:val="none" w:sz="0" w:space="0" w:color="auto"/>
        <w:bottom w:val="none" w:sz="0" w:space="0" w:color="auto"/>
        <w:right w:val="none" w:sz="0" w:space="0" w:color="auto"/>
      </w:divBdr>
      <w:divsChild>
        <w:div w:id="1829247083">
          <w:marLeft w:val="994"/>
          <w:marRight w:val="0"/>
          <w:marTop w:val="0"/>
          <w:marBottom w:val="120"/>
          <w:divBdr>
            <w:top w:val="none" w:sz="0" w:space="0" w:color="auto"/>
            <w:left w:val="none" w:sz="0" w:space="0" w:color="auto"/>
            <w:bottom w:val="none" w:sz="0" w:space="0" w:color="auto"/>
            <w:right w:val="none" w:sz="0" w:space="0" w:color="auto"/>
          </w:divBdr>
        </w:div>
      </w:divsChild>
    </w:div>
    <w:div w:id="1358503444">
      <w:bodyDiv w:val="1"/>
      <w:marLeft w:val="0"/>
      <w:marRight w:val="0"/>
      <w:marTop w:val="0"/>
      <w:marBottom w:val="0"/>
      <w:divBdr>
        <w:top w:val="none" w:sz="0" w:space="0" w:color="auto"/>
        <w:left w:val="none" w:sz="0" w:space="0" w:color="auto"/>
        <w:bottom w:val="none" w:sz="0" w:space="0" w:color="auto"/>
        <w:right w:val="none" w:sz="0" w:space="0" w:color="auto"/>
      </w:divBdr>
    </w:div>
    <w:div w:id="1644385817">
      <w:bodyDiv w:val="1"/>
      <w:marLeft w:val="0"/>
      <w:marRight w:val="0"/>
      <w:marTop w:val="0"/>
      <w:marBottom w:val="0"/>
      <w:divBdr>
        <w:top w:val="none" w:sz="0" w:space="0" w:color="auto"/>
        <w:left w:val="none" w:sz="0" w:space="0" w:color="auto"/>
        <w:bottom w:val="none" w:sz="0" w:space="0" w:color="auto"/>
        <w:right w:val="none" w:sz="0" w:space="0" w:color="auto"/>
      </w:divBdr>
    </w:div>
    <w:div w:id="1714768469">
      <w:bodyDiv w:val="1"/>
      <w:marLeft w:val="0"/>
      <w:marRight w:val="0"/>
      <w:marTop w:val="0"/>
      <w:marBottom w:val="0"/>
      <w:divBdr>
        <w:top w:val="none" w:sz="0" w:space="0" w:color="auto"/>
        <w:left w:val="none" w:sz="0" w:space="0" w:color="auto"/>
        <w:bottom w:val="none" w:sz="0" w:space="0" w:color="auto"/>
        <w:right w:val="none" w:sz="0" w:space="0" w:color="auto"/>
      </w:divBdr>
      <w:divsChild>
        <w:div w:id="447965546">
          <w:marLeft w:val="1800"/>
          <w:marRight w:val="0"/>
          <w:marTop w:val="115"/>
          <w:marBottom w:val="0"/>
          <w:divBdr>
            <w:top w:val="none" w:sz="0" w:space="0" w:color="auto"/>
            <w:left w:val="none" w:sz="0" w:space="0" w:color="auto"/>
            <w:bottom w:val="none" w:sz="0" w:space="0" w:color="auto"/>
            <w:right w:val="none" w:sz="0" w:space="0" w:color="auto"/>
          </w:divBdr>
        </w:div>
        <w:div w:id="534074255">
          <w:marLeft w:val="1800"/>
          <w:marRight w:val="0"/>
          <w:marTop w:val="115"/>
          <w:marBottom w:val="0"/>
          <w:divBdr>
            <w:top w:val="none" w:sz="0" w:space="0" w:color="auto"/>
            <w:left w:val="none" w:sz="0" w:space="0" w:color="auto"/>
            <w:bottom w:val="none" w:sz="0" w:space="0" w:color="auto"/>
            <w:right w:val="none" w:sz="0" w:space="0" w:color="auto"/>
          </w:divBdr>
        </w:div>
        <w:div w:id="878707927">
          <w:marLeft w:val="1800"/>
          <w:marRight w:val="0"/>
          <w:marTop w:val="115"/>
          <w:marBottom w:val="0"/>
          <w:divBdr>
            <w:top w:val="none" w:sz="0" w:space="0" w:color="auto"/>
            <w:left w:val="none" w:sz="0" w:space="0" w:color="auto"/>
            <w:bottom w:val="none" w:sz="0" w:space="0" w:color="auto"/>
            <w:right w:val="none" w:sz="0" w:space="0" w:color="auto"/>
          </w:divBdr>
        </w:div>
        <w:div w:id="905651932">
          <w:marLeft w:val="1800"/>
          <w:marRight w:val="0"/>
          <w:marTop w:val="115"/>
          <w:marBottom w:val="0"/>
          <w:divBdr>
            <w:top w:val="none" w:sz="0" w:space="0" w:color="auto"/>
            <w:left w:val="none" w:sz="0" w:space="0" w:color="auto"/>
            <w:bottom w:val="none" w:sz="0" w:space="0" w:color="auto"/>
            <w:right w:val="none" w:sz="0" w:space="0" w:color="auto"/>
          </w:divBdr>
        </w:div>
        <w:div w:id="1014457245">
          <w:marLeft w:val="1800"/>
          <w:marRight w:val="0"/>
          <w:marTop w:val="115"/>
          <w:marBottom w:val="0"/>
          <w:divBdr>
            <w:top w:val="none" w:sz="0" w:space="0" w:color="auto"/>
            <w:left w:val="none" w:sz="0" w:space="0" w:color="auto"/>
            <w:bottom w:val="none" w:sz="0" w:space="0" w:color="auto"/>
            <w:right w:val="none" w:sz="0" w:space="0" w:color="auto"/>
          </w:divBdr>
        </w:div>
        <w:div w:id="1050687192">
          <w:marLeft w:val="1800"/>
          <w:marRight w:val="0"/>
          <w:marTop w:val="115"/>
          <w:marBottom w:val="0"/>
          <w:divBdr>
            <w:top w:val="none" w:sz="0" w:space="0" w:color="auto"/>
            <w:left w:val="none" w:sz="0" w:space="0" w:color="auto"/>
            <w:bottom w:val="none" w:sz="0" w:space="0" w:color="auto"/>
            <w:right w:val="none" w:sz="0" w:space="0" w:color="auto"/>
          </w:divBdr>
        </w:div>
        <w:div w:id="1395547267">
          <w:marLeft w:val="1800"/>
          <w:marRight w:val="0"/>
          <w:marTop w:val="115"/>
          <w:marBottom w:val="0"/>
          <w:divBdr>
            <w:top w:val="none" w:sz="0" w:space="0" w:color="auto"/>
            <w:left w:val="none" w:sz="0" w:space="0" w:color="auto"/>
            <w:bottom w:val="none" w:sz="0" w:space="0" w:color="auto"/>
            <w:right w:val="none" w:sz="0" w:space="0" w:color="auto"/>
          </w:divBdr>
        </w:div>
      </w:divsChild>
    </w:div>
    <w:div w:id="1829402095">
      <w:bodyDiv w:val="1"/>
      <w:marLeft w:val="0"/>
      <w:marRight w:val="0"/>
      <w:marTop w:val="0"/>
      <w:marBottom w:val="0"/>
      <w:divBdr>
        <w:top w:val="none" w:sz="0" w:space="0" w:color="auto"/>
        <w:left w:val="none" w:sz="0" w:space="0" w:color="auto"/>
        <w:bottom w:val="none" w:sz="0" w:space="0" w:color="auto"/>
        <w:right w:val="none" w:sz="0" w:space="0" w:color="auto"/>
      </w:divBdr>
      <w:divsChild>
        <w:div w:id="734164256">
          <w:marLeft w:val="1166"/>
          <w:marRight w:val="0"/>
          <w:marTop w:val="96"/>
          <w:marBottom w:val="0"/>
          <w:divBdr>
            <w:top w:val="none" w:sz="0" w:space="0" w:color="auto"/>
            <w:left w:val="none" w:sz="0" w:space="0" w:color="auto"/>
            <w:bottom w:val="none" w:sz="0" w:space="0" w:color="auto"/>
            <w:right w:val="none" w:sz="0" w:space="0" w:color="auto"/>
          </w:divBdr>
        </w:div>
      </w:divsChild>
    </w:div>
    <w:div w:id="1880631549">
      <w:bodyDiv w:val="1"/>
      <w:marLeft w:val="0"/>
      <w:marRight w:val="0"/>
      <w:marTop w:val="0"/>
      <w:marBottom w:val="0"/>
      <w:divBdr>
        <w:top w:val="none" w:sz="0" w:space="0" w:color="auto"/>
        <w:left w:val="none" w:sz="0" w:space="0" w:color="auto"/>
        <w:bottom w:val="none" w:sz="0" w:space="0" w:color="auto"/>
        <w:right w:val="none" w:sz="0" w:space="0" w:color="auto"/>
      </w:divBdr>
      <w:divsChild>
        <w:div w:id="1084062681">
          <w:marLeft w:val="0"/>
          <w:marRight w:val="0"/>
          <w:marTop w:val="0"/>
          <w:marBottom w:val="0"/>
          <w:divBdr>
            <w:top w:val="none" w:sz="0" w:space="0" w:color="auto"/>
            <w:left w:val="none" w:sz="0" w:space="0" w:color="auto"/>
            <w:bottom w:val="none" w:sz="0" w:space="0" w:color="auto"/>
            <w:right w:val="none" w:sz="0" w:space="0" w:color="auto"/>
          </w:divBdr>
        </w:div>
        <w:div w:id="1260598749">
          <w:marLeft w:val="0"/>
          <w:marRight w:val="0"/>
          <w:marTop w:val="0"/>
          <w:marBottom w:val="0"/>
          <w:divBdr>
            <w:top w:val="none" w:sz="0" w:space="0" w:color="auto"/>
            <w:left w:val="none" w:sz="0" w:space="0" w:color="auto"/>
            <w:bottom w:val="none" w:sz="0" w:space="0" w:color="auto"/>
            <w:right w:val="none" w:sz="0" w:space="0" w:color="auto"/>
          </w:divBdr>
        </w:div>
        <w:div w:id="1716587946">
          <w:marLeft w:val="0"/>
          <w:marRight w:val="0"/>
          <w:marTop w:val="0"/>
          <w:marBottom w:val="0"/>
          <w:divBdr>
            <w:top w:val="none" w:sz="0" w:space="0" w:color="auto"/>
            <w:left w:val="none" w:sz="0" w:space="0" w:color="auto"/>
            <w:bottom w:val="none" w:sz="0" w:space="0" w:color="auto"/>
            <w:right w:val="none" w:sz="0" w:space="0" w:color="auto"/>
          </w:divBdr>
        </w:div>
      </w:divsChild>
    </w:div>
    <w:div w:id="1902594395">
      <w:bodyDiv w:val="1"/>
      <w:marLeft w:val="0"/>
      <w:marRight w:val="0"/>
      <w:marTop w:val="0"/>
      <w:marBottom w:val="0"/>
      <w:divBdr>
        <w:top w:val="none" w:sz="0" w:space="0" w:color="auto"/>
        <w:left w:val="none" w:sz="0" w:space="0" w:color="auto"/>
        <w:bottom w:val="none" w:sz="0" w:space="0" w:color="auto"/>
        <w:right w:val="none" w:sz="0" w:space="0" w:color="auto"/>
      </w:divBdr>
    </w:div>
    <w:div w:id="1982466360">
      <w:bodyDiv w:val="1"/>
      <w:marLeft w:val="0"/>
      <w:marRight w:val="0"/>
      <w:marTop w:val="0"/>
      <w:marBottom w:val="0"/>
      <w:divBdr>
        <w:top w:val="none" w:sz="0" w:space="0" w:color="auto"/>
        <w:left w:val="none" w:sz="0" w:space="0" w:color="auto"/>
        <w:bottom w:val="none" w:sz="0" w:space="0" w:color="auto"/>
        <w:right w:val="none" w:sz="0" w:space="0" w:color="auto"/>
      </w:divBdr>
    </w:div>
    <w:div w:id="2047948133">
      <w:bodyDiv w:val="1"/>
      <w:marLeft w:val="0"/>
      <w:marRight w:val="0"/>
      <w:marTop w:val="0"/>
      <w:marBottom w:val="0"/>
      <w:divBdr>
        <w:top w:val="none" w:sz="0" w:space="0" w:color="auto"/>
        <w:left w:val="none" w:sz="0" w:space="0" w:color="auto"/>
        <w:bottom w:val="none" w:sz="0" w:space="0" w:color="auto"/>
        <w:right w:val="none" w:sz="0" w:space="0" w:color="auto"/>
      </w:divBdr>
    </w:div>
    <w:div w:id="2071682821">
      <w:bodyDiv w:val="1"/>
      <w:marLeft w:val="0"/>
      <w:marRight w:val="0"/>
      <w:marTop w:val="0"/>
      <w:marBottom w:val="0"/>
      <w:divBdr>
        <w:top w:val="none" w:sz="0" w:space="0" w:color="auto"/>
        <w:left w:val="none" w:sz="0" w:space="0" w:color="auto"/>
        <w:bottom w:val="none" w:sz="0" w:space="0" w:color="auto"/>
        <w:right w:val="none" w:sz="0" w:space="0" w:color="auto"/>
      </w:divBdr>
    </w:div>
    <w:div w:id="2089618991">
      <w:bodyDiv w:val="1"/>
      <w:marLeft w:val="0"/>
      <w:marRight w:val="0"/>
      <w:marTop w:val="0"/>
      <w:marBottom w:val="0"/>
      <w:divBdr>
        <w:top w:val="none" w:sz="0" w:space="0" w:color="auto"/>
        <w:left w:val="none" w:sz="0" w:space="0" w:color="auto"/>
        <w:bottom w:val="none" w:sz="0" w:space="0" w:color="auto"/>
        <w:right w:val="none" w:sz="0" w:space="0" w:color="auto"/>
      </w:divBdr>
    </w:div>
    <w:div w:id="2114743722">
      <w:bodyDiv w:val="1"/>
      <w:marLeft w:val="0"/>
      <w:marRight w:val="0"/>
      <w:marTop w:val="0"/>
      <w:marBottom w:val="0"/>
      <w:divBdr>
        <w:top w:val="none" w:sz="0" w:space="0" w:color="auto"/>
        <w:left w:val="none" w:sz="0" w:space="0" w:color="auto"/>
        <w:bottom w:val="none" w:sz="0" w:space="0" w:color="auto"/>
        <w:right w:val="none" w:sz="0" w:space="0" w:color="auto"/>
      </w:divBdr>
      <w:divsChild>
        <w:div w:id="1437797377">
          <w:marLeft w:val="1627"/>
          <w:marRight w:val="0"/>
          <w:marTop w:val="0"/>
          <w:marBottom w:val="120"/>
          <w:divBdr>
            <w:top w:val="none" w:sz="0" w:space="0" w:color="auto"/>
            <w:left w:val="none" w:sz="0" w:space="0" w:color="auto"/>
            <w:bottom w:val="none" w:sz="0" w:space="0" w:color="auto"/>
            <w:right w:val="none" w:sz="0" w:space="0" w:color="auto"/>
          </w:divBdr>
        </w:div>
        <w:div w:id="2105104031">
          <w:marLeft w:val="1627"/>
          <w:marRight w:val="0"/>
          <w:marTop w:val="0"/>
          <w:marBottom w:val="120"/>
          <w:divBdr>
            <w:top w:val="none" w:sz="0" w:space="0" w:color="auto"/>
            <w:left w:val="none" w:sz="0" w:space="0" w:color="auto"/>
            <w:bottom w:val="none" w:sz="0" w:space="0" w:color="auto"/>
            <w:right w:val="none" w:sz="0" w:space="0" w:color="auto"/>
          </w:divBdr>
        </w:div>
      </w:divsChild>
    </w:div>
    <w:div w:id="2116636167">
      <w:bodyDiv w:val="1"/>
      <w:marLeft w:val="0"/>
      <w:marRight w:val="0"/>
      <w:marTop w:val="0"/>
      <w:marBottom w:val="0"/>
      <w:divBdr>
        <w:top w:val="none" w:sz="0" w:space="0" w:color="auto"/>
        <w:left w:val="none" w:sz="0" w:space="0" w:color="auto"/>
        <w:bottom w:val="none" w:sz="0" w:space="0" w:color="auto"/>
        <w:right w:val="none" w:sz="0" w:space="0" w:color="auto"/>
      </w:divBdr>
      <w:divsChild>
        <w:div w:id="1293050043">
          <w:marLeft w:val="1166"/>
          <w:marRight w:val="0"/>
          <w:marTop w:val="96"/>
          <w:marBottom w:val="0"/>
          <w:divBdr>
            <w:top w:val="none" w:sz="0" w:space="0" w:color="auto"/>
            <w:left w:val="none" w:sz="0" w:space="0" w:color="auto"/>
            <w:bottom w:val="none" w:sz="0" w:space="0" w:color="auto"/>
            <w:right w:val="none" w:sz="0" w:space="0" w:color="auto"/>
          </w:divBdr>
        </w:div>
      </w:divsChild>
    </w:div>
    <w:div w:id="2121802243">
      <w:bodyDiv w:val="1"/>
      <w:marLeft w:val="0"/>
      <w:marRight w:val="0"/>
      <w:marTop w:val="0"/>
      <w:marBottom w:val="0"/>
      <w:divBdr>
        <w:top w:val="none" w:sz="0" w:space="0" w:color="auto"/>
        <w:left w:val="none" w:sz="0" w:space="0" w:color="auto"/>
        <w:bottom w:val="none" w:sz="0" w:space="0" w:color="auto"/>
        <w:right w:val="none" w:sz="0" w:space="0" w:color="auto"/>
      </w:divBdr>
      <w:divsChild>
        <w:div w:id="120424549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yperlink" Target="https://www.cdc.gov/std/gonorrhea/stdfact-gonorrhea.htm" TargetMode="External"/><Relationship Id="rId39" Type="http://schemas.openxmlformats.org/officeDocument/2006/relationships/theme" Target="theme/theme1.xml"/><Relationship Id="rId21" Type="http://schemas.openxmlformats.org/officeDocument/2006/relationships/hyperlink" Target="https://www.cdc.gov/std/gonorrhea/arg/lab.htm" TargetMode="External"/><Relationship Id="rId34" Type="http://schemas.openxmlformats.org/officeDocument/2006/relationships/hyperlink" Target="https://play.google.com/store/apps/details?id=gov.cdc.stdtxguide&amp;hl=e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s://www.cdc.gov/std/ept/default.htm" TargetMode="External"/><Relationship Id="rId33" Type="http://schemas.openxmlformats.org/officeDocument/2006/relationships/hyperlink" Target="https://itunes.apple.com/us/app/std-tx-guide/id655206856?mt=8"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www.cdc.gov/std/gonorrhea/arg/basic.htm" TargetMode="External"/><Relationship Id="rId29" Type="http://schemas.openxmlformats.org/officeDocument/2006/relationships/hyperlink" Target="https://www.stdcc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cdc.gov/std/program/outbreakresources/documents/ceftriaxone-resistant-gc-outbreak-response-plan-guidance.docx" TargetMode="External"/><Relationship Id="rId32" Type="http://schemas.openxmlformats.org/officeDocument/2006/relationships/hyperlink" Target="https://www.cdc.gov/std/tg2015/gonorrhea.htm" TargetMode="Externa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cdc.gov/std/program/outbreakresources/documents/ARGC-TTX-Webinar_2021.pptx" TargetMode="External"/><Relationship Id="rId28" Type="http://schemas.openxmlformats.org/officeDocument/2006/relationships/hyperlink" Target="https://www.cdc.gov/std/program/outbreakresources/HANtemplate-gono.htm" TargetMode="Externa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hyperlink" Target="https://www.cdc.gov/std/publications/STDPreventionResources_WEB.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www.cdc.gov/std/gonorrhea/arg/carb.htm" TargetMode="External"/><Relationship Id="rId27" Type="http://schemas.openxmlformats.org/officeDocument/2006/relationships/hyperlink" Target="https://www.cdc.gov/std/gonorrhea/stdfact-gonorrhea-detailed.htm" TargetMode="External"/><Relationship Id="rId30" Type="http://schemas.openxmlformats.org/officeDocument/2006/relationships/hyperlink" Target="https://www.std.uw.edu/" TargetMode="External"/><Relationship Id="rId35" Type="http://schemas.openxmlformats.org/officeDocument/2006/relationships/hyperlink" Target="https://www.cdc.gov/std/program/outbreakresources/default.htm" TargetMode="External"/><Relationship Id="rId8" Type="http://schemas.openxmlformats.org/officeDocument/2006/relationships/header" Target="header1.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DED5E-FB3C-4552-A0F2-5AF1C479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29</Pages>
  <Words>6136</Words>
  <Characters>40682</Characters>
  <Application>Microsoft Office Word</Application>
  <DocSecurity>0</DocSecurity>
  <Lines>339</Lines>
  <Paragraphs>93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46725</CharactersWithSpaces>
  <SharedDoc>false</SharedDoc>
  <HLinks>
    <vt:vector size="144" baseType="variant">
      <vt:variant>
        <vt:i4>1703986</vt:i4>
      </vt:variant>
      <vt:variant>
        <vt:i4>137</vt:i4>
      </vt:variant>
      <vt:variant>
        <vt:i4>0</vt:i4>
      </vt:variant>
      <vt:variant>
        <vt:i4>5</vt:i4>
      </vt:variant>
      <vt:variant>
        <vt:lpwstr/>
      </vt:variant>
      <vt:variant>
        <vt:lpwstr>_Toc187547078</vt:lpwstr>
      </vt:variant>
      <vt:variant>
        <vt:i4>1769522</vt:i4>
      </vt:variant>
      <vt:variant>
        <vt:i4>131</vt:i4>
      </vt:variant>
      <vt:variant>
        <vt:i4>0</vt:i4>
      </vt:variant>
      <vt:variant>
        <vt:i4>5</vt:i4>
      </vt:variant>
      <vt:variant>
        <vt:lpwstr/>
      </vt:variant>
      <vt:variant>
        <vt:lpwstr>_Toc187547069</vt:lpwstr>
      </vt:variant>
      <vt:variant>
        <vt:i4>1769522</vt:i4>
      </vt:variant>
      <vt:variant>
        <vt:i4>125</vt:i4>
      </vt:variant>
      <vt:variant>
        <vt:i4>0</vt:i4>
      </vt:variant>
      <vt:variant>
        <vt:i4>5</vt:i4>
      </vt:variant>
      <vt:variant>
        <vt:lpwstr/>
      </vt:variant>
      <vt:variant>
        <vt:lpwstr>_Toc187547068</vt:lpwstr>
      </vt:variant>
      <vt:variant>
        <vt:i4>1769522</vt:i4>
      </vt:variant>
      <vt:variant>
        <vt:i4>119</vt:i4>
      </vt:variant>
      <vt:variant>
        <vt:i4>0</vt:i4>
      </vt:variant>
      <vt:variant>
        <vt:i4>5</vt:i4>
      </vt:variant>
      <vt:variant>
        <vt:lpwstr/>
      </vt:variant>
      <vt:variant>
        <vt:lpwstr>_Toc187547067</vt:lpwstr>
      </vt:variant>
      <vt:variant>
        <vt:i4>1769522</vt:i4>
      </vt:variant>
      <vt:variant>
        <vt:i4>113</vt:i4>
      </vt:variant>
      <vt:variant>
        <vt:i4>0</vt:i4>
      </vt:variant>
      <vt:variant>
        <vt:i4>5</vt:i4>
      </vt:variant>
      <vt:variant>
        <vt:lpwstr/>
      </vt:variant>
      <vt:variant>
        <vt:lpwstr>_Toc187547066</vt:lpwstr>
      </vt:variant>
      <vt:variant>
        <vt:i4>1769522</vt:i4>
      </vt:variant>
      <vt:variant>
        <vt:i4>107</vt:i4>
      </vt:variant>
      <vt:variant>
        <vt:i4>0</vt:i4>
      </vt:variant>
      <vt:variant>
        <vt:i4>5</vt:i4>
      </vt:variant>
      <vt:variant>
        <vt:lpwstr/>
      </vt:variant>
      <vt:variant>
        <vt:lpwstr>_Toc187547065</vt:lpwstr>
      </vt:variant>
      <vt:variant>
        <vt:i4>1769522</vt:i4>
      </vt:variant>
      <vt:variant>
        <vt:i4>101</vt:i4>
      </vt:variant>
      <vt:variant>
        <vt:i4>0</vt:i4>
      </vt:variant>
      <vt:variant>
        <vt:i4>5</vt:i4>
      </vt:variant>
      <vt:variant>
        <vt:lpwstr/>
      </vt:variant>
      <vt:variant>
        <vt:lpwstr>_Toc187547064</vt:lpwstr>
      </vt:variant>
      <vt:variant>
        <vt:i4>1769522</vt:i4>
      </vt:variant>
      <vt:variant>
        <vt:i4>95</vt:i4>
      </vt:variant>
      <vt:variant>
        <vt:i4>0</vt:i4>
      </vt:variant>
      <vt:variant>
        <vt:i4>5</vt:i4>
      </vt:variant>
      <vt:variant>
        <vt:lpwstr/>
      </vt:variant>
      <vt:variant>
        <vt:lpwstr>_Toc187547063</vt:lpwstr>
      </vt:variant>
      <vt:variant>
        <vt:i4>1769522</vt:i4>
      </vt:variant>
      <vt:variant>
        <vt:i4>89</vt:i4>
      </vt:variant>
      <vt:variant>
        <vt:i4>0</vt:i4>
      </vt:variant>
      <vt:variant>
        <vt:i4>5</vt:i4>
      </vt:variant>
      <vt:variant>
        <vt:lpwstr/>
      </vt:variant>
      <vt:variant>
        <vt:lpwstr>_Toc187547062</vt:lpwstr>
      </vt:variant>
      <vt:variant>
        <vt:i4>1769522</vt:i4>
      </vt:variant>
      <vt:variant>
        <vt:i4>83</vt:i4>
      </vt:variant>
      <vt:variant>
        <vt:i4>0</vt:i4>
      </vt:variant>
      <vt:variant>
        <vt:i4>5</vt:i4>
      </vt:variant>
      <vt:variant>
        <vt:lpwstr/>
      </vt:variant>
      <vt:variant>
        <vt:lpwstr>_Toc187547061</vt:lpwstr>
      </vt:variant>
      <vt:variant>
        <vt:i4>1769522</vt:i4>
      </vt:variant>
      <vt:variant>
        <vt:i4>77</vt:i4>
      </vt:variant>
      <vt:variant>
        <vt:i4>0</vt:i4>
      </vt:variant>
      <vt:variant>
        <vt:i4>5</vt:i4>
      </vt:variant>
      <vt:variant>
        <vt:lpwstr/>
      </vt:variant>
      <vt:variant>
        <vt:lpwstr>_Toc187547060</vt:lpwstr>
      </vt:variant>
      <vt:variant>
        <vt:i4>1572914</vt:i4>
      </vt:variant>
      <vt:variant>
        <vt:i4>71</vt:i4>
      </vt:variant>
      <vt:variant>
        <vt:i4>0</vt:i4>
      </vt:variant>
      <vt:variant>
        <vt:i4>5</vt:i4>
      </vt:variant>
      <vt:variant>
        <vt:lpwstr/>
      </vt:variant>
      <vt:variant>
        <vt:lpwstr>_Toc187547059</vt:lpwstr>
      </vt:variant>
      <vt:variant>
        <vt:i4>1572914</vt:i4>
      </vt:variant>
      <vt:variant>
        <vt:i4>65</vt:i4>
      </vt:variant>
      <vt:variant>
        <vt:i4>0</vt:i4>
      </vt:variant>
      <vt:variant>
        <vt:i4>5</vt:i4>
      </vt:variant>
      <vt:variant>
        <vt:lpwstr/>
      </vt:variant>
      <vt:variant>
        <vt:lpwstr>_Toc187547058</vt:lpwstr>
      </vt:variant>
      <vt:variant>
        <vt:i4>1572914</vt:i4>
      </vt:variant>
      <vt:variant>
        <vt:i4>59</vt:i4>
      </vt:variant>
      <vt:variant>
        <vt:i4>0</vt:i4>
      </vt:variant>
      <vt:variant>
        <vt:i4>5</vt:i4>
      </vt:variant>
      <vt:variant>
        <vt:lpwstr/>
      </vt:variant>
      <vt:variant>
        <vt:lpwstr>_Toc187547057</vt:lpwstr>
      </vt:variant>
      <vt:variant>
        <vt:i4>1572914</vt:i4>
      </vt:variant>
      <vt:variant>
        <vt:i4>53</vt:i4>
      </vt:variant>
      <vt:variant>
        <vt:i4>0</vt:i4>
      </vt:variant>
      <vt:variant>
        <vt:i4>5</vt:i4>
      </vt:variant>
      <vt:variant>
        <vt:lpwstr/>
      </vt:variant>
      <vt:variant>
        <vt:lpwstr>_Toc187547056</vt:lpwstr>
      </vt:variant>
      <vt:variant>
        <vt:i4>1572914</vt:i4>
      </vt:variant>
      <vt:variant>
        <vt:i4>47</vt:i4>
      </vt:variant>
      <vt:variant>
        <vt:i4>0</vt:i4>
      </vt:variant>
      <vt:variant>
        <vt:i4>5</vt:i4>
      </vt:variant>
      <vt:variant>
        <vt:lpwstr/>
      </vt:variant>
      <vt:variant>
        <vt:lpwstr>_Toc187547055</vt:lpwstr>
      </vt:variant>
      <vt:variant>
        <vt:i4>1572914</vt:i4>
      </vt:variant>
      <vt:variant>
        <vt:i4>41</vt:i4>
      </vt:variant>
      <vt:variant>
        <vt:i4>0</vt:i4>
      </vt:variant>
      <vt:variant>
        <vt:i4>5</vt:i4>
      </vt:variant>
      <vt:variant>
        <vt:lpwstr/>
      </vt:variant>
      <vt:variant>
        <vt:lpwstr>_Toc187547054</vt:lpwstr>
      </vt:variant>
      <vt:variant>
        <vt:i4>1572914</vt:i4>
      </vt:variant>
      <vt:variant>
        <vt:i4>35</vt:i4>
      </vt:variant>
      <vt:variant>
        <vt:i4>0</vt:i4>
      </vt:variant>
      <vt:variant>
        <vt:i4>5</vt:i4>
      </vt:variant>
      <vt:variant>
        <vt:lpwstr/>
      </vt:variant>
      <vt:variant>
        <vt:lpwstr>_Toc187547053</vt:lpwstr>
      </vt:variant>
      <vt:variant>
        <vt:i4>1572914</vt:i4>
      </vt:variant>
      <vt:variant>
        <vt:i4>29</vt:i4>
      </vt:variant>
      <vt:variant>
        <vt:i4>0</vt:i4>
      </vt:variant>
      <vt:variant>
        <vt:i4>5</vt:i4>
      </vt:variant>
      <vt:variant>
        <vt:lpwstr/>
      </vt:variant>
      <vt:variant>
        <vt:lpwstr>_Toc187547052</vt:lpwstr>
      </vt:variant>
      <vt:variant>
        <vt:i4>1572914</vt:i4>
      </vt:variant>
      <vt:variant>
        <vt:i4>23</vt:i4>
      </vt:variant>
      <vt:variant>
        <vt:i4>0</vt:i4>
      </vt:variant>
      <vt:variant>
        <vt:i4>5</vt:i4>
      </vt:variant>
      <vt:variant>
        <vt:lpwstr/>
      </vt:variant>
      <vt:variant>
        <vt:lpwstr>_Toc187547051</vt:lpwstr>
      </vt:variant>
      <vt:variant>
        <vt:i4>1572914</vt:i4>
      </vt:variant>
      <vt:variant>
        <vt:i4>17</vt:i4>
      </vt:variant>
      <vt:variant>
        <vt:i4>0</vt:i4>
      </vt:variant>
      <vt:variant>
        <vt:i4>5</vt:i4>
      </vt:variant>
      <vt:variant>
        <vt:lpwstr/>
      </vt:variant>
      <vt:variant>
        <vt:lpwstr>_Toc187547050</vt:lpwstr>
      </vt:variant>
      <vt:variant>
        <vt:i4>1638450</vt:i4>
      </vt:variant>
      <vt:variant>
        <vt:i4>11</vt:i4>
      </vt:variant>
      <vt:variant>
        <vt:i4>0</vt:i4>
      </vt:variant>
      <vt:variant>
        <vt:i4>5</vt:i4>
      </vt:variant>
      <vt:variant>
        <vt:lpwstr/>
      </vt:variant>
      <vt:variant>
        <vt:lpwstr>_Toc187547049</vt:lpwstr>
      </vt:variant>
      <vt:variant>
        <vt:i4>1638450</vt:i4>
      </vt:variant>
      <vt:variant>
        <vt:i4>5</vt:i4>
      </vt:variant>
      <vt:variant>
        <vt:i4>0</vt:i4>
      </vt:variant>
      <vt:variant>
        <vt:i4>5</vt:i4>
      </vt:variant>
      <vt:variant>
        <vt:lpwstr/>
      </vt:variant>
      <vt:variant>
        <vt:lpwstr>_Toc187547048</vt:lpwstr>
      </vt:variant>
      <vt:variant>
        <vt:i4>6553677</vt:i4>
      </vt:variant>
      <vt:variant>
        <vt:i4>0</vt:i4>
      </vt:variant>
      <vt:variant>
        <vt:i4>0</vt:i4>
      </vt:variant>
      <vt:variant>
        <vt:i4>5</vt:i4>
      </vt:variant>
      <vt:variant>
        <vt:lpwstr>mailto:KDecker@cdc.gov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Herald, Amber (CDC/DDID/NCHHSTP/DSTDP)</cp:lastModifiedBy>
  <cp:revision>7</cp:revision>
  <cp:lastPrinted>2019-04-24T21:51:00Z</cp:lastPrinted>
  <dcterms:created xsi:type="dcterms:W3CDTF">2021-05-07T18:51:00Z</dcterms:created>
  <dcterms:modified xsi:type="dcterms:W3CDTF">2021-05-20T21:03:00Z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8af03ff0-41c5-4c41-b55e-fabb8fae94be_Enabled">
    <vt:lpwstr>true</vt:lpwstr>
  </property>
  <property fmtid="{D5CDD505-2E9C-101B-9397-08002B2CF9AE}" pid="4" name="MSIP_Label_8af03ff0-41c5-4c41-b55e-fabb8fae94be_SetDate">
    <vt:lpwstr>2020-11-06T19:04:42Z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4de0c8c5-b378-489e-8575-5f9421528e01</vt:lpwstr>
  </property>
  <property fmtid="{D5CDD505-2E9C-101B-9397-08002B2CF9AE}" pid="9" name="MSIP_Label_8af03ff0-41c5-4c41-b55e-fabb8fae94be_ContentBits">
    <vt:lpwstr>0</vt:lpwstr>
  </property>
</Properties>
</file>