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8B6B" w14:textId="35EB1670" w:rsidR="00BC4E98" w:rsidRPr="00BC4E98" w:rsidRDefault="006B09C2" w:rsidP="006B09C2">
      <w:pPr>
        <w:pStyle w:val="Heading2"/>
        <w:rPr>
          <w:noProof/>
        </w:rPr>
      </w:pPr>
      <w:r w:rsidRPr="005572E0"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7E3401" wp14:editId="04D4AD11">
                <wp:simplePos x="0" y="0"/>
                <wp:positionH relativeFrom="margin">
                  <wp:posOffset>-2540</wp:posOffset>
                </wp:positionH>
                <wp:positionV relativeFrom="paragraph">
                  <wp:posOffset>506730</wp:posOffset>
                </wp:positionV>
                <wp:extent cx="6381750" cy="2194560"/>
                <wp:effectExtent l="0" t="0" r="0" b="0"/>
                <wp:wrapSquare wrapText="bothSides"/>
                <wp:docPr id="25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1945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675CB" w14:textId="77777777" w:rsidR="00BC4E98" w:rsidRPr="00C734DC" w:rsidRDefault="00BC4E98" w:rsidP="00BC4E98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C734DC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Purpose</w:t>
                            </w:r>
                            <w:r w:rsidRPr="00C734DC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The Partner Planning Worksheet is the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2"/>
                              </w:rPr>
                              <w:t>p</w:t>
                            </w:r>
                            <w:r w:rsidRPr="00C734DC">
                              <w:rPr>
                                <w:rFonts w:cstheme="minorHAnsi"/>
                                <w:color w:val="000000"/>
                                <w:sz w:val="20"/>
                                <w:szCs w:val="22"/>
                              </w:rPr>
                              <w:t xml:space="preserve">reliminary planning tool for gathering information about existing and potential partners. </w:t>
                            </w:r>
                          </w:p>
                          <w:p w14:paraId="0581BD4C" w14:textId="77777777" w:rsidR="00BC4E98" w:rsidRPr="00C734DC" w:rsidRDefault="00BC4E98" w:rsidP="00BC4E98">
                            <w:pPr>
                              <w:rPr>
                                <w:rFonts w:cstheme="minorHAnsi"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  <w:p w14:paraId="5D47CA33" w14:textId="77777777" w:rsidR="00BC4E98" w:rsidRPr="00C734DC" w:rsidRDefault="00BC4E98" w:rsidP="00BC4E98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  <w:r w:rsidRPr="00C734DC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 xml:space="preserve">Instructions: </w:t>
                            </w:r>
                            <w:r w:rsidRPr="00C734DC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As a starting point,</w:t>
                            </w:r>
                            <w:r w:rsidRPr="00C734DC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734DC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use the Partner Planning Worksheet to identify existing partners engaged in activities relevant to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planning for </w:t>
                            </w:r>
                            <w:r w:rsidRPr="00C734DC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access and functional needs. Many of these partners may lend their knowledge and expertise for risk communication planning. Next, expand the list and identify potential partners to engage.</w:t>
                            </w:r>
                          </w:p>
                          <w:p w14:paraId="2624EC35" w14:textId="77777777" w:rsidR="00BC4E98" w:rsidRPr="00C734DC" w:rsidRDefault="00BC4E98" w:rsidP="00BC4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</w:rPr>
                            </w:pPr>
                            <w:r w:rsidRPr="00C734DC">
                              <w:rPr>
                                <w:rFonts w:eastAsia="Times New Roman" w:cstheme="minorHAnsi"/>
                                <w:sz w:val="20"/>
                              </w:rPr>
                              <w:t>Strive for representation across access and functional needs</w:t>
                            </w:r>
                            <w:r w:rsidRPr="00C734DC">
                              <w:rPr>
                                <w:rFonts w:eastAsia="Times New Roman" w:cstheme="minorHAnsi"/>
                                <w:color w:val="000000"/>
                                <w:sz w:val="20"/>
                              </w:rPr>
                              <w:t xml:space="preserve">. </w:t>
                            </w:r>
                          </w:p>
                          <w:p w14:paraId="71867362" w14:textId="77777777" w:rsidR="00BC4E98" w:rsidRPr="00C734DC" w:rsidRDefault="00BC4E98" w:rsidP="00BC4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</w:rPr>
                            </w:pPr>
                            <w:r w:rsidRPr="00C734DC">
                              <w:rPr>
                                <w:rFonts w:eastAsia="Times New Roman" w:cstheme="minorHAnsi"/>
                                <w:sz w:val="20"/>
                              </w:rPr>
                              <w:t>Define the intended partner role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</w:rPr>
                              <w:t xml:space="preserve"> and</w:t>
                            </w:r>
                            <w:r w:rsidRPr="00C734DC">
                              <w:rPr>
                                <w:rFonts w:eastAsia="Times New Roman" w:cstheme="minorHAnsi"/>
                                <w:sz w:val="20"/>
                              </w:rPr>
                              <w:t xml:space="preserve"> primary and back-up contact information.</w:t>
                            </w:r>
                          </w:p>
                          <w:p w14:paraId="4E057767" w14:textId="77777777" w:rsidR="00BC4E98" w:rsidRPr="00C734DC" w:rsidRDefault="00BC4E98" w:rsidP="00BC4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</w:rPr>
                            </w:pPr>
                            <w:r w:rsidRPr="00C734DC">
                              <w:rPr>
                                <w:rFonts w:eastAsia="Times New Roman" w:cstheme="minorHAnsi"/>
                                <w:sz w:val="20"/>
                              </w:rPr>
                              <w:t xml:space="preserve">Note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</w:rPr>
                              <w:t>that t</w:t>
                            </w:r>
                            <w:r w:rsidRPr="00C734DC">
                              <w:rPr>
                                <w:rFonts w:eastAsia="Times New Roman" w:cstheme="minorHAnsi"/>
                                <w:sz w:val="20"/>
                              </w:rPr>
                              <w:t>he organizations listed on a state-based worksheet will look different from those listed on the jurisdictional worksheet.</w:t>
                            </w:r>
                          </w:p>
                          <w:p w14:paraId="3CBD199D" w14:textId="5F7A52B1" w:rsidR="00BC4E98" w:rsidRPr="006B09C2" w:rsidRDefault="00BC4E98" w:rsidP="00BC4E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</w:rPr>
                            </w:pPr>
                            <w:r w:rsidRPr="00C734DC">
                              <w:rPr>
                                <w:rFonts w:eastAsia="Times New Roman" w:cstheme="minorHAnsi"/>
                                <w:sz w:val="20"/>
                              </w:rPr>
                              <w:t>Routinely update the worksheet.</w:t>
                            </w:r>
                          </w:p>
                          <w:p w14:paraId="3D8C6923" w14:textId="7827C77D" w:rsidR="00BC4E98" w:rsidRPr="006B09C2" w:rsidRDefault="006B09C2" w:rsidP="00BC4E98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Accessible</w:t>
                            </w:r>
                            <w:r w:rsidRPr="00D139D4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version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: </w:t>
                            </w:r>
                            <w:hyperlink r:id="rId10" w:history="1">
                              <w:r w:rsidRPr="00FA7B2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2"/>
                                </w:rPr>
                                <w:t>https://www.cdc.gov/cpr/readiness/afntoolkit.htm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E3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.2pt;margin-top:39.9pt;width:502.5pt;height:17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" fillcolor="#deebf7" stroked="f">
                <v:textbox>
                  <w:txbxContent>
                    <w:p w14:paraId="532675CB" w14:textId="77777777" w:rsidR="00BC4E98" w:rsidRPr="00C734DC" w:rsidRDefault="00BC4E98" w:rsidP="00BC4E98">
                      <w:pPr>
                        <w:rPr>
                          <w:rFonts w:cstheme="minorHAnsi"/>
                          <w:color w:val="000000"/>
                          <w:sz w:val="20"/>
                          <w:szCs w:val="22"/>
                        </w:rPr>
                      </w:pPr>
                      <w:r w:rsidRPr="00C734DC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Purpose</w:t>
                      </w:r>
                      <w:r w:rsidRPr="00C734DC">
                        <w:rPr>
                          <w:rFonts w:cstheme="minorHAnsi"/>
                          <w:sz w:val="20"/>
                          <w:szCs w:val="22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The Partner Planning Worksheet is the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2"/>
                        </w:rPr>
                        <w:t>p</w:t>
                      </w:r>
                      <w:r w:rsidRPr="00C734DC">
                        <w:rPr>
                          <w:rFonts w:cstheme="minorHAnsi"/>
                          <w:color w:val="000000"/>
                          <w:sz w:val="20"/>
                          <w:szCs w:val="22"/>
                        </w:rPr>
                        <w:t xml:space="preserve">reliminary planning tool for gathering information about existing and potential partners. </w:t>
                      </w:r>
                    </w:p>
                    <w:p w14:paraId="0581BD4C" w14:textId="77777777" w:rsidR="00BC4E98" w:rsidRPr="00C734DC" w:rsidRDefault="00BC4E98" w:rsidP="00BC4E98">
                      <w:pPr>
                        <w:rPr>
                          <w:rFonts w:cstheme="minorHAnsi"/>
                          <w:color w:val="000000"/>
                          <w:sz w:val="20"/>
                          <w:szCs w:val="22"/>
                        </w:rPr>
                      </w:pPr>
                    </w:p>
                    <w:p w14:paraId="5D47CA33" w14:textId="77777777" w:rsidR="00BC4E98" w:rsidRPr="00C734DC" w:rsidRDefault="00BC4E98" w:rsidP="00BC4E98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  <w:r w:rsidRPr="00C734DC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 xml:space="preserve">Instructions: </w:t>
                      </w:r>
                      <w:r w:rsidRPr="00C734DC">
                        <w:rPr>
                          <w:rFonts w:cstheme="minorHAnsi"/>
                          <w:sz w:val="20"/>
                          <w:szCs w:val="22"/>
                        </w:rPr>
                        <w:t>As a starting point,</w:t>
                      </w:r>
                      <w:r w:rsidRPr="00C734DC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C734DC">
                        <w:rPr>
                          <w:rFonts w:cstheme="minorHAnsi"/>
                          <w:sz w:val="20"/>
                          <w:szCs w:val="22"/>
                        </w:rPr>
                        <w:t xml:space="preserve">use the Partner Planning Worksheet to identify existing partners engaged in activities relevant to 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planning for </w:t>
                      </w:r>
                      <w:r w:rsidRPr="00C734DC">
                        <w:rPr>
                          <w:rFonts w:cstheme="minorHAnsi"/>
                          <w:sz w:val="20"/>
                          <w:szCs w:val="22"/>
                        </w:rPr>
                        <w:t>access and functional needs. Many of these partners may lend their knowledge and expertise for risk communication planning. Next, expand the list and identify potential partners to engage.</w:t>
                      </w:r>
                    </w:p>
                    <w:p w14:paraId="2624EC35" w14:textId="77777777" w:rsidR="00BC4E98" w:rsidRPr="00C734DC" w:rsidRDefault="00BC4E98" w:rsidP="00BC4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eastAsia="Times New Roman" w:cstheme="minorHAnsi"/>
                          <w:color w:val="000000"/>
                          <w:sz w:val="20"/>
                        </w:rPr>
                      </w:pPr>
                      <w:r w:rsidRPr="00C734DC">
                        <w:rPr>
                          <w:rFonts w:eastAsia="Times New Roman" w:cstheme="minorHAnsi"/>
                          <w:sz w:val="20"/>
                        </w:rPr>
                        <w:t>Strive for representation across access and functional needs</w:t>
                      </w:r>
                      <w:r w:rsidRPr="00C734DC">
                        <w:rPr>
                          <w:rFonts w:eastAsia="Times New Roman" w:cstheme="minorHAnsi"/>
                          <w:color w:val="000000"/>
                          <w:sz w:val="20"/>
                        </w:rPr>
                        <w:t xml:space="preserve">. </w:t>
                      </w:r>
                    </w:p>
                    <w:p w14:paraId="71867362" w14:textId="77777777" w:rsidR="00BC4E98" w:rsidRPr="00C734DC" w:rsidRDefault="00BC4E98" w:rsidP="00BC4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eastAsia="Times New Roman" w:cstheme="minorHAnsi"/>
                          <w:color w:val="000000"/>
                          <w:sz w:val="20"/>
                        </w:rPr>
                      </w:pPr>
                      <w:r w:rsidRPr="00C734DC">
                        <w:rPr>
                          <w:rFonts w:eastAsia="Times New Roman" w:cstheme="minorHAnsi"/>
                          <w:sz w:val="20"/>
                        </w:rPr>
                        <w:t>Define the intended partner role</w:t>
                      </w:r>
                      <w:r>
                        <w:rPr>
                          <w:rFonts w:eastAsia="Times New Roman" w:cstheme="minorHAnsi"/>
                          <w:sz w:val="20"/>
                        </w:rPr>
                        <w:t xml:space="preserve"> and</w:t>
                      </w:r>
                      <w:r w:rsidRPr="00C734DC">
                        <w:rPr>
                          <w:rFonts w:eastAsia="Times New Roman" w:cstheme="minorHAnsi"/>
                          <w:sz w:val="20"/>
                        </w:rPr>
                        <w:t xml:space="preserve"> primary and back-up contact information.</w:t>
                      </w:r>
                    </w:p>
                    <w:p w14:paraId="4E057767" w14:textId="77777777" w:rsidR="00BC4E98" w:rsidRPr="00C734DC" w:rsidRDefault="00BC4E98" w:rsidP="00BC4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eastAsia="Times New Roman" w:cstheme="minorHAnsi"/>
                          <w:color w:val="000000"/>
                          <w:sz w:val="20"/>
                        </w:rPr>
                      </w:pPr>
                      <w:r w:rsidRPr="00C734DC">
                        <w:rPr>
                          <w:rFonts w:eastAsia="Times New Roman" w:cstheme="minorHAnsi"/>
                          <w:sz w:val="20"/>
                        </w:rPr>
                        <w:t xml:space="preserve">Note </w:t>
                      </w:r>
                      <w:r>
                        <w:rPr>
                          <w:rFonts w:eastAsia="Times New Roman" w:cstheme="minorHAnsi"/>
                          <w:sz w:val="20"/>
                        </w:rPr>
                        <w:t>that t</w:t>
                      </w:r>
                      <w:r w:rsidRPr="00C734DC">
                        <w:rPr>
                          <w:rFonts w:eastAsia="Times New Roman" w:cstheme="minorHAnsi"/>
                          <w:sz w:val="20"/>
                        </w:rPr>
                        <w:t>he organizations listed on a state-based worksheet will look different from those listed on the jurisdictional worksheet.</w:t>
                      </w:r>
                    </w:p>
                    <w:p w14:paraId="3CBD199D" w14:textId="5F7A52B1" w:rsidR="00BC4E98" w:rsidRPr="006B09C2" w:rsidRDefault="00BC4E98" w:rsidP="00BC4E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eastAsia="Times New Roman" w:cstheme="minorHAnsi"/>
                          <w:color w:val="000000"/>
                          <w:sz w:val="20"/>
                        </w:rPr>
                      </w:pPr>
                      <w:r w:rsidRPr="00C734DC">
                        <w:rPr>
                          <w:rFonts w:eastAsia="Times New Roman" w:cstheme="minorHAnsi"/>
                          <w:sz w:val="20"/>
                        </w:rPr>
                        <w:t>Routinely update the worksheet.</w:t>
                      </w:r>
                    </w:p>
                    <w:p w14:paraId="3D8C6923" w14:textId="7827C77D" w:rsidR="00BC4E98" w:rsidRPr="006B09C2" w:rsidRDefault="006B09C2" w:rsidP="00BC4E98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cstheme="minorHAnsi"/>
                          <w:sz w:val="20"/>
                          <w:szCs w:val="22"/>
                        </w:rPr>
                        <w:t>Accessible</w:t>
                      </w:r>
                      <w:r w:rsidRPr="00D139D4">
                        <w:rPr>
                          <w:rFonts w:cstheme="minorHAnsi"/>
                          <w:sz w:val="20"/>
                          <w:szCs w:val="22"/>
                        </w:rPr>
                        <w:t xml:space="preserve"> version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: </w:t>
                      </w:r>
                      <w:hyperlink r:id="rId11" w:history="1">
                        <w:r w:rsidRPr="00FA7B2A">
                          <w:rPr>
                            <w:rStyle w:val="Hyperlink"/>
                            <w:rFonts w:cstheme="minorHAnsi"/>
                            <w:sz w:val="20"/>
                            <w:szCs w:val="22"/>
                          </w:rPr>
                          <w:t>https://www.cdc.gov/cpr/readiness/afntoolkit.htm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E98" w:rsidRPr="005572E0">
        <w:t>Partner Planning Worksheet</w:t>
      </w:r>
      <w:r w:rsidR="00BC4E98" w:rsidRPr="005572E0">
        <w:rPr>
          <w:noProof/>
        </w:rPr>
        <w:t xml:space="preserve"> </w:t>
      </w:r>
    </w:p>
    <w:p w14:paraId="71B63679" w14:textId="77777777" w:rsidR="00BC4E98" w:rsidRPr="00B97E79" w:rsidRDefault="00BC4E98" w:rsidP="00BC4E98">
      <w:pPr>
        <w:rPr>
          <w:rFonts w:eastAsiaTheme="majorEastAsi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05"/>
        <w:gridCol w:w="2206"/>
        <w:gridCol w:w="2474"/>
        <w:gridCol w:w="2785"/>
      </w:tblGrid>
      <w:tr w:rsidR="00BC4E98" w:rsidRPr="005572E0" w14:paraId="4DFDF062" w14:textId="77777777" w:rsidTr="00F43D12">
        <w:tc>
          <w:tcPr>
            <w:tcW w:w="2605" w:type="dxa"/>
            <w:shd w:val="clear" w:color="auto" w:fill="D9E2F3" w:themeFill="accent1" w:themeFillTint="33"/>
          </w:tcPr>
          <w:p w14:paraId="7654BF69" w14:textId="77777777" w:rsidR="00BC4E98" w:rsidRPr="0021314E" w:rsidRDefault="00BC4E98" w:rsidP="00F43D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2"/>
              </w:rPr>
            </w:pPr>
            <w:r w:rsidRPr="0021314E">
              <w:rPr>
                <w:rFonts w:cstheme="minorHAnsi"/>
                <w:b/>
                <w:color w:val="000000"/>
                <w:sz w:val="24"/>
                <w:szCs w:val="22"/>
              </w:rPr>
              <w:t xml:space="preserve">Priority Area examples </w:t>
            </w:r>
          </w:p>
        </w:tc>
        <w:tc>
          <w:tcPr>
            <w:tcW w:w="2206" w:type="dxa"/>
            <w:shd w:val="clear" w:color="auto" w:fill="D9E2F3" w:themeFill="accent1" w:themeFillTint="33"/>
          </w:tcPr>
          <w:p w14:paraId="2C400EDD" w14:textId="77777777" w:rsidR="00BC4E98" w:rsidRPr="0021314E" w:rsidRDefault="00BC4E98" w:rsidP="00F43D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2"/>
              </w:rPr>
            </w:pPr>
            <w:r w:rsidRPr="0021314E">
              <w:rPr>
                <w:rFonts w:cstheme="minorHAnsi"/>
                <w:b/>
                <w:color w:val="000000"/>
                <w:sz w:val="24"/>
                <w:szCs w:val="22"/>
              </w:rPr>
              <w:t xml:space="preserve">Organization Name </w:t>
            </w:r>
          </w:p>
        </w:tc>
        <w:tc>
          <w:tcPr>
            <w:tcW w:w="2474" w:type="dxa"/>
            <w:shd w:val="clear" w:color="auto" w:fill="D9E2F3" w:themeFill="accent1" w:themeFillTint="33"/>
          </w:tcPr>
          <w:p w14:paraId="30870788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2"/>
              </w:rPr>
            </w:pPr>
            <w:r w:rsidRPr="0021314E">
              <w:rPr>
                <w:rFonts w:cstheme="minorHAnsi"/>
                <w:b/>
                <w:color w:val="000000"/>
                <w:sz w:val="24"/>
                <w:szCs w:val="22"/>
              </w:rPr>
              <w:t>Existing Role(s)</w:t>
            </w:r>
            <w:r>
              <w:rPr>
                <w:rFonts w:cstheme="minorHAnsi"/>
                <w:b/>
                <w:color w:val="000000"/>
                <w:sz w:val="24"/>
                <w:szCs w:val="22"/>
              </w:rPr>
              <w:t>/</w:t>
            </w:r>
          </w:p>
          <w:p w14:paraId="4738BEAD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2"/>
              </w:rPr>
            </w:pPr>
            <w:r w:rsidRPr="0021314E">
              <w:rPr>
                <w:rFonts w:cstheme="minorHAnsi"/>
                <w:b/>
                <w:color w:val="000000"/>
                <w:sz w:val="24"/>
                <w:szCs w:val="22"/>
              </w:rPr>
              <w:t>Potential Role(s)</w:t>
            </w:r>
          </w:p>
        </w:tc>
        <w:tc>
          <w:tcPr>
            <w:tcW w:w="2785" w:type="dxa"/>
            <w:shd w:val="clear" w:color="auto" w:fill="D9E2F3" w:themeFill="accent1" w:themeFillTint="33"/>
          </w:tcPr>
          <w:p w14:paraId="66F7DD9E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2"/>
              </w:rPr>
            </w:pPr>
            <w:r>
              <w:rPr>
                <w:rFonts w:cstheme="minorHAnsi"/>
                <w:b/>
                <w:color w:val="000000"/>
                <w:sz w:val="24"/>
                <w:szCs w:val="22"/>
              </w:rPr>
              <w:t>Notes</w:t>
            </w:r>
          </w:p>
        </w:tc>
      </w:tr>
      <w:tr w:rsidR="00BC4E98" w:rsidRPr="005572E0" w14:paraId="5016A857" w14:textId="77777777" w:rsidTr="00F43D12">
        <w:tc>
          <w:tcPr>
            <w:tcW w:w="2605" w:type="dxa"/>
          </w:tcPr>
          <w:p w14:paraId="21FBAE5A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4F5C88DD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2BFB5BC8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64FCC4CC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36ABC27E" w14:textId="77777777" w:rsidTr="00F43D12">
        <w:tc>
          <w:tcPr>
            <w:tcW w:w="2605" w:type="dxa"/>
          </w:tcPr>
          <w:p w14:paraId="1044F078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  <w:r w:rsidRPr="0021314E">
              <w:rPr>
                <w:rFonts w:eastAsiaTheme="minorHAnsi" w:cstheme="minorHAnsi"/>
                <w:b/>
                <w:color w:val="000000"/>
                <w:szCs w:val="22"/>
              </w:rPr>
              <w:t>Individuals with a physical, developmental, or intellectual disability</w:t>
            </w:r>
          </w:p>
        </w:tc>
        <w:tc>
          <w:tcPr>
            <w:tcW w:w="2206" w:type="dxa"/>
          </w:tcPr>
          <w:p w14:paraId="3FC9DD6C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3E404A0E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4365E26A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037D7F32" w14:textId="77777777" w:rsidTr="00F43D12">
        <w:tc>
          <w:tcPr>
            <w:tcW w:w="2605" w:type="dxa"/>
          </w:tcPr>
          <w:p w14:paraId="76512846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2282F0BB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1459ED9C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58FD2B93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36FEC9E6" w14:textId="77777777" w:rsidTr="00F43D12">
        <w:tc>
          <w:tcPr>
            <w:tcW w:w="2605" w:type="dxa"/>
          </w:tcPr>
          <w:p w14:paraId="00855E03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17743916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60BEC9F9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125737A7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2EFD3959" w14:textId="77777777" w:rsidTr="00F43D12">
        <w:tc>
          <w:tcPr>
            <w:tcW w:w="2605" w:type="dxa"/>
          </w:tcPr>
          <w:p w14:paraId="67945A4A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4158ABA3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01BD757E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5C511E1E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0F774B26" w14:textId="77777777" w:rsidTr="00F43D12">
        <w:tc>
          <w:tcPr>
            <w:tcW w:w="2605" w:type="dxa"/>
          </w:tcPr>
          <w:p w14:paraId="438DCAA6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  <w:r w:rsidRPr="0021314E">
              <w:rPr>
                <w:rFonts w:cstheme="minorHAnsi"/>
                <w:b/>
                <w:color w:val="222A35" w:themeColor="text2" w:themeShade="80"/>
                <w:szCs w:val="22"/>
              </w:rPr>
              <w:t>Individuals with economic disadvantage</w:t>
            </w:r>
          </w:p>
        </w:tc>
        <w:tc>
          <w:tcPr>
            <w:tcW w:w="2206" w:type="dxa"/>
          </w:tcPr>
          <w:p w14:paraId="31A40870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7CE48B1F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66BA2DAE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597F8A91" w14:textId="77777777" w:rsidTr="00F43D12">
        <w:tc>
          <w:tcPr>
            <w:tcW w:w="2605" w:type="dxa"/>
          </w:tcPr>
          <w:p w14:paraId="6E8AA999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589946A5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0B380FB8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00BFCF47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7C177D7A" w14:textId="77777777" w:rsidTr="00F43D12">
        <w:tc>
          <w:tcPr>
            <w:tcW w:w="2605" w:type="dxa"/>
          </w:tcPr>
          <w:p w14:paraId="0CF3CA3A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7FA1C113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7B78E3F8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67CE9ADA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7DF83E4A" w14:textId="77777777" w:rsidTr="00F43D12">
        <w:tc>
          <w:tcPr>
            <w:tcW w:w="2605" w:type="dxa"/>
          </w:tcPr>
          <w:p w14:paraId="2C359AD2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1F813A8A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3BAF8837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580975C7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25257EF6" w14:textId="77777777" w:rsidTr="00F43D12">
        <w:tc>
          <w:tcPr>
            <w:tcW w:w="2605" w:type="dxa"/>
          </w:tcPr>
          <w:p w14:paraId="377A8569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Cs w:val="22"/>
              </w:rPr>
            </w:pPr>
            <w:r w:rsidRPr="0021314E">
              <w:rPr>
                <w:rFonts w:cstheme="minorHAnsi"/>
                <w:b/>
                <w:color w:val="000000"/>
                <w:szCs w:val="22"/>
              </w:rPr>
              <w:t>Older adults</w:t>
            </w:r>
          </w:p>
          <w:p w14:paraId="725CCF9A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6D954B91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1380E700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532A9F13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51C7A365" w14:textId="77777777" w:rsidTr="00F43D12">
        <w:tc>
          <w:tcPr>
            <w:tcW w:w="2605" w:type="dxa"/>
          </w:tcPr>
          <w:p w14:paraId="2A845BCA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32C2259B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5D298140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1C505B34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26861D6A" w14:textId="77777777" w:rsidTr="00F43D12">
        <w:tc>
          <w:tcPr>
            <w:tcW w:w="2605" w:type="dxa"/>
          </w:tcPr>
          <w:p w14:paraId="72D43ACC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52E08D88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0BA28A21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7599C0CB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4E97B4DC" w14:textId="77777777" w:rsidTr="00F43D12">
        <w:tc>
          <w:tcPr>
            <w:tcW w:w="2605" w:type="dxa"/>
          </w:tcPr>
          <w:p w14:paraId="0223341E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1B9316C0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74DC91E6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4CD626B4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4A855F7A" w14:textId="77777777" w:rsidTr="00F43D12">
        <w:tc>
          <w:tcPr>
            <w:tcW w:w="2605" w:type="dxa"/>
          </w:tcPr>
          <w:p w14:paraId="2D024439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Cs w:val="22"/>
              </w:rPr>
            </w:pPr>
            <w:r w:rsidRPr="0021314E">
              <w:rPr>
                <w:rFonts w:cstheme="minorHAnsi"/>
                <w:b/>
                <w:color w:val="000000"/>
                <w:szCs w:val="22"/>
              </w:rPr>
              <w:t xml:space="preserve">Children </w:t>
            </w:r>
          </w:p>
          <w:p w14:paraId="4B00128D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5CD48EE0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617A178A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23E6061E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385AD4C4" w14:textId="77777777" w:rsidTr="00F43D12">
        <w:tc>
          <w:tcPr>
            <w:tcW w:w="2605" w:type="dxa"/>
          </w:tcPr>
          <w:p w14:paraId="79AC9618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6D07218F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459F5B1E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0D776498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508F3337" w14:textId="77777777" w:rsidTr="00F43D12">
        <w:tc>
          <w:tcPr>
            <w:tcW w:w="2605" w:type="dxa"/>
          </w:tcPr>
          <w:p w14:paraId="0FA129DD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34CFC1C7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2149B581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23C4D0E9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0B043158" w14:textId="77777777" w:rsidTr="00F43D12">
        <w:tc>
          <w:tcPr>
            <w:tcW w:w="2605" w:type="dxa"/>
          </w:tcPr>
          <w:p w14:paraId="20ACA424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1A21C6C8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1CD3A7FF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7EE0A418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0FEB0B8A" w14:textId="77777777" w:rsidTr="00F43D12">
        <w:tc>
          <w:tcPr>
            <w:tcW w:w="2605" w:type="dxa"/>
          </w:tcPr>
          <w:p w14:paraId="3AE5C3ED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Cs w:val="22"/>
              </w:rPr>
            </w:pPr>
            <w:r w:rsidRPr="0021314E">
              <w:rPr>
                <w:rFonts w:cstheme="minorHAnsi"/>
                <w:b/>
                <w:color w:val="000000"/>
                <w:szCs w:val="22"/>
              </w:rPr>
              <w:t>Pregnant women</w:t>
            </w:r>
          </w:p>
          <w:p w14:paraId="1B9A3577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  <w:p w14:paraId="0601CBF5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0DFA328D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5271F5B5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78EBFA37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26AB17D6" w14:textId="77777777" w:rsidTr="00F43D12">
        <w:tc>
          <w:tcPr>
            <w:tcW w:w="2605" w:type="dxa"/>
          </w:tcPr>
          <w:p w14:paraId="472674D7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295D2F6D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76F141D6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20779565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6F8A4F05" w14:textId="77777777" w:rsidTr="00F43D12">
        <w:tc>
          <w:tcPr>
            <w:tcW w:w="2605" w:type="dxa"/>
          </w:tcPr>
          <w:p w14:paraId="0CBE45E9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7A8CB4F6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03073FDA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482932AF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363E596F" w14:textId="77777777" w:rsidTr="00F43D12">
        <w:tc>
          <w:tcPr>
            <w:tcW w:w="2605" w:type="dxa"/>
          </w:tcPr>
          <w:p w14:paraId="280675CB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1AE1B3B5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5FB7DAC1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2B4FFA34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6EDA141D" w14:textId="77777777" w:rsidTr="00F43D12">
        <w:tc>
          <w:tcPr>
            <w:tcW w:w="2605" w:type="dxa"/>
          </w:tcPr>
          <w:p w14:paraId="10F9C82D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Cs w:val="22"/>
              </w:rPr>
            </w:pPr>
            <w:r w:rsidRPr="0021314E">
              <w:rPr>
                <w:rFonts w:cstheme="minorHAnsi"/>
                <w:b/>
                <w:color w:val="000000"/>
                <w:szCs w:val="22"/>
              </w:rPr>
              <w:lastRenderedPageBreak/>
              <w:t xml:space="preserve">Individuals with limited literacy or English proficiency </w:t>
            </w:r>
          </w:p>
          <w:p w14:paraId="59811973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48BA25F8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284F8917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0E4B03B6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4ECF8A87" w14:textId="77777777" w:rsidTr="00F43D12">
        <w:tc>
          <w:tcPr>
            <w:tcW w:w="2605" w:type="dxa"/>
          </w:tcPr>
          <w:p w14:paraId="3F4282D0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75A13D27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45B3E7F8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21D6F707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1EE17E24" w14:textId="77777777" w:rsidTr="00F43D12">
        <w:tc>
          <w:tcPr>
            <w:tcW w:w="2605" w:type="dxa"/>
          </w:tcPr>
          <w:p w14:paraId="0B0245B9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7139742A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442A64AC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2964E63D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3B9AD7AC" w14:textId="77777777" w:rsidTr="00F43D12">
        <w:tc>
          <w:tcPr>
            <w:tcW w:w="2605" w:type="dxa"/>
          </w:tcPr>
          <w:p w14:paraId="4BB0E599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Cs w:val="22"/>
              </w:rPr>
            </w:pPr>
            <w:r w:rsidRPr="0021314E">
              <w:rPr>
                <w:rFonts w:cstheme="minorHAnsi"/>
                <w:b/>
                <w:color w:val="000000"/>
                <w:szCs w:val="22"/>
              </w:rPr>
              <w:t>Individuals with a chronic medical condition, pharmacological dependency, or temporary injury</w:t>
            </w:r>
          </w:p>
          <w:p w14:paraId="5C64F31A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27CF0217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4B8FF76F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6D143750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569A0BA8" w14:textId="77777777" w:rsidTr="00F43D12">
        <w:tc>
          <w:tcPr>
            <w:tcW w:w="2605" w:type="dxa"/>
          </w:tcPr>
          <w:p w14:paraId="3E50B2A2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38E1BFD4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4788ECBA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6AEE64B3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34291835" w14:textId="77777777" w:rsidTr="00F43D12">
        <w:tc>
          <w:tcPr>
            <w:tcW w:w="2605" w:type="dxa"/>
          </w:tcPr>
          <w:p w14:paraId="6EBE03C5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0AA3914F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400A372D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62F38B05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0D4D971A" w14:textId="77777777" w:rsidTr="00F43D12">
        <w:tc>
          <w:tcPr>
            <w:tcW w:w="2605" w:type="dxa"/>
          </w:tcPr>
          <w:p w14:paraId="2792777B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38FE7570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14EC15AB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4007FBA4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70FE9D7C" w14:textId="77777777" w:rsidTr="00F43D12">
        <w:tc>
          <w:tcPr>
            <w:tcW w:w="2605" w:type="dxa"/>
          </w:tcPr>
          <w:p w14:paraId="74AA6FB9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Cs w:val="22"/>
              </w:rPr>
            </w:pPr>
            <w:r w:rsidRPr="0021314E">
              <w:rPr>
                <w:rFonts w:cstheme="minorHAnsi"/>
                <w:b/>
                <w:color w:val="000000"/>
                <w:szCs w:val="22"/>
              </w:rPr>
              <w:t>Individuals with limited access to transportation</w:t>
            </w:r>
          </w:p>
        </w:tc>
        <w:tc>
          <w:tcPr>
            <w:tcW w:w="2206" w:type="dxa"/>
          </w:tcPr>
          <w:p w14:paraId="498CFDA6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40EBA372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2AEA1399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7EA4F7F7" w14:textId="77777777" w:rsidTr="00F43D12">
        <w:tc>
          <w:tcPr>
            <w:tcW w:w="2605" w:type="dxa"/>
          </w:tcPr>
          <w:p w14:paraId="72EC9422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78FBC061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6D1035F5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21F2E76D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329DD5E1" w14:textId="77777777" w:rsidTr="00F43D12">
        <w:tc>
          <w:tcPr>
            <w:tcW w:w="2605" w:type="dxa"/>
          </w:tcPr>
          <w:p w14:paraId="19C9C7DA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6D04B941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6943E241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6C4BCA53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  <w:tr w:rsidR="00BC4E98" w:rsidRPr="005572E0" w14:paraId="6961525F" w14:textId="77777777" w:rsidTr="00F43D12">
        <w:tc>
          <w:tcPr>
            <w:tcW w:w="2605" w:type="dxa"/>
          </w:tcPr>
          <w:p w14:paraId="6C22D8CD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206" w:type="dxa"/>
          </w:tcPr>
          <w:p w14:paraId="0FE415EE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474" w:type="dxa"/>
          </w:tcPr>
          <w:p w14:paraId="3C29FCD7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  <w:tc>
          <w:tcPr>
            <w:tcW w:w="2785" w:type="dxa"/>
          </w:tcPr>
          <w:p w14:paraId="31D5927B" w14:textId="77777777" w:rsidR="00BC4E98" w:rsidRPr="0021314E" w:rsidRDefault="00BC4E98" w:rsidP="00F43D1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</w:rPr>
            </w:pPr>
          </w:p>
        </w:tc>
      </w:tr>
    </w:tbl>
    <w:p w14:paraId="55A1F09C" w14:textId="77777777" w:rsidR="00BC4E98" w:rsidRDefault="00BC4E98" w:rsidP="00BC4E98">
      <w:pPr>
        <w:spacing w:after="160" w:line="259" w:lineRule="auto"/>
        <w:rPr>
          <w:rFonts w:eastAsiaTheme="minorHAnsi" w:cstheme="minorHAnsi"/>
          <w:szCs w:val="22"/>
        </w:rPr>
      </w:pPr>
    </w:p>
    <w:p w14:paraId="4098724E" w14:textId="77777777" w:rsidR="00FC70C6" w:rsidRDefault="00FC70C6"/>
    <w:sectPr w:rsidR="00FC70C6" w:rsidSect="00D26908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FF8AB" w14:textId="77777777" w:rsidR="00BC4E98" w:rsidRDefault="00BC4E98" w:rsidP="00BC4E98">
      <w:r>
        <w:separator/>
      </w:r>
    </w:p>
  </w:endnote>
  <w:endnote w:type="continuationSeparator" w:id="0">
    <w:p w14:paraId="02B7B10D" w14:textId="77777777" w:rsidR="00BC4E98" w:rsidRDefault="00BC4E98" w:rsidP="00B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3C048" w14:textId="77777777" w:rsidR="00BC4E98" w:rsidRDefault="00BC4E98" w:rsidP="00BC4E98">
      <w:r>
        <w:separator/>
      </w:r>
    </w:p>
  </w:footnote>
  <w:footnote w:type="continuationSeparator" w:id="0">
    <w:p w14:paraId="3F67B5CC" w14:textId="77777777" w:rsidR="00BC4E98" w:rsidRDefault="00BC4E98" w:rsidP="00BC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2B5B" w14:textId="77777777" w:rsidR="007D312A" w:rsidRDefault="007D312A" w:rsidP="007D312A">
    <w:pPr>
      <w:pStyle w:val="Footer"/>
      <w:jc w:val="center"/>
    </w:pPr>
    <w:r>
      <w:t xml:space="preserve">CDC’s Access and Functional Needs Toolkit: </w:t>
    </w:r>
  </w:p>
  <w:p w14:paraId="3DA7FBC1" w14:textId="77777777" w:rsidR="007D312A" w:rsidRDefault="007D312A" w:rsidP="007D312A">
    <w:pPr>
      <w:pStyle w:val="Footer"/>
      <w:jc w:val="center"/>
    </w:pPr>
    <w:r w:rsidRPr="002A477E">
      <w:t>Integrating a Community Partner Network to Inform Risk Communication Strategies</w:t>
    </w:r>
  </w:p>
  <w:p w14:paraId="3E97E7CF" w14:textId="77777777" w:rsidR="007D312A" w:rsidRDefault="007D3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0002"/>
    <w:multiLevelType w:val="hybridMultilevel"/>
    <w:tmpl w:val="F31AE7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98"/>
    <w:rsid w:val="006B09C2"/>
    <w:rsid w:val="007D312A"/>
    <w:rsid w:val="00BC4E98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B7F8B5"/>
  <w15:chartTrackingRefBased/>
  <w15:docId w15:val="{4E16E219-2247-4B69-9FC1-C2BE8F47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98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E98"/>
    <w:pPr>
      <w:keepNext/>
      <w:keepLines/>
      <w:spacing w:before="40" w:line="259" w:lineRule="auto"/>
      <w:outlineLvl w:val="1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4E98"/>
    <w:rPr>
      <w:rFonts w:eastAsiaTheme="majorEastAsia" w:cstheme="majorBidi"/>
      <w:color w:val="2F5496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BC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C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E98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6B09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12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12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pr/readiness/afntoolkit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c.gov/cpr/readiness/afntoolkit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1" ma:contentTypeDescription="Create a new document." ma:contentTypeScope="" ma:versionID="f49aefa9d96c9d149b25f74de0839da0">
  <xsd:schema xmlns:xsd="http://www.w3.org/2001/XMLSchema" xmlns:xs="http://www.w3.org/2001/XMLSchema" xmlns:p="http://schemas.microsoft.com/office/2006/metadata/properties" xmlns:ns3="83c27556-a946-441b-8e49-22dc5d76f230" xmlns:ns4="31912ff1-91bb-455a-93f4-4eefbe4b45dc" targetNamespace="http://schemas.microsoft.com/office/2006/metadata/properties" ma:root="true" ma:fieldsID="32bd433b88f1b04b301aa10ee7ff5130" ns3:_="" ns4:_="">
    <xsd:import namespace="83c27556-a946-441b-8e49-22dc5d76f230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87162-00C1-401F-BA02-1D6E7DBBB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45AD4-97DD-4848-93F7-093CCF194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DB32E-9AF9-4435-902B-CFD71CFE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27556-a946-441b-8e49-22dc5d76f230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Centers for Disease Control and Prevention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Germaine (ATSDR/OCOM)</dc:creator>
  <cp:keywords/>
  <dc:description/>
  <cp:lastModifiedBy>Vazquez, Germaine (ATSDR/OCOM)</cp:lastModifiedBy>
  <cp:revision>3</cp:revision>
  <dcterms:created xsi:type="dcterms:W3CDTF">2021-01-14T16:22:00Z</dcterms:created>
  <dcterms:modified xsi:type="dcterms:W3CDTF">2021-02-22T05:21:00Z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2021-01-14T16:23:16Z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b2673a1f-02c6-4717-be2a-724994bcb793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