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5B1F" w14:textId="77777777" w:rsidR="00910795" w:rsidRDefault="00910795" w:rsidP="00910795">
      <w:pPr>
        <w:spacing w:after="0" w:line="240" w:lineRule="auto"/>
        <w:jc w:val="center"/>
        <w:rPr>
          <w:rFonts w:ascii="Arial" w:eastAsia="DengXian" w:hAnsi="Arial" w:cs="Arial"/>
          <w:b/>
          <w:iCs/>
          <w:color w:val="0F175C"/>
          <w:kern w:val="2"/>
          <w:sz w:val="36"/>
          <w:szCs w:val="36"/>
          <w:lang w:eastAsia="zh-CN"/>
          <w14:ligatures w14:val="standardContextual"/>
        </w:rPr>
      </w:pPr>
      <w:r w:rsidRPr="005B1312">
        <w:rPr>
          <w:rFonts w:ascii="Arial" w:eastAsia="DengXian" w:hAnsi="Arial" w:cs="Arial"/>
          <w:b/>
          <w:iCs/>
          <w:noProof/>
          <w:color w:val="0F175C"/>
          <w:kern w:val="2"/>
          <w:sz w:val="36"/>
          <w:szCs w:val="36"/>
          <w:lang w:eastAsia="zh-CN"/>
          <w14:ligatures w14:val="standardContextual"/>
        </w:rPr>
        <w:drawing>
          <wp:inline distT="0" distB="0" distL="0" distR="0" wp14:anchorId="6B6E13F9" wp14:editId="70F2939B">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798A743F" w14:textId="6D37D7E1" w:rsidR="00910795" w:rsidRPr="005B1312" w:rsidRDefault="00C46FB7" w:rsidP="00910795">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Professional</w:t>
      </w:r>
      <w:r w:rsidR="00910795">
        <w:rPr>
          <w:rFonts w:ascii="Arial" w:eastAsia="DengXian" w:hAnsi="Arial" w:cs="Arial"/>
          <w:b/>
          <w:iCs/>
          <w:color w:val="0F175C"/>
          <w:kern w:val="2"/>
          <w:sz w:val="36"/>
          <w:szCs w:val="36"/>
          <w:lang w:eastAsia="zh-CN"/>
          <w14:ligatures w14:val="standardContextual"/>
        </w:rPr>
        <w:t xml:space="preserve"> Wellbeing Team Roles Chart</w:t>
      </w:r>
    </w:p>
    <w:p w14:paraId="4F9A99BC" w14:textId="77777777" w:rsidR="00910795" w:rsidRPr="00AE271B" w:rsidRDefault="00910795" w:rsidP="00910795">
      <w:pPr>
        <w:spacing w:after="0" w:line="240" w:lineRule="auto"/>
        <w:jc w:val="center"/>
        <w:rPr>
          <w:rFonts w:ascii="Arial" w:eastAsia="DengXian" w:hAnsi="Arial" w:cs="Arial"/>
          <w:b/>
          <w:kern w:val="2"/>
          <w:lang w:eastAsia="zh-CN"/>
          <w14:ligatures w14:val="standardContextual"/>
        </w:rPr>
      </w:pPr>
    </w:p>
    <w:p w14:paraId="79089D15" w14:textId="46F50A1A" w:rsidR="00910795" w:rsidRPr="005B1312" w:rsidRDefault="00910795" w:rsidP="00910795">
      <w:pPr>
        <w:spacing w:after="0" w:line="240" w:lineRule="auto"/>
        <w:rPr>
          <w:rFonts w:ascii="Arial" w:eastAsia="Arial" w:hAnsi="Arial" w:cs="Arial"/>
          <w:b/>
          <w:bCs/>
          <w:color w:val="0F175C"/>
          <w:kern w:val="2"/>
          <w:sz w:val="28"/>
          <w:szCs w:val="28"/>
          <w:lang w:eastAsia="zh-CN"/>
          <w14:ligatures w14:val="standardContextual"/>
        </w:rPr>
      </w:pPr>
      <w:r w:rsidRPr="005B1312">
        <w:rPr>
          <w:rFonts w:ascii="Arial" w:eastAsia="Arial" w:hAnsi="Arial" w:cs="Arial"/>
          <w:b/>
          <w:bCs/>
          <w:color w:val="0F175C"/>
          <w:kern w:val="2"/>
          <w:sz w:val="28"/>
          <w:szCs w:val="28"/>
          <w:lang w:eastAsia="zh-CN"/>
          <w14:ligatures w14:val="standardContextual"/>
        </w:rPr>
        <w:t xml:space="preserve">How </w:t>
      </w:r>
      <w:r w:rsidR="005F525E" w:rsidRPr="005B1312">
        <w:rPr>
          <w:rFonts w:ascii="Arial" w:eastAsia="Arial" w:hAnsi="Arial" w:cs="Arial"/>
          <w:b/>
          <w:bCs/>
          <w:color w:val="0F175C"/>
          <w:kern w:val="2"/>
          <w:sz w:val="28"/>
          <w:szCs w:val="28"/>
          <w:lang w:eastAsia="zh-CN"/>
          <w14:ligatures w14:val="standardContextual"/>
        </w:rPr>
        <w:t xml:space="preserve">to use this </w:t>
      </w:r>
      <w:r w:rsidR="005F525E">
        <w:rPr>
          <w:rFonts w:ascii="Arial" w:eastAsia="Arial" w:hAnsi="Arial" w:cs="Arial"/>
          <w:b/>
          <w:bCs/>
          <w:color w:val="0F175C"/>
          <w:kern w:val="2"/>
          <w:sz w:val="28"/>
          <w:szCs w:val="28"/>
          <w:lang w:eastAsia="zh-CN"/>
          <w14:ligatures w14:val="standardContextual"/>
        </w:rPr>
        <w:t>chart</w:t>
      </w:r>
      <w:r w:rsidRPr="005B1312">
        <w:rPr>
          <w:rFonts w:ascii="Arial" w:eastAsia="Arial" w:hAnsi="Arial" w:cs="Arial"/>
          <w:b/>
          <w:bCs/>
          <w:color w:val="0F175C"/>
          <w:kern w:val="2"/>
          <w:sz w:val="28"/>
          <w:szCs w:val="28"/>
          <w:lang w:eastAsia="zh-CN"/>
          <w14:ligatures w14:val="standardContextual"/>
        </w:rPr>
        <w:t>:</w:t>
      </w:r>
    </w:p>
    <w:p w14:paraId="105CF64B" w14:textId="77777777" w:rsidR="003A4A13" w:rsidRPr="003A4A13" w:rsidRDefault="003A4A13" w:rsidP="003A4A13">
      <w:pPr>
        <w:numPr>
          <w:ilvl w:val="0"/>
          <w:numId w:val="7"/>
        </w:numPr>
        <w:spacing w:after="0" w:line="240" w:lineRule="auto"/>
        <w:contextualSpacing/>
        <w:rPr>
          <w:rFonts w:ascii="Arial" w:eastAsia="Arial" w:hAnsi="Arial" w:cs="Arial"/>
          <w:kern w:val="2"/>
          <w:sz w:val="21"/>
          <w:szCs w:val="21"/>
          <w:lang w:eastAsia="zh-CN"/>
          <w14:ligatures w14:val="standardContextual"/>
        </w:rPr>
      </w:pPr>
      <w:r w:rsidRPr="003A4A13">
        <w:rPr>
          <w:rFonts w:ascii="Arial" w:eastAsia="Arial" w:hAnsi="Arial" w:cs="Arial"/>
          <w:kern w:val="2"/>
          <w:sz w:val="21"/>
          <w:szCs w:val="21"/>
          <w:lang w:eastAsia="zh-CN"/>
          <w14:ligatures w14:val="standardContextual"/>
        </w:rPr>
        <w:t xml:space="preserve">Use the following chart to help you determine the appropriate leaders and representatives to be on your </w:t>
      </w:r>
      <w:r w:rsidRPr="003A4A13">
        <w:rPr>
          <w:rFonts w:ascii="Arial" w:eastAsia="Times New Roman" w:hAnsi="Arial" w:cs="Arial"/>
          <w:sz w:val="21"/>
          <w:szCs w:val="21"/>
          <w:lang w:eastAsia="zh-CN"/>
        </w:rPr>
        <w:t xml:space="preserve">Professional </w:t>
      </w:r>
      <w:r w:rsidRPr="003A4A13">
        <w:rPr>
          <w:rFonts w:ascii="Arial" w:eastAsia="Arial" w:hAnsi="Arial" w:cs="Arial"/>
          <w:kern w:val="2"/>
          <w:sz w:val="21"/>
          <w:szCs w:val="21"/>
          <w:lang w:eastAsia="zh-CN"/>
          <w14:ligatures w14:val="standardContextual"/>
        </w:rPr>
        <w:t xml:space="preserve">Wellbeing Team. </w:t>
      </w:r>
    </w:p>
    <w:p w14:paraId="59614F05" w14:textId="77777777" w:rsidR="003A4A13" w:rsidRPr="003A4A13" w:rsidRDefault="003A4A13" w:rsidP="003A4A13">
      <w:pPr>
        <w:numPr>
          <w:ilvl w:val="0"/>
          <w:numId w:val="7"/>
        </w:numPr>
        <w:spacing w:after="0" w:line="240" w:lineRule="auto"/>
        <w:contextualSpacing/>
        <w:rPr>
          <w:rFonts w:ascii="Arial" w:eastAsia="Arial" w:hAnsi="Arial" w:cs="Arial"/>
          <w:kern w:val="2"/>
          <w:sz w:val="21"/>
          <w:szCs w:val="21"/>
          <w:lang w:eastAsia="zh-CN"/>
          <w14:ligatures w14:val="standardContextual"/>
        </w:rPr>
      </w:pPr>
      <w:r w:rsidRPr="003A4A13">
        <w:rPr>
          <w:rFonts w:ascii="Arial" w:eastAsia="Arial" w:hAnsi="Arial" w:cs="Arial"/>
          <w:kern w:val="2"/>
          <w:sz w:val="21"/>
          <w:szCs w:val="21"/>
          <w:lang w:eastAsia="zh-CN"/>
          <w14:ligatures w14:val="standardContextual"/>
        </w:rPr>
        <w:t>Include core members, with alternates assigned as applicable to reduce burden.</w:t>
      </w:r>
    </w:p>
    <w:p w14:paraId="0521605E" w14:textId="77777777" w:rsidR="003A4A13" w:rsidRPr="003A4A13" w:rsidRDefault="003A4A13" w:rsidP="003A4A13">
      <w:pPr>
        <w:numPr>
          <w:ilvl w:val="0"/>
          <w:numId w:val="7"/>
        </w:numPr>
        <w:spacing w:after="0" w:line="240" w:lineRule="auto"/>
        <w:contextualSpacing/>
        <w:rPr>
          <w:rFonts w:ascii="Arial" w:eastAsia="Arial" w:hAnsi="Arial" w:cs="Arial"/>
          <w:kern w:val="2"/>
          <w:sz w:val="21"/>
          <w:szCs w:val="21"/>
          <w:lang w:eastAsia="zh-CN"/>
          <w14:ligatures w14:val="standardContextual"/>
        </w:rPr>
      </w:pPr>
      <w:r w:rsidRPr="003A4A13">
        <w:rPr>
          <w:rFonts w:ascii="Arial" w:eastAsia="Arial" w:hAnsi="Arial" w:cs="Arial"/>
          <w:kern w:val="2"/>
          <w:sz w:val="21"/>
          <w:szCs w:val="21"/>
          <w:lang w:eastAsia="zh-CN"/>
          <w14:ligatures w14:val="standardContextual"/>
        </w:rPr>
        <w:t xml:space="preserve">Include as many roles as are appropriate to ensure equitable representation across departments. However, you do not have to identify roles for each box. Hospitals vary in size and complexity, so it may not be appropriate or feasible to include all of them. </w:t>
      </w:r>
    </w:p>
    <w:p w14:paraId="6C7A98B0" w14:textId="77777777" w:rsidR="003A4A13" w:rsidRPr="003A4A13" w:rsidRDefault="003A4A13" w:rsidP="003A4A13">
      <w:pPr>
        <w:numPr>
          <w:ilvl w:val="0"/>
          <w:numId w:val="7"/>
        </w:numPr>
        <w:spacing w:after="0" w:line="240" w:lineRule="auto"/>
        <w:contextualSpacing/>
        <w:rPr>
          <w:rFonts w:ascii="Arial" w:eastAsia="Arial" w:hAnsi="Arial" w:cs="Arial"/>
          <w:kern w:val="2"/>
          <w:sz w:val="21"/>
          <w:szCs w:val="21"/>
          <w:lang w:eastAsia="zh-CN"/>
          <w14:ligatures w14:val="standardContextual"/>
        </w:rPr>
      </w:pPr>
      <w:r w:rsidRPr="003A4A13">
        <w:rPr>
          <w:rFonts w:ascii="Arial" w:eastAsia="Arial" w:hAnsi="Arial" w:cs="Arial"/>
          <w:kern w:val="2"/>
          <w:sz w:val="21"/>
          <w:szCs w:val="21"/>
          <w:lang w:eastAsia="zh-CN"/>
          <w14:ligatures w14:val="standardContextual"/>
        </w:rPr>
        <w:t>List names, titles, and contact information of the individuals who will fill these roles in the notes section.</w:t>
      </w:r>
    </w:p>
    <w:p w14:paraId="7BBA6808" w14:textId="77777777" w:rsidR="00910795" w:rsidRPr="00842A46" w:rsidRDefault="00910795" w:rsidP="00910795">
      <w:pPr>
        <w:spacing w:after="0" w:line="240" w:lineRule="auto"/>
        <w:rPr>
          <w:rFonts w:ascii="Arial" w:eastAsia="Arial" w:hAnsi="Arial" w:cs="Arial"/>
          <w:kern w:val="2"/>
          <w:lang w:eastAsia="zh-CN"/>
          <w14:ligatures w14:val="standardContextual"/>
        </w:rPr>
      </w:pPr>
    </w:p>
    <w:tbl>
      <w:tblPr>
        <w:tblStyle w:val="TableGrid"/>
        <w:tblW w:w="0" w:type="auto"/>
        <w:jc w:val="center"/>
        <w:tblBorders>
          <w:top w:val="single" w:sz="4" w:space="0" w:color="0F175C" w:themeColor="accent1"/>
          <w:left w:val="single" w:sz="4" w:space="0" w:color="0F175C" w:themeColor="accent1"/>
          <w:bottom w:val="single" w:sz="4" w:space="0" w:color="0F175C" w:themeColor="accent1"/>
          <w:right w:val="single" w:sz="4" w:space="0" w:color="0F175C" w:themeColor="accent1"/>
          <w:insideH w:val="single" w:sz="4" w:space="0" w:color="0F175C" w:themeColor="accent1"/>
          <w:insideV w:val="single" w:sz="4" w:space="0" w:color="0F175C" w:themeColor="accent1"/>
        </w:tblBorders>
        <w:tblCellMar>
          <w:top w:w="43" w:type="dxa"/>
          <w:bottom w:w="43" w:type="dxa"/>
        </w:tblCellMar>
        <w:tblLook w:val="04A0" w:firstRow="1" w:lastRow="0" w:firstColumn="1" w:lastColumn="0" w:noHBand="0" w:noVBand="1"/>
      </w:tblPr>
      <w:tblGrid>
        <w:gridCol w:w="2425"/>
        <w:gridCol w:w="4140"/>
        <w:gridCol w:w="2785"/>
      </w:tblGrid>
      <w:tr w:rsidR="003A4A13" w:rsidRPr="00A90ABC" w14:paraId="3EB176A9" w14:textId="77777777" w:rsidTr="003A4A13">
        <w:trPr>
          <w:trHeight w:val="432"/>
          <w:jc w:val="center"/>
        </w:trPr>
        <w:tc>
          <w:tcPr>
            <w:tcW w:w="2425" w:type="dxa"/>
            <w:shd w:val="clear" w:color="auto" w:fill="0F175C" w:themeFill="accent1"/>
            <w:vAlign w:val="center"/>
          </w:tcPr>
          <w:p w14:paraId="20E4EE93" w14:textId="77777777" w:rsidR="003A4A13" w:rsidRPr="00A90ABC" w:rsidRDefault="003A4A13" w:rsidP="003A4A13">
            <w:pPr>
              <w:spacing w:after="0"/>
              <w:jc w:val="center"/>
              <w:rPr>
                <w:rFonts w:ascii="Arial" w:eastAsia="Arial" w:hAnsi="Arial" w:cs="Arial"/>
                <w:b/>
                <w:color w:val="FFFFFF"/>
              </w:rPr>
            </w:pPr>
            <w:r w:rsidRPr="00A90ABC">
              <w:rPr>
                <w:rFonts w:ascii="Arial" w:eastAsia="Arial" w:hAnsi="Arial" w:cs="Arial"/>
                <w:b/>
                <w:color w:val="FFFFFF"/>
              </w:rPr>
              <w:t>Title</w:t>
            </w:r>
          </w:p>
        </w:tc>
        <w:tc>
          <w:tcPr>
            <w:tcW w:w="4140" w:type="dxa"/>
            <w:shd w:val="clear" w:color="auto" w:fill="0F175C" w:themeFill="accent1"/>
            <w:vAlign w:val="center"/>
          </w:tcPr>
          <w:p w14:paraId="09A14D94" w14:textId="77777777" w:rsidR="003A4A13" w:rsidRPr="00A90ABC" w:rsidRDefault="003A4A13" w:rsidP="003A4A13">
            <w:pPr>
              <w:spacing w:after="0"/>
              <w:jc w:val="center"/>
              <w:rPr>
                <w:rFonts w:ascii="Arial" w:eastAsia="Arial" w:hAnsi="Arial" w:cs="Arial"/>
                <w:b/>
                <w:color w:val="FFFFFF"/>
              </w:rPr>
            </w:pPr>
            <w:r w:rsidRPr="00A90ABC">
              <w:rPr>
                <w:rFonts w:ascii="Arial" w:eastAsia="Arial" w:hAnsi="Arial" w:cs="Arial"/>
                <w:b/>
                <w:color w:val="FFFFFF"/>
              </w:rPr>
              <w:t>Responsibilities</w:t>
            </w:r>
          </w:p>
        </w:tc>
        <w:tc>
          <w:tcPr>
            <w:tcW w:w="2785" w:type="dxa"/>
            <w:shd w:val="clear" w:color="auto" w:fill="0F175C" w:themeFill="accent1"/>
            <w:vAlign w:val="center"/>
          </w:tcPr>
          <w:p w14:paraId="0C29E7E2" w14:textId="77777777" w:rsidR="003A4A13" w:rsidRPr="00A90ABC" w:rsidRDefault="003A4A13" w:rsidP="003A4A13">
            <w:pPr>
              <w:spacing w:after="0"/>
              <w:jc w:val="center"/>
              <w:rPr>
                <w:rFonts w:ascii="Arial" w:eastAsia="Arial" w:hAnsi="Arial" w:cs="Arial"/>
                <w:b/>
                <w:color w:val="FFFFFF"/>
              </w:rPr>
            </w:pPr>
            <w:r w:rsidRPr="00A90ABC">
              <w:rPr>
                <w:rFonts w:ascii="Arial" w:eastAsia="Arial" w:hAnsi="Arial" w:cs="Arial"/>
                <w:b/>
                <w:color w:val="FFFFFF"/>
              </w:rPr>
              <w:t>Notes</w:t>
            </w:r>
          </w:p>
        </w:tc>
      </w:tr>
      <w:tr w:rsidR="003A4A13" w:rsidRPr="00A90ABC" w14:paraId="52678A79" w14:textId="77777777" w:rsidTr="00060BB8">
        <w:trPr>
          <w:trHeight w:val="288"/>
          <w:jc w:val="center"/>
        </w:trPr>
        <w:tc>
          <w:tcPr>
            <w:tcW w:w="9350" w:type="dxa"/>
            <w:gridSpan w:val="3"/>
            <w:shd w:val="clear" w:color="auto" w:fill="CCEAEA"/>
            <w:vAlign w:val="center"/>
          </w:tcPr>
          <w:p w14:paraId="66D9F3B6" w14:textId="362CFDAD" w:rsidR="003A4A13" w:rsidRPr="00A90ABC" w:rsidRDefault="003A4A13" w:rsidP="003A4A13">
            <w:pPr>
              <w:spacing w:after="0"/>
              <w:jc w:val="center"/>
              <w:rPr>
                <w:rFonts w:ascii="Arial" w:eastAsia="Arial" w:hAnsi="Arial" w:cs="Arial"/>
                <w:b/>
              </w:rPr>
            </w:pPr>
            <w:r w:rsidRPr="003A4A13">
              <w:rPr>
                <w:rFonts w:ascii="Arial" w:eastAsia="Arial" w:hAnsi="Arial" w:cs="Arial"/>
                <w:b/>
                <w:color w:val="0F175C" w:themeColor="accent1"/>
                <w:sz w:val="21"/>
                <w:szCs w:val="21"/>
              </w:rPr>
              <w:t>OPERATIONAL LEADERS</w:t>
            </w:r>
          </w:p>
        </w:tc>
      </w:tr>
      <w:tr w:rsidR="003A4A13" w:rsidRPr="00A90ABC" w14:paraId="5947EF62" w14:textId="77777777" w:rsidTr="00060BB8">
        <w:trPr>
          <w:jc w:val="center"/>
        </w:trPr>
        <w:tc>
          <w:tcPr>
            <w:tcW w:w="2425" w:type="dxa"/>
            <w:shd w:val="clear" w:color="auto" w:fill="EBF6F6"/>
          </w:tcPr>
          <w:p w14:paraId="69381960"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 xml:space="preserve">Chief Wellbeing Officer </w:t>
            </w:r>
          </w:p>
        </w:tc>
        <w:tc>
          <w:tcPr>
            <w:tcW w:w="4140" w:type="dxa"/>
            <w:vAlign w:val="center"/>
          </w:tcPr>
          <w:p w14:paraId="2832546A"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Advocates for initiation of wellbeing programs and implements wellbeing work throughout the hospital.</w:t>
            </w:r>
          </w:p>
          <w:p w14:paraId="2DDD267F"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 xml:space="preserve">Coordinates and leads the </w:t>
            </w:r>
            <w:r w:rsidRPr="003A4A13">
              <w:rPr>
                <w:rFonts w:ascii="Arial" w:eastAsia="Times New Roman" w:hAnsi="Arial" w:cs="Arial"/>
                <w:sz w:val="21"/>
                <w:szCs w:val="21"/>
                <w:lang w:eastAsia="zh-CN"/>
              </w:rPr>
              <w:t xml:space="preserve">Professional </w:t>
            </w:r>
            <w:r w:rsidRPr="003A4A13">
              <w:rPr>
                <w:rFonts w:ascii="Arial" w:eastAsia="Arial" w:hAnsi="Arial" w:cs="Arial"/>
                <w:sz w:val="21"/>
                <w:szCs w:val="21"/>
              </w:rPr>
              <w:t>Wellbeing Team; helps other team members implement wellbeing work.</w:t>
            </w:r>
          </w:p>
          <w:p w14:paraId="181AB4A0"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Tracks metrics related to wellbeing.</w:t>
            </w:r>
          </w:p>
        </w:tc>
        <w:tc>
          <w:tcPr>
            <w:tcW w:w="2785" w:type="dxa"/>
          </w:tcPr>
          <w:p w14:paraId="53901379" w14:textId="77777777" w:rsidR="003A4A13" w:rsidRPr="00A90ABC" w:rsidRDefault="003A4A13" w:rsidP="003A4A13">
            <w:pPr>
              <w:spacing w:after="0"/>
              <w:ind w:left="360"/>
              <w:contextualSpacing/>
              <w:rPr>
                <w:rFonts w:ascii="Arial" w:eastAsia="Arial" w:hAnsi="Arial" w:cs="Arial"/>
              </w:rPr>
            </w:pPr>
          </w:p>
        </w:tc>
      </w:tr>
      <w:tr w:rsidR="003A4A13" w:rsidRPr="00A90ABC" w14:paraId="2951E13D" w14:textId="77777777" w:rsidTr="00060BB8">
        <w:trPr>
          <w:jc w:val="center"/>
        </w:trPr>
        <w:tc>
          <w:tcPr>
            <w:tcW w:w="2425" w:type="dxa"/>
            <w:shd w:val="clear" w:color="auto" w:fill="EBF6F6"/>
          </w:tcPr>
          <w:p w14:paraId="37B7680E"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 xml:space="preserve">Chief Human Resources Officer </w:t>
            </w:r>
          </w:p>
        </w:tc>
        <w:tc>
          <w:tcPr>
            <w:tcW w:w="4140" w:type="dxa"/>
            <w:vAlign w:val="center"/>
          </w:tcPr>
          <w:p w14:paraId="121FB8AE"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Provides strategic insight into human resources benefits, wellbeing programming, employee assistance programs, and other personnel responsibilities.</w:t>
            </w:r>
          </w:p>
        </w:tc>
        <w:tc>
          <w:tcPr>
            <w:tcW w:w="2785" w:type="dxa"/>
          </w:tcPr>
          <w:p w14:paraId="65FCABA6" w14:textId="77777777" w:rsidR="003A4A13" w:rsidRPr="00A90ABC" w:rsidRDefault="003A4A13" w:rsidP="003A4A13">
            <w:pPr>
              <w:spacing w:after="0"/>
              <w:ind w:left="360"/>
              <w:contextualSpacing/>
              <w:rPr>
                <w:rFonts w:ascii="Arial" w:eastAsia="Arial" w:hAnsi="Arial" w:cs="Arial"/>
              </w:rPr>
            </w:pPr>
          </w:p>
        </w:tc>
      </w:tr>
      <w:tr w:rsidR="003A4A13" w:rsidRPr="00A90ABC" w14:paraId="40E36228" w14:textId="77777777" w:rsidTr="00060BB8">
        <w:trPr>
          <w:jc w:val="center"/>
        </w:trPr>
        <w:tc>
          <w:tcPr>
            <w:tcW w:w="2425" w:type="dxa"/>
            <w:shd w:val="clear" w:color="auto" w:fill="EBF6F6"/>
          </w:tcPr>
          <w:p w14:paraId="453AA425"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1-2 Representatives from the Diversity, Equity, and Inclusion Team</w:t>
            </w:r>
          </w:p>
        </w:tc>
        <w:tc>
          <w:tcPr>
            <w:tcW w:w="4140" w:type="dxa"/>
            <w:vAlign w:val="center"/>
          </w:tcPr>
          <w:p w14:paraId="75B8081D"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Facilitates an inclusive working environment.</w:t>
            </w:r>
          </w:p>
          <w:p w14:paraId="301C3739"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Helps identify and guide action plans from the lived experiences among healthcare workers who are underrepresented in healthcare occupations.</w:t>
            </w:r>
          </w:p>
        </w:tc>
        <w:tc>
          <w:tcPr>
            <w:tcW w:w="2785" w:type="dxa"/>
          </w:tcPr>
          <w:p w14:paraId="457F54C2" w14:textId="77777777" w:rsidR="003A4A13" w:rsidRPr="00A90ABC" w:rsidRDefault="003A4A13" w:rsidP="003A4A13">
            <w:pPr>
              <w:spacing w:after="0"/>
              <w:ind w:left="360"/>
              <w:contextualSpacing/>
              <w:rPr>
                <w:rFonts w:ascii="Arial" w:eastAsia="Arial" w:hAnsi="Arial" w:cs="Arial"/>
              </w:rPr>
            </w:pPr>
          </w:p>
        </w:tc>
      </w:tr>
      <w:tr w:rsidR="003A4A13" w:rsidRPr="00A90ABC" w14:paraId="02149717" w14:textId="77777777" w:rsidTr="00060BB8">
        <w:trPr>
          <w:jc w:val="center"/>
        </w:trPr>
        <w:tc>
          <w:tcPr>
            <w:tcW w:w="2425" w:type="dxa"/>
            <w:shd w:val="clear" w:color="auto" w:fill="EBF6F6"/>
          </w:tcPr>
          <w:p w14:paraId="6E395D8A"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1-2 Representatives from the Patient Safety and Quality Team</w:t>
            </w:r>
          </w:p>
        </w:tc>
        <w:tc>
          <w:tcPr>
            <w:tcW w:w="4140" w:type="dxa"/>
            <w:vAlign w:val="center"/>
          </w:tcPr>
          <w:p w14:paraId="29C65C23"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Works on sustainable operational procedures and is responsible for measuring and tracking quality assurance/improvement key performance indicators.</w:t>
            </w:r>
          </w:p>
        </w:tc>
        <w:tc>
          <w:tcPr>
            <w:tcW w:w="2785" w:type="dxa"/>
          </w:tcPr>
          <w:p w14:paraId="39C97EDC" w14:textId="77777777" w:rsidR="003A4A13" w:rsidRPr="00A90ABC" w:rsidRDefault="003A4A13" w:rsidP="003A4A13">
            <w:pPr>
              <w:spacing w:after="0"/>
              <w:ind w:left="360"/>
              <w:contextualSpacing/>
              <w:rPr>
                <w:rFonts w:ascii="Arial" w:eastAsia="Arial" w:hAnsi="Arial" w:cs="Arial"/>
              </w:rPr>
            </w:pPr>
          </w:p>
        </w:tc>
      </w:tr>
      <w:tr w:rsidR="003A4A13" w:rsidRPr="00A90ABC" w14:paraId="05E16FBF" w14:textId="77777777" w:rsidTr="00060BB8">
        <w:trPr>
          <w:jc w:val="center"/>
        </w:trPr>
        <w:tc>
          <w:tcPr>
            <w:tcW w:w="2425" w:type="dxa"/>
            <w:shd w:val="clear" w:color="auto" w:fill="EBF6F6"/>
          </w:tcPr>
          <w:p w14:paraId="6AF506AC"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lastRenderedPageBreak/>
              <w:t>1-2 Representatives from the Communication Team</w:t>
            </w:r>
          </w:p>
        </w:tc>
        <w:tc>
          <w:tcPr>
            <w:tcW w:w="4140" w:type="dxa"/>
            <w:vAlign w:val="center"/>
          </w:tcPr>
          <w:p w14:paraId="550DF2F7"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Communicates to healthcare workers about workplace improvements related to wellbeing.</w:t>
            </w:r>
          </w:p>
        </w:tc>
        <w:tc>
          <w:tcPr>
            <w:tcW w:w="2785" w:type="dxa"/>
          </w:tcPr>
          <w:p w14:paraId="132ECFAA" w14:textId="77777777" w:rsidR="003A4A13" w:rsidRPr="00A90ABC" w:rsidRDefault="003A4A13" w:rsidP="003A4A13">
            <w:pPr>
              <w:spacing w:after="0"/>
              <w:ind w:left="360"/>
              <w:contextualSpacing/>
              <w:rPr>
                <w:rFonts w:ascii="Arial" w:eastAsia="Arial" w:hAnsi="Arial" w:cs="Arial"/>
              </w:rPr>
            </w:pPr>
          </w:p>
        </w:tc>
      </w:tr>
      <w:tr w:rsidR="003A4A13" w:rsidRPr="00A90ABC" w14:paraId="0129160F" w14:textId="77777777" w:rsidTr="00060BB8">
        <w:trPr>
          <w:jc w:val="center"/>
        </w:trPr>
        <w:tc>
          <w:tcPr>
            <w:tcW w:w="2425" w:type="dxa"/>
            <w:shd w:val="clear" w:color="auto" w:fill="EBF6F6"/>
          </w:tcPr>
          <w:p w14:paraId="3488B4B3" w14:textId="77777777" w:rsidR="003A4A13" w:rsidRPr="003A4A13" w:rsidRDefault="003A4A13" w:rsidP="003A4A13">
            <w:pPr>
              <w:spacing w:after="0"/>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1-2 Representatives from Employee Health and Safety Departments</w:t>
            </w:r>
          </w:p>
        </w:tc>
        <w:tc>
          <w:tcPr>
            <w:tcW w:w="4140" w:type="dxa"/>
            <w:vAlign w:val="center"/>
          </w:tcPr>
          <w:p w14:paraId="7B890759"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Provides deep knowledge of hospital facilities and insights into personnel issues and needs.</w:t>
            </w:r>
          </w:p>
          <w:p w14:paraId="52EBD6BE" w14:textId="77777777" w:rsidR="003A4A13" w:rsidRPr="003A4A13" w:rsidRDefault="003A4A13" w:rsidP="003A4A13">
            <w:pPr>
              <w:numPr>
                <w:ilvl w:val="0"/>
                <w:numId w:val="9"/>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Helps identify ongoing programs and projects related to employee health and safety.</w:t>
            </w:r>
          </w:p>
        </w:tc>
        <w:tc>
          <w:tcPr>
            <w:tcW w:w="2785" w:type="dxa"/>
          </w:tcPr>
          <w:p w14:paraId="3C9A2924" w14:textId="77777777" w:rsidR="003A4A13" w:rsidRPr="00A90ABC" w:rsidRDefault="003A4A13" w:rsidP="003A4A13">
            <w:pPr>
              <w:spacing w:after="0"/>
              <w:ind w:left="360"/>
              <w:contextualSpacing/>
              <w:rPr>
                <w:rFonts w:ascii="Arial" w:eastAsia="Arial" w:hAnsi="Arial" w:cs="Arial"/>
              </w:rPr>
            </w:pPr>
          </w:p>
        </w:tc>
      </w:tr>
      <w:tr w:rsidR="00060BB8" w:rsidRPr="00060BB8" w14:paraId="3C959D2E" w14:textId="77777777" w:rsidTr="00060BB8">
        <w:trPr>
          <w:trHeight w:val="288"/>
          <w:jc w:val="center"/>
        </w:trPr>
        <w:tc>
          <w:tcPr>
            <w:tcW w:w="9350" w:type="dxa"/>
            <w:gridSpan w:val="3"/>
            <w:shd w:val="clear" w:color="auto" w:fill="F3D3DE"/>
            <w:vAlign w:val="center"/>
          </w:tcPr>
          <w:p w14:paraId="5118B99D" w14:textId="0313B08E" w:rsidR="003A4A13" w:rsidRPr="00060BB8" w:rsidRDefault="003A4A13" w:rsidP="003A4A13">
            <w:pPr>
              <w:spacing w:after="0"/>
              <w:jc w:val="center"/>
              <w:rPr>
                <w:rFonts w:ascii="Arial" w:eastAsia="Arial" w:hAnsi="Arial" w:cs="Arial"/>
                <w:b/>
                <w:color w:val="0F175C" w:themeColor="accent1"/>
              </w:rPr>
            </w:pPr>
            <w:r w:rsidRPr="00060BB8">
              <w:rPr>
                <w:rFonts w:ascii="Arial" w:eastAsia="Arial" w:hAnsi="Arial" w:cs="Arial"/>
                <w:b/>
                <w:color w:val="0F175C" w:themeColor="accent1"/>
              </w:rPr>
              <w:t>HEALTHCARE WORKERS’ LEADERS</w:t>
            </w:r>
          </w:p>
        </w:tc>
      </w:tr>
      <w:tr w:rsidR="003A4A13" w:rsidRPr="00A90ABC" w14:paraId="226B1C72" w14:textId="77777777" w:rsidTr="00060BB8">
        <w:trPr>
          <w:jc w:val="center"/>
        </w:trPr>
        <w:tc>
          <w:tcPr>
            <w:tcW w:w="2425" w:type="dxa"/>
            <w:shd w:val="clear" w:color="auto" w:fill="F9E9EF"/>
          </w:tcPr>
          <w:p w14:paraId="52BBC779" w14:textId="77777777" w:rsidR="003A4A13" w:rsidRPr="003A4A13" w:rsidRDefault="003A4A13" w:rsidP="003A4A13">
            <w:pPr>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 xml:space="preserve">Chief Medical Officer and/or Chief Nursing Officer </w:t>
            </w:r>
          </w:p>
        </w:tc>
        <w:tc>
          <w:tcPr>
            <w:tcW w:w="4140" w:type="dxa"/>
            <w:vAlign w:val="center"/>
          </w:tcPr>
          <w:p w14:paraId="08E05E07" w14:textId="77777777" w:rsidR="003A4A13" w:rsidRPr="003A4A13" w:rsidRDefault="003A4A13" w:rsidP="003A4A13">
            <w:pPr>
              <w:numPr>
                <w:ilvl w:val="0"/>
                <w:numId w:val="10"/>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Leads communication with clinical workforce.</w:t>
            </w:r>
          </w:p>
          <w:p w14:paraId="2283E9B1" w14:textId="77777777" w:rsidR="003A4A13" w:rsidRPr="003A4A13" w:rsidRDefault="003A4A13" w:rsidP="003A4A13">
            <w:pPr>
              <w:numPr>
                <w:ilvl w:val="0"/>
                <w:numId w:val="10"/>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Provides strategic insight into integrating wellbeing work into ongoing operational improvements and other initiatives.</w:t>
            </w:r>
          </w:p>
        </w:tc>
        <w:tc>
          <w:tcPr>
            <w:tcW w:w="2785" w:type="dxa"/>
          </w:tcPr>
          <w:p w14:paraId="39A8F927" w14:textId="77777777" w:rsidR="003A4A13" w:rsidRPr="00A90ABC" w:rsidRDefault="003A4A13" w:rsidP="002D0EB6">
            <w:pPr>
              <w:ind w:left="360"/>
              <w:contextualSpacing/>
              <w:rPr>
                <w:rFonts w:ascii="Arial" w:eastAsia="Arial" w:hAnsi="Arial" w:cs="Arial"/>
              </w:rPr>
            </w:pPr>
          </w:p>
        </w:tc>
      </w:tr>
      <w:tr w:rsidR="003A4A13" w:rsidRPr="00A90ABC" w14:paraId="68089E18" w14:textId="77777777" w:rsidTr="00060BB8">
        <w:trPr>
          <w:jc w:val="center"/>
        </w:trPr>
        <w:tc>
          <w:tcPr>
            <w:tcW w:w="2425" w:type="dxa"/>
            <w:shd w:val="clear" w:color="auto" w:fill="F9E9EF"/>
          </w:tcPr>
          <w:p w14:paraId="022EFBA3" w14:textId="77777777" w:rsidR="003A4A13" w:rsidRPr="003A4A13" w:rsidRDefault="003A4A13" w:rsidP="003A4A13">
            <w:pPr>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Medical Executive Community (Department Chairs)</w:t>
            </w:r>
          </w:p>
        </w:tc>
        <w:tc>
          <w:tcPr>
            <w:tcW w:w="4140" w:type="dxa"/>
            <w:vAlign w:val="center"/>
          </w:tcPr>
          <w:p w14:paraId="5F7854DC" w14:textId="77777777" w:rsidR="003A4A13" w:rsidRPr="003A4A13" w:rsidRDefault="003A4A13" w:rsidP="003A4A13">
            <w:pPr>
              <w:numPr>
                <w:ilvl w:val="0"/>
                <w:numId w:val="10"/>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Liaises between leadership and physicians.</w:t>
            </w:r>
          </w:p>
          <w:p w14:paraId="265C620E" w14:textId="77777777" w:rsidR="003A4A13" w:rsidRPr="003A4A13" w:rsidRDefault="003A4A13" w:rsidP="003A4A13">
            <w:pPr>
              <w:numPr>
                <w:ilvl w:val="0"/>
                <w:numId w:val="10"/>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Represents values and concerns of physicians in the hospital.</w:t>
            </w:r>
          </w:p>
          <w:p w14:paraId="412A6D4E" w14:textId="77777777" w:rsidR="003A4A13" w:rsidRPr="003A4A13" w:rsidRDefault="003A4A13" w:rsidP="003A4A13">
            <w:pPr>
              <w:numPr>
                <w:ilvl w:val="0"/>
                <w:numId w:val="10"/>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 xml:space="preserve">Supports communication and trust-building with healthcare workers about wellbeing work. </w:t>
            </w:r>
          </w:p>
        </w:tc>
        <w:tc>
          <w:tcPr>
            <w:tcW w:w="2785" w:type="dxa"/>
          </w:tcPr>
          <w:p w14:paraId="13B02859" w14:textId="77777777" w:rsidR="003A4A13" w:rsidRPr="00A90ABC" w:rsidRDefault="003A4A13" w:rsidP="002D0EB6">
            <w:pPr>
              <w:ind w:left="360"/>
              <w:contextualSpacing/>
              <w:rPr>
                <w:rFonts w:ascii="Arial" w:eastAsia="Arial" w:hAnsi="Arial" w:cs="Arial"/>
              </w:rPr>
            </w:pPr>
          </w:p>
        </w:tc>
      </w:tr>
      <w:tr w:rsidR="003A4A13" w:rsidRPr="00A90ABC" w14:paraId="51C1B178" w14:textId="77777777" w:rsidTr="00060BB8">
        <w:trPr>
          <w:trHeight w:val="300"/>
          <w:jc w:val="center"/>
        </w:trPr>
        <w:tc>
          <w:tcPr>
            <w:tcW w:w="9350" w:type="dxa"/>
            <w:gridSpan w:val="3"/>
            <w:shd w:val="clear" w:color="auto" w:fill="F2EFEF"/>
            <w:vAlign w:val="center"/>
          </w:tcPr>
          <w:p w14:paraId="2DA5EEAA" w14:textId="1E47E373" w:rsidR="003A4A13" w:rsidRPr="00060BB8" w:rsidRDefault="003A4A13" w:rsidP="003A4A13">
            <w:pPr>
              <w:spacing w:after="0"/>
              <w:jc w:val="center"/>
              <w:rPr>
                <w:rFonts w:ascii="Arial" w:eastAsia="Arial" w:hAnsi="Arial" w:cs="Arial"/>
                <w:b/>
                <w:bCs/>
                <w:color w:val="0F175C" w:themeColor="accent1"/>
              </w:rPr>
            </w:pPr>
            <w:r w:rsidRPr="00060BB8">
              <w:rPr>
                <w:rFonts w:ascii="Arial" w:eastAsia="Arial" w:hAnsi="Arial" w:cs="Arial"/>
                <w:b/>
                <w:bCs/>
                <w:color w:val="0F175C" w:themeColor="accent1"/>
              </w:rPr>
              <w:t>WORKER REPRESENTATIVES</w:t>
            </w:r>
          </w:p>
        </w:tc>
      </w:tr>
      <w:tr w:rsidR="003A4A13" w:rsidRPr="00A90ABC" w14:paraId="73EF5673" w14:textId="77777777" w:rsidTr="00060BB8">
        <w:trPr>
          <w:jc w:val="center"/>
        </w:trPr>
        <w:tc>
          <w:tcPr>
            <w:tcW w:w="2425" w:type="dxa"/>
            <w:shd w:val="clear" w:color="auto" w:fill="F8F7F7"/>
          </w:tcPr>
          <w:p w14:paraId="0EC22DE6" w14:textId="77777777" w:rsidR="003A4A13" w:rsidRPr="003A4A13" w:rsidRDefault="003A4A13" w:rsidP="003A4A13">
            <w:pPr>
              <w:rPr>
                <w:rFonts w:ascii="Arial" w:eastAsia="Arial" w:hAnsi="Arial" w:cs="Arial"/>
                <w:b/>
                <w:color w:val="0F175C" w:themeColor="accent1"/>
                <w:sz w:val="21"/>
                <w:szCs w:val="21"/>
              </w:rPr>
            </w:pPr>
            <w:r w:rsidRPr="003A4A13">
              <w:rPr>
                <w:rFonts w:ascii="Arial" w:eastAsia="Arial" w:hAnsi="Arial" w:cs="Arial"/>
                <w:b/>
                <w:color w:val="0F175C" w:themeColor="accent1"/>
                <w:sz w:val="21"/>
                <w:szCs w:val="21"/>
              </w:rPr>
              <w:t>1-2 Representatives from the Nursing Council</w:t>
            </w:r>
          </w:p>
        </w:tc>
        <w:tc>
          <w:tcPr>
            <w:tcW w:w="4140" w:type="dxa"/>
            <w:vAlign w:val="center"/>
          </w:tcPr>
          <w:p w14:paraId="4A679A35"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Liaises between leadership and nurses.</w:t>
            </w:r>
          </w:p>
          <w:p w14:paraId="0393D24D"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Represents values and concerns of nurses in the hospital.</w:t>
            </w:r>
          </w:p>
          <w:p w14:paraId="58F78ECA"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Supports communication and trust-building with healthcare workers about wellbeing work.</w:t>
            </w:r>
          </w:p>
        </w:tc>
        <w:tc>
          <w:tcPr>
            <w:tcW w:w="2785" w:type="dxa"/>
          </w:tcPr>
          <w:p w14:paraId="2C2DCBC7" w14:textId="77777777" w:rsidR="003A4A13" w:rsidRPr="00A90ABC" w:rsidRDefault="003A4A13" w:rsidP="002D0EB6">
            <w:pPr>
              <w:ind w:left="360"/>
              <w:contextualSpacing/>
              <w:rPr>
                <w:rFonts w:ascii="Arial" w:eastAsia="Arial" w:hAnsi="Arial" w:cs="Arial"/>
              </w:rPr>
            </w:pPr>
          </w:p>
        </w:tc>
      </w:tr>
      <w:tr w:rsidR="003A4A13" w:rsidRPr="00A90ABC" w14:paraId="20CF829F" w14:textId="77777777" w:rsidTr="00060BB8">
        <w:trPr>
          <w:jc w:val="center"/>
        </w:trPr>
        <w:tc>
          <w:tcPr>
            <w:tcW w:w="2425" w:type="dxa"/>
            <w:shd w:val="clear" w:color="auto" w:fill="F8F7F7"/>
          </w:tcPr>
          <w:p w14:paraId="3FD46CB8" w14:textId="77777777" w:rsidR="003A4A13" w:rsidRPr="003A4A13" w:rsidRDefault="003A4A13" w:rsidP="003A4A13">
            <w:pPr>
              <w:rPr>
                <w:rFonts w:ascii="Arial" w:eastAsia="Arial" w:hAnsi="Arial" w:cs="Arial"/>
                <w:b/>
                <w:bCs/>
                <w:color w:val="0F175C" w:themeColor="accent1"/>
                <w:sz w:val="21"/>
                <w:szCs w:val="21"/>
              </w:rPr>
            </w:pPr>
            <w:r w:rsidRPr="003A4A13">
              <w:rPr>
                <w:rFonts w:ascii="Arial" w:eastAsia="Arial" w:hAnsi="Arial" w:cs="Arial"/>
                <w:b/>
                <w:bCs/>
                <w:color w:val="0F175C" w:themeColor="accent1"/>
                <w:sz w:val="21"/>
                <w:szCs w:val="21"/>
              </w:rPr>
              <w:t>Union Leadership or Representatives from Other Departments (as many as needed for parity with management)</w:t>
            </w:r>
          </w:p>
        </w:tc>
        <w:tc>
          <w:tcPr>
            <w:tcW w:w="4140" w:type="dxa"/>
            <w:vAlign w:val="center"/>
          </w:tcPr>
          <w:p w14:paraId="535B9AE5"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Liaises between leadership and workers.</w:t>
            </w:r>
          </w:p>
          <w:p w14:paraId="7C522B0A"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Represents values and concerns of other stakeholder groups, including technicians, facilities and custodial staff, clerks, etc. in the hospital.</w:t>
            </w:r>
          </w:p>
          <w:p w14:paraId="774A1564" w14:textId="77777777" w:rsidR="003A4A13" w:rsidRPr="003A4A13" w:rsidRDefault="003A4A13" w:rsidP="003A4A13">
            <w:pPr>
              <w:numPr>
                <w:ilvl w:val="0"/>
                <w:numId w:val="11"/>
              </w:numPr>
              <w:spacing w:after="0" w:line="240" w:lineRule="auto"/>
              <w:ind w:left="360"/>
              <w:contextualSpacing/>
              <w:rPr>
                <w:rFonts w:ascii="Arial" w:eastAsia="Arial" w:hAnsi="Arial" w:cs="Arial"/>
                <w:sz w:val="21"/>
                <w:szCs w:val="21"/>
              </w:rPr>
            </w:pPr>
            <w:r w:rsidRPr="003A4A13">
              <w:rPr>
                <w:rFonts w:ascii="Arial" w:eastAsia="Arial" w:hAnsi="Arial" w:cs="Arial"/>
                <w:sz w:val="21"/>
                <w:szCs w:val="21"/>
              </w:rPr>
              <w:t>Supports communication and trust-building with healthcare workers about wellbeing work.</w:t>
            </w:r>
          </w:p>
        </w:tc>
        <w:tc>
          <w:tcPr>
            <w:tcW w:w="2785" w:type="dxa"/>
          </w:tcPr>
          <w:p w14:paraId="702399C8" w14:textId="77777777" w:rsidR="003A4A13" w:rsidRPr="00A90ABC" w:rsidRDefault="003A4A13" w:rsidP="002D0EB6">
            <w:pPr>
              <w:ind w:left="360"/>
              <w:contextualSpacing/>
              <w:rPr>
                <w:rFonts w:ascii="Arial" w:eastAsia="Arial" w:hAnsi="Arial" w:cs="Arial"/>
              </w:rPr>
            </w:pPr>
          </w:p>
        </w:tc>
      </w:tr>
    </w:tbl>
    <w:p w14:paraId="46A32475" w14:textId="77777777" w:rsidR="00910795" w:rsidRPr="00910795" w:rsidRDefault="00910795" w:rsidP="00910795">
      <w:pPr>
        <w:spacing w:after="0" w:line="240" w:lineRule="auto"/>
        <w:contextualSpacing/>
        <w:rPr>
          <w:rFonts w:ascii="Arial" w:eastAsia="Arial" w:hAnsi="Arial" w:cs="Arial"/>
          <w:kern w:val="2"/>
          <w:sz w:val="21"/>
          <w:szCs w:val="21"/>
          <w:lang w:eastAsia="zh-CN"/>
          <w14:ligatures w14:val="standardContextual"/>
        </w:rPr>
      </w:pPr>
    </w:p>
    <w:sectPr w:rsidR="00910795" w:rsidRPr="009107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CEA4" w14:textId="77777777" w:rsidR="00AE7B0D" w:rsidRDefault="00AE7B0D" w:rsidP="00910795">
      <w:pPr>
        <w:spacing w:after="0" w:line="240" w:lineRule="auto"/>
      </w:pPr>
      <w:r>
        <w:separator/>
      </w:r>
    </w:p>
  </w:endnote>
  <w:endnote w:type="continuationSeparator" w:id="0">
    <w:p w14:paraId="5D522B64" w14:textId="77777777" w:rsidR="00AE7B0D" w:rsidRDefault="00AE7B0D" w:rsidP="00910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E94F" w14:textId="77777777" w:rsidR="00AE7B0D" w:rsidRDefault="00AE7B0D" w:rsidP="00910795">
      <w:pPr>
        <w:spacing w:after="0" w:line="240" w:lineRule="auto"/>
      </w:pPr>
      <w:r>
        <w:separator/>
      </w:r>
    </w:p>
  </w:footnote>
  <w:footnote w:type="continuationSeparator" w:id="0">
    <w:p w14:paraId="08296F7B" w14:textId="77777777" w:rsidR="00AE7B0D" w:rsidRDefault="00AE7B0D" w:rsidP="00910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18B"/>
    <w:multiLevelType w:val="hybridMultilevel"/>
    <w:tmpl w:val="9A400868"/>
    <w:lvl w:ilvl="0" w:tplc="6C102CC0">
      <w:start w:val="1"/>
      <w:numFmt w:val="bullet"/>
      <w:lvlText w:val=""/>
      <w:lvlJc w:val="left"/>
      <w:pPr>
        <w:ind w:left="720" w:hanging="360"/>
      </w:pPr>
      <w:rPr>
        <w:rFonts w:ascii="Symbol" w:hAnsi="Symbol" w:hint="default"/>
        <w:color w:val="0E175C"/>
        <w:w w:val="100"/>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F12F8"/>
    <w:multiLevelType w:val="hybridMultilevel"/>
    <w:tmpl w:val="5D20F036"/>
    <w:lvl w:ilvl="0" w:tplc="83A034E6">
      <w:start w:val="1"/>
      <w:numFmt w:val="bullet"/>
      <w:lvlText w:val=""/>
      <w:lvlJc w:val="left"/>
      <w:pPr>
        <w:ind w:left="720" w:hanging="360"/>
      </w:pPr>
      <w:rPr>
        <w:rFonts w:ascii="Symbol" w:hAnsi="Symbol" w:hint="default"/>
        <w:color w:val="0F175C" w:themeColor="accent1"/>
        <w:w w:val="100"/>
        <w:sz w:val="22"/>
        <w:szCs w:val="1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7148F51"/>
    <w:multiLevelType w:val="hybridMultilevel"/>
    <w:tmpl w:val="FFFFFFFF"/>
    <w:lvl w:ilvl="0" w:tplc="BD4ECC58">
      <w:start w:val="1"/>
      <w:numFmt w:val="bullet"/>
      <w:lvlText w:val=""/>
      <w:lvlJc w:val="left"/>
      <w:pPr>
        <w:ind w:left="720" w:hanging="360"/>
      </w:pPr>
      <w:rPr>
        <w:rFonts w:ascii="Symbol" w:hAnsi="Symbol" w:hint="default"/>
      </w:rPr>
    </w:lvl>
    <w:lvl w:ilvl="1" w:tplc="0B66A782">
      <w:start w:val="1"/>
      <w:numFmt w:val="bullet"/>
      <w:lvlText w:val="o"/>
      <w:lvlJc w:val="left"/>
      <w:pPr>
        <w:ind w:left="1440" w:hanging="360"/>
      </w:pPr>
      <w:rPr>
        <w:rFonts w:ascii="Courier New" w:hAnsi="Courier New" w:hint="default"/>
      </w:rPr>
    </w:lvl>
    <w:lvl w:ilvl="2" w:tplc="B38A64A6">
      <w:start w:val="1"/>
      <w:numFmt w:val="bullet"/>
      <w:lvlText w:val=""/>
      <w:lvlJc w:val="left"/>
      <w:pPr>
        <w:ind w:left="2160" w:hanging="360"/>
      </w:pPr>
      <w:rPr>
        <w:rFonts w:ascii="Wingdings" w:hAnsi="Wingdings" w:hint="default"/>
      </w:rPr>
    </w:lvl>
    <w:lvl w:ilvl="3" w:tplc="D1A64DFC">
      <w:start w:val="1"/>
      <w:numFmt w:val="bullet"/>
      <w:lvlText w:val=""/>
      <w:lvlJc w:val="left"/>
      <w:pPr>
        <w:ind w:left="2880" w:hanging="360"/>
      </w:pPr>
      <w:rPr>
        <w:rFonts w:ascii="Symbol" w:hAnsi="Symbol" w:hint="default"/>
      </w:rPr>
    </w:lvl>
    <w:lvl w:ilvl="4" w:tplc="11E028F4">
      <w:start w:val="1"/>
      <w:numFmt w:val="bullet"/>
      <w:lvlText w:val="o"/>
      <w:lvlJc w:val="left"/>
      <w:pPr>
        <w:ind w:left="3600" w:hanging="360"/>
      </w:pPr>
      <w:rPr>
        <w:rFonts w:ascii="Courier New" w:hAnsi="Courier New" w:hint="default"/>
      </w:rPr>
    </w:lvl>
    <w:lvl w:ilvl="5" w:tplc="922C481E">
      <w:start w:val="1"/>
      <w:numFmt w:val="bullet"/>
      <w:lvlText w:val=""/>
      <w:lvlJc w:val="left"/>
      <w:pPr>
        <w:ind w:left="4320" w:hanging="360"/>
      </w:pPr>
      <w:rPr>
        <w:rFonts w:ascii="Wingdings" w:hAnsi="Wingdings" w:hint="default"/>
      </w:rPr>
    </w:lvl>
    <w:lvl w:ilvl="6" w:tplc="2BCA4F9E">
      <w:start w:val="1"/>
      <w:numFmt w:val="bullet"/>
      <w:lvlText w:val=""/>
      <w:lvlJc w:val="left"/>
      <w:pPr>
        <w:ind w:left="5040" w:hanging="360"/>
      </w:pPr>
      <w:rPr>
        <w:rFonts w:ascii="Symbol" w:hAnsi="Symbol" w:hint="default"/>
      </w:rPr>
    </w:lvl>
    <w:lvl w:ilvl="7" w:tplc="BD38BFEC">
      <w:start w:val="1"/>
      <w:numFmt w:val="bullet"/>
      <w:lvlText w:val="o"/>
      <w:lvlJc w:val="left"/>
      <w:pPr>
        <w:ind w:left="5760" w:hanging="360"/>
      </w:pPr>
      <w:rPr>
        <w:rFonts w:ascii="Courier New" w:hAnsi="Courier New" w:hint="default"/>
      </w:rPr>
    </w:lvl>
    <w:lvl w:ilvl="8" w:tplc="59048420">
      <w:start w:val="1"/>
      <w:numFmt w:val="bullet"/>
      <w:lvlText w:val=""/>
      <w:lvlJc w:val="left"/>
      <w:pPr>
        <w:ind w:left="6480" w:hanging="360"/>
      </w:pPr>
      <w:rPr>
        <w:rFonts w:ascii="Wingdings" w:hAnsi="Wingdings" w:hint="default"/>
      </w:rPr>
    </w:lvl>
  </w:abstractNum>
  <w:abstractNum w:abstractNumId="3" w15:restartNumberingAfterBreak="0">
    <w:nsid w:val="4B326F72"/>
    <w:multiLevelType w:val="hybridMultilevel"/>
    <w:tmpl w:val="C9D69DD6"/>
    <w:lvl w:ilvl="0" w:tplc="6C102CC0">
      <w:start w:val="1"/>
      <w:numFmt w:val="bullet"/>
      <w:lvlText w:val=""/>
      <w:lvlJc w:val="left"/>
      <w:pPr>
        <w:ind w:left="720" w:hanging="360"/>
      </w:pPr>
      <w:rPr>
        <w:rFonts w:ascii="Symbol" w:hAnsi="Symbol" w:hint="default"/>
        <w:color w:val="0E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7F64AB"/>
    <w:multiLevelType w:val="hybridMultilevel"/>
    <w:tmpl w:val="A74CB9A4"/>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156102"/>
    <w:multiLevelType w:val="hybridMultilevel"/>
    <w:tmpl w:val="F83CCF08"/>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A3031A0"/>
    <w:multiLevelType w:val="hybridMultilevel"/>
    <w:tmpl w:val="82904F5E"/>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BF2EFF"/>
    <w:multiLevelType w:val="hybridMultilevel"/>
    <w:tmpl w:val="86BC7130"/>
    <w:lvl w:ilvl="0" w:tplc="83A034E6">
      <w:start w:val="1"/>
      <w:numFmt w:val="bullet"/>
      <w:lvlText w:val=""/>
      <w:lvlJc w:val="left"/>
      <w:pPr>
        <w:ind w:left="720" w:hanging="360"/>
      </w:pPr>
      <w:rPr>
        <w:rFonts w:ascii="Symbol" w:hAnsi="Symbol" w:hint="default"/>
        <w:color w:val="0F175C" w:themeColor="accent1"/>
        <w:w w:val="100"/>
        <w:sz w:val="22"/>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FC5DA6"/>
    <w:multiLevelType w:val="hybridMultilevel"/>
    <w:tmpl w:val="A74A390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41B63"/>
    <w:multiLevelType w:val="hybridMultilevel"/>
    <w:tmpl w:val="669E527E"/>
    <w:lvl w:ilvl="0" w:tplc="6C102CC0">
      <w:start w:val="1"/>
      <w:numFmt w:val="bullet"/>
      <w:lvlText w:val=""/>
      <w:lvlJc w:val="left"/>
      <w:pPr>
        <w:ind w:left="720" w:hanging="360"/>
      </w:pPr>
      <w:rPr>
        <w:rFonts w:ascii="Symbol" w:hAnsi="Symbol" w:hint="default"/>
        <w:color w:val="0E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2F163C"/>
    <w:multiLevelType w:val="hybridMultilevel"/>
    <w:tmpl w:val="5B38CD5E"/>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0043766">
    <w:abstractNumId w:val="4"/>
  </w:num>
  <w:num w:numId="2" w16cid:durableId="1705978011">
    <w:abstractNumId w:val="2"/>
  </w:num>
  <w:num w:numId="3" w16cid:durableId="1646087913">
    <w:abstractNumId w:val="5"/>
  </w:num>
  <w:num w:numId="4" w16cid:durableId="973217249">
    <w:abstractNumId w:val="8"/>
  </w:num>
  <w:num w:numId="5" w16cid:durableId="654409460">
    <w:abstractNumId w:val="10"/>
  </w:num>
  <w:num w:numId="6" w16cid:durableId="2042901548">
    <w:abstractNumId w:val="6"/>
  </w:num>
  <w:num w:numId="7" w16cid:durableId="1530071054">
    <w:abstractNumId w:val="1"/>
  </w:num>
  <w:num w:numId="8" w16cid:durableId="437723002">
    <w:abstractNumId w:val="7"/>
  </w:num>
  <w:num w:numId="9" w16cid:durableId="377703837">
    <w:abstractNumId w:val="0"/>
  </w:num>
  <w:num w:numId="10" w16cid:durableId="1150946246">
    <w:abstractNumId w:val="3"/>
  </w:num>
  <w:num w:numId="11" w16cid:durableId="1608275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95"/>
    <w:rsid w:val="00006C96"/>
    <w:rsid w:val="00060BB8"/>
    <w:rsid w:val="001038AE"/>
    <w:rsid w:val="001070C5"/>
    <w:rsid w:val="00213808"/>
    <w:rsid w:val="0033238B"/>
    <w:rsid w:val="003A4A13"/>
    <w:rsid w:val="004342A0"/>
    <w:rsid w:val="005D3D6B"/>
    <w:rsid w:val="005F487B"/>
    <w:rsid w:val="005F525E"/>
    <w:rsid w:val="0066009F"/>
    <w:rsid w:val="006B2EA8"/>
    <w:rsid w:val="00753AFB"/>
    <w:rsid w:val="007603D6"/>
    <w:rsid w:val="008B38B7"/>
    <w:rsid w:val="00910795"/>
    <w:rsid w:val="00AA0519"/>
    <w:rsid w:val="00AE025F"/>
    <w:rsid w:val="00AE7B0D"/>
    <w:rsid w:val="00B037D5"/>
    <w:rsid w:val="00B85E3E"/>
    <w:rsid w:val="00BD2FF4"/>
    <w:rsid w:val="00BE6BE4"/>
    <w:rsid w:val="00C46FB7"/>
    <w:rsid w:val="00D250E9"/>
    <w:rsid w:val="00DE47C0"/>
    <w:rsid w:val="00FB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3B15E"/>
  <w15:chartTrackingRefBased/>
  <w15:docId w15:val="{3BFCB349-90C2-414E-B135-B10A075A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79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Header">
    <w:name w:val="header"/>
    <w:basedOn w:val="Normal"/>
    <w:link w:val="HeaderChar"/>
    <w:uiPriority w:val="99"/>
    <w:unhideWhenUsed/>
    <w:rsid w:val="0091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795"/>
    <w:rPr>
      <w:sz w:val="22"/>
      <w:szCs w:val="22"/>
    </w:rPr>
  </w:style>
  <w:style w:type="paragraph" w:styleId="Footer">
    <w:name w:val="footer"/>
    <w:basedOn w:val="Normal"/>
    <w:link w:val="FooterChar"/>
    <w:uiPriority w:val="99"/>
    <w:unhideWhenUsed/>
    <w:rsid w:val="00910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795"/>
    <w:rPr>
      <w:sz w:val="22"/>
      <w:szCs w:val="22"/>
    </w:rPr>
  </w:style>
  <w:style w:type="table" w:styleId="TableGrid">
    <w:name w:val="Table Grid"/>
    <w:basedOn w:val="TableNormal"/>
    <w:uiPriority w:val="59"/>
    <w:rsid w:val="009107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37D5"/>
    <w:rPr>
      <w:sz w:val="16"/>
      <w:szCs w:val="16"/>
    </w:rPr>
  </w:style>
  <w:style w:type="paragraph" w:styleId="CommentText">
    <w:name w:val="annotation text"/>
    <w:basedOn w:val="Normal"/>
    <w:link w:val="CommentTextChar"/>
    <w:uiPriority w:val="99"/>
    <w:unhideWhenUsed/>
    <w:rsid w:val="00B037D5"/>
    <w:pPr>
      <w:spacing w:line="240" w:lineRule="auto"/>
    </w:pPr>
    <w:rPr>
      <w:sz w:val="20"/>
      <w:szCs w:val="20"/>
    </w:rPr>
  </w:style>
  <w:style w:type="character" w:customStyle="1" w:styleId="CommentTextChar">
    <w:name w:val="Comment Text Char"/>
    <w:basedOn w:val="DefaultParagraphFont"/>
    <w:link w:val="CommentText"/>
    <w:uiPriority w:val="99"/>
    <w:rsid w:val="00B037D5"/>
    <w:rPr>
      <w:sz w:val="20"/>
      <w:szCs w:val="20"/>
    </w:rPr>
  </w:style>
  <w:style w:type="character" w:customStyle="1" w:styleId="CommentTextChar1">
    <w:name w:val="Comment Text Char1"/>
    <w:basedOn w:val="DefaultParagraphFont"/>
    <w:uiPriority w:val="99"/>
    <w:rsid w:val="00753A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E6849-1B0D-DB44-85FE-B717149D9A9D}">
  <ds:schemaRefs>
    <ds:schemaRef ds:uri="http://schemas.openxmlformats.org/officeDocument/2006/bibliography"/>
  </ds:schemaRefs>
</ds:datastoreItem>
</file>

<file path=customXml/itemProps2.xml><?xml version="1.0" encoding="utf-8"?>
<ds:datastoreItem xmlns:ds="http://schemas.openxmlformats.org/officeDocument/2006/customXml" ds:itemID="{CD9B64F9-8D06-4114-9661-5139FEC44F81}"/>
</file>

<file path=customXml/itemProps3.xml><?xml version="1.0" encoding="utf-8"?>
<ds:datastoreItem xmlns:ds="http://schemas.openxmlformats.org/officeDocument/2006/customXml" ds:itemID="{1B3CB171-862C-4372-AA04-8EFF00338046}"/>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2712</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2_Professional Wellbeing Team Roles Chart</dc:title>
  <dc:subject>Professional Wellbeing Team Roles Chart</dc:subject>
  <dc:creator>CDC NIOSH</dc:creator>
  <cp:keywords/>
  <dc:description/>
  <cp:lastModifiedBy>Kelsey Jones</cp:lastModifiedBy>
  <cp:revision>4</cp:revision>
  <dcterms:created xsi:type="dcterms:W3CDTF">2024-03-13T22:24:00Z</dcterms:created>
  <dcterms:modified xsi:type="dcterms:W3CDTF">2024-03-14T13:07:00Z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8ef20a5bdc5d3a0c379d3ec191c734cfdf484c47176812688f6c590ccb6f4c27</vt:lpwstr>
  </property>
</Properties>
</file>