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A473" w14:textId="3CCACD2A" w:rsidR="00376998" w:rsidRPr="00CB499E" w:rsidRDefault="000C2750" w:rsidP="009B52E6">
      <w:pPr>
        <w:spacing w:line="240" w:lineRule="auto"/>
        <w:rPr>
          <w:rFonts w:cs="Times New Roman"/>
          <w:szCs w:val="24"/>
        </w:rPr>
      </w:pPr>
      <w:r w:rsidRPr="00CB499E">
        <w:rPr>
          <w:rFonts w:cs="Times New Roman"/>
          <w:b/>
          <w:bCs/>
          <w:szCs w:val="24"/>
        </w:rPr>
        <w:t>Title</w:t>
      </w:r>
      <w:r w:rsidRPr="00CB499E">
        <w:rPr>
          <w:rFonts w:cs="Times New Roman"/>
          <w:szCs w:val="24"/>
        </w:rPr>
        <w:t xml:space="preserve">: </w:t>
      </w:r>
      <w:r w:rsidR="007A69DA" w:rsidRPr="007A69DA">
        <w:rPr>
          <w:rFonts w:cs="Times New Roman"/>
          <w:szCs w:val="24"/>
        </w:rPr>
        <w:t>Efficacy of ventilation, HEPA air cleaners, universal masking, and physical distancing for reducing exposure to simulated exhaled aerosols in a meeting room</w:t>
      </w:r>
      <w:r w:rsidR="005C35E1">
        <w:rPr>
          <w:rFonts w:cs="Times New Roman"/>
          <w:szCs w:val="24"/>
        </w:rPr>
        <w:t>-Dataset</w:t>
      </w:r>
    </w:p>
    <w:p w14:paraId="7C8A5C97" w14:textId="630F15E6" w:rsidR="000C2750" w:rsidRPr="00CB499E" w:rsidRDefault="000C2750" w:rsidP="009B52E6">
      <w:pPr>
        <w:spacing w:line="240" w:lineRule="auto"/>
        <w:rPr>
          <w:rFonts w:cs="Times New Roman"/>
          <w:szCs w:val="24"/>
        </w:rPr>
      </w:pPr>
    </w:p>
    <w:p w14:paraId="3551E26B" w14:textId="4F4ED1F8" w:rsidR="000C2750" w:rsidRDefault="000C2750" w:rsidP="009B52E6">
      <w:pPr>
        <w:spacing w:line="240" w:lineRule="auto"/>
        <w:rPr>
          <w:rFonts w:cs="Times New Roman"/>
          <w:szCs w:val="24"/>
        </w:rPr>
      </w:pPr>
      <w:r w:rsidRPr="00CB499E">
        <w:rPr>
          <w:rFonts w:cs="Times New Roman"/>
          <w:b/>
          <w:bCs/>
          <w:szCs w:val="24"/>
        </w:rPr>
        <w:t>Dataset Number</w:t>
      </w:r>
      <w:r w:rsidRPr="00CB499E">
        <w:rPr>
          <w:rFonts w:cs="Times New Roman"/>
          <w:szCs w:val="24"/>
        </w:rPr>
        <w:t>:</w:t>
      </w:r>
      <w:r w:rsidR="000A458E">
        <w:rPr>
          <w:rFonts w:cs="Times New Roman"/>
          <w:szCs w:val="24"/>
        </w:rPr>
        <w:t xml:space="preserve"> RD-1025-2021-0</w:t>
      </w:r>
    </w:p>
    <w:p w14:paraId="1DD9EC97" w14:textId="4C5619FF" w:rsidR="00EF1CFE" w:rsidRDefault="00EF1CFE" w:rsidP="009B52E6">
      <w:pPr>
        <w:spacing w:line="240" w:lineRule="auto"/>
        <w:rPr>
          <w:rFonts w:cs="Times New Roman"/>
          <w:szCs w:val="24"/>
        </w:rPr>
      </w:pPr>
    </w:p>
    <w:p w14:paraId="1E302DDF" w14:textId="1170E2DF" w:rsidR="00EF1CFE" w:rsidRPr="00EF1CFE" w:rsidRDefault="00EF1CFE" w:rsidP="009B52E6">
      <w:pPr>
        <w:spacing w:line="240" w:lineRule="auto"/>
        <w:rPr>
          <w:rFonts w:cs="Times New Roman"/>
          <w:b/>
          <w:bCs/>
          <w:szCs w:val="24"/>
        </w:rPr>
      </w:pPr>
      <w:r w:rsidRPr="00EF1CFE">
        <w:rPr>
          <w:rFonts w:cs="Times New Roman"/>
          <w:b/>
          <w:bCs/>
          <w:szCs w:val="24"/>
        </w:rPr>
        <w:t>Introduction</w:t>
      </w:r>
    </w:p>
    <w:p w14:paraId="32BC3D95" w14:textId="77777777" w:rsidR="00EF1CFE" w:rsidRDefault="00EF1CFE" w:rsidP="009B52E6">
      <w:pPr>
        <w:spacing w:line="240" w:lineRule="auto"/>
        <w:rPr>
          <w:rFonts w:cs="Times New Roman"/>
          <w:szCs w:val="24"/>
        </w:rPr>
      </w:pPr>
    </w:p>
    <w:p w14:paraId="5B5A9A72" w14:textId="2442EAEB" w:rsidR="00EF1CFE" w:rsidRPr="00CB499E" w:rsidRDefault="00EF1CFE" w:rsidP="009B52E6">
      <w:pPr>
        <w:spacing w:line="240" w:lineRule="auto"/>
        <w:rPr>
          <w:rFonts w:cs="Times New Roman"/>
          <w:szCs w:val="24"/>
        </w:rPr>
      </w:pPr>
      <w:r w:rsidRPr="00EF1CFE">
        <w:rPr>
          <w:rFonts w:cs="Times New Roman"/>
          <w:szCs w:val="24"/>
        </w:rPr>
        <w:t xml:space="preserve">There is strong evidence associating the indoor environment with transmission of SARS-CoV-2, the virus that causes COVID-19. SARS-CoV-2 can spread by exposure to droplets and very fine aerosol particles from respiratory fluids that are released by infected persons. Layered mitigation strategies, including but not limited to maintaining physical distancing, adequate ventilation, universal masking, avoiding overcrowding, and vaccination, have shown to be effective in re-ducing the spread of SARS-CoV-2 within the indoor environment. Here, we examine the effect of mitigation strategies on reducing the risk of exposure to simulated respiratory aerosol particles within a classroom-style meeting room. To quantify exposure of uninfected individuals (Recip-ients), surrogate respiratory aerosol particles were generated by a breathing simulator with a headform (Source) that mimicked breath exhalations. Recipients, represented by three breathing simulators with manikin headforms, were placed in a meeting room and affixed with optical particle counters to measure 0.3–3 µm aerosol particles. </w:t>
      </w:r>
    </w:p>
    <w:p w14:paraId="458CF128" w14:textId="77777777" w:rsidR="000C2750" w:rsidRPr="00CB499E" w:rsidRDefault="000C2750" w:rsidP="009B52E6">
      <w:pPr>
        <w:spacing w:line="240" w:lineRule="auto"/>
        <w:rPr>
          <w:rFonts w:cs="Times New Roman"/>
          <w:b/>
          <w:bCs/>
          <w:szCs w:val="24"/>
        </w:rPr>
      </w:pPr>
    </w:p>
    <w:p w14:paraId="7A5BC57E" w14:textId="674099CD" w:rsidR="003C79D5" w:rsidRPr="00CB499E" w:rsidRDefault="00FC61C4" w:rsidP="009B52E6">
      <w:pPr>
        <w:spacing w:line="240" w:lineRule="auto"/>
        <w:rPr>
          <w:rFonts w:cs="Times New Roman"/>
          <w:b/>
          <w:bCs/>
          <w:szCs w:val="24"/>
        </w:rPr>
      </w:pPr>
      <w:r w:rsidRPr="00CB499E">
        <w:rPr>
          <w:rFonts w:cs="Times New Roman"/>
          <w:b/>
          <w:bCs/>
          <w:szCs w:val="24"/>
        </w:rPr>
        <w:t>Data Collection Methods</w:t>
      </w:r>
    </w:p>
    <w:p w14:paraId="4777518E" w14:textId="77777777" w:rsidR="00553E4C" w:rsidRPr="00CB499E" w:rsidRDefault="00553E4C" w:rsidP="009B52E6">
      <w:pPr>
        <w:spacing w:line="240" w:lineRule="auto"/>
        <w:rPr>
          <w:rFonts w:cs="Times New Roman"/>
          <w:b/>
          <w:iCs/>
          <w:szCs w:val="24"/>
        </w:rPr>
      </w:pPr>
    </w:p>
    <w:p w14:paraId="6DB3031B" w14:textId="43A1679D" w:rsidR="00803AF1" w:rsidRPr="00CB499E" w:rsidRDefault="004702CC" w:rsidP="004702CC">
      <w:pPr>
        <w:pStyle w:val="ListParagraph"/>
        <w:numPr>
          <w:ilvl w:val="0"/>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Aerosol Particle Generation</w:t>
      </w:r>
    </w:p>
    <w:p w14:paraId="45D57FA5" w14:textId="150D5E8A" w:rsidR="004702CC" w:rsidRPr="00CB499E" w:rsidRDefault="004702CC" w:rsidP="004702CC">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 xml:space="preserve">14% w/v KCl </w:t>
      </w:r>
      <w:r w:rsidR="004136DC" w:rsidRPr="00CB499E">
        <w:rPr>
          <w:rFonts w:ascii="Times New Roman" w:hAnsi="Times New Roman" w:cs="Times New Roman"/>
          <w:sz w:val="24"/>
          <w:szCs w:val="24"/>
        </w:rPr>
        <w:t>aerosolized</w:t>
      </w:r>
      <w:r w:rsidRPr="00CB499E">
        <w:rPr>
          <w:rFonts w:ascii="Times New Roman" w:hAnsi="Times New Roman" w:cs="Times New Roman"/>
          <w:sz w:val="24"/>
          <w:szCs w:val="24"/>
        </w:rPr>
        <w:t xml:space="preserve"> via single jet Collison atomizer</w:t>
      </w:r>
      <w:r w:rsidR="00100689" w:rsidRPr="00CB499E">
        <w:rPr>
          <w:rFonts w:ascii="Times New Roman" w:hAnsi="Times New Roman" w:cs="Times New Roman"/>
          <w:sz w:val="24"/>
          <w:szCs w:val="24"/>
        </w:rPr>
        <w:t xml:space="preserve"> (BGI</w:t>
      </w:r>
      <w:r w:rsidR="00D93829" w:rsidRPr="00CB499E">
        <w:rPr>
          <w:rFonts w:ascii="Times New Roman" w:hAnsi="Times New Roman" w:cs="Times New Roman"/>
          <w:sz w:val="24"/>
          <w:szCs w:val="24"/>
        </w:rPr>
        <w:t xml:space="preserve"> Sciences</w:t>
      </w:r>
      <w:r w:rsidR="00100689" w:rsidRPr="00CB499E">
        <w:rPr>
          <w:rFonts w:ascii="Times New Roman" w:hAnsi="Times New Roman" w:cs="Times New Roman"/>
          <w:sz w:val="24"/>
          <w:szCs w:val="24"/>
        </w:rPr>
        <w:t>)</w:t>
      </w:r>
    </w:p>
    <w:p w14:paraId="6A9A5DE0" w14:textId="15F3B355" w:rsidR="004702CC" w:rsidRPr="00CB499E" w:rsidRDefault="004702CC" w:rsidP="004702CC">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Exhaled using a simulator with headform with elastomeric bellows (15 L/min minute ventilation)</w:t>
      </w:r>
    </w:p>
    <w:p w14:paraId="158355EF" w14:textId="3BA5CC9C" w:rsidR="004702CC" w:rsidRPr="00CB499E" w:rsidRDefault="00553E4C" w:rsidP="00553E4C">
      <w:pPr>
        <w:pStyle w:val="ListParagraph"/>
        <w:numPr>
          <w:ilvl w:val="0"/>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Aerosol Particle Measurement</w:t>
      </w:r>
    </w:p>
    <w:p w14:paraId="62A74833" w14:textId="5FCC3F2C" w:rsidR="00553E4C" w:rsidRPr="00CB499E" w:rsidRDefault="002D23EA" w:rsidP="00553E4C">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E</w:t>
      </w:r>
      <w:r w:rsidR="00813174" w:rsidRPr="00CB499E">
        <w:rPr>
          <w:rFonts w:ascii="Times New Roman" w:hAnsi="Times New Roman" w:cs="Times New Roman"/>
          <w:sz w:val="24"/>
          <w:szCs w:val="24"/>
        </w:rPr>
        <w:t xml:space="preserve">xposure </w:t>
      </w:r>
      <w:r w:rsidRPr="00CB499E">
        <w:rPr>
          <w:rFonts w:ascii="Times New Roman" w:hAnsi="Times New Roman" w:cs="Times New Roman"/>
          <w:sz w:val="24"/>
          <w:szCs w:val="24"/>
        </w:rPr>
        <w:t xml:space="preserve">metric for each of the three receiver simulators </w:t>
      </w:r>
      <w:r w:rsidR="00813174" w:rsidRPr="00CB499E">
        <w:rPr>
          <w:rFonts w:ascii="Times New Roman" w:hAnsi="Times New Roman" w:cs="Times New Roman"/>
          <w:sz w:val="24"/>
          <w:szCs w:val="24"/>
        </w:rPr>
        <w:t>measured by</w:t>
      </w:r>
      <w:r w:rsidR="00677519" w:rsidRPr="00CB499E">
        <w:rPr>
          <w:rFonts w:ascii="Times New Roman" w:hAnsi="Times New Roman" w:cs="Times New Roman"/>
          <w:sz w:val="24"/>
          <w:szCs w:val="24"/>
        </w:rPr>
        <w:t xml:space="preserve"> three</w:t>
      </w:r>
      <w:r w:rsidR="00813174" w:rsidRPr="00CB499E">
        <w:rPr>
          <w:rFonts w:ascii="Times New Roman" w:hAnsi="Times New Roman" w:cs="Times New Roman"/>
          <w:sz w:val="24"/>
          <w:szCs w:val="24"/>
        </w:rPr>
        <w:t xml:space="preserve"> Grimm 1.108 optical particle counters</w:t>
      </w:r>
      <w:r w:rsidR="00F90994" w:rsidRPr="00CB499E">
        <w:rPr>
          <w:rFonts w:ascii="Times New Roman" w:hAnsi="Times New Roman" w:cs="Times New Roman"/>
          <w:sz w:val="24"/>
          <w:szCs w:val="24"/>
        </w:rPr>
        <w:t xml:space="preserve"> (0.3–3.0 µm particle range)</w:t>
      </w:r>
    </w:p>
    <w:p w14:paraId="6D55BFA1" w14:textId="62AA5080" w:rsidR="004702CC" w:rsidRPr="00CB499E" w:rsidRDefault="00813174" w:rsidP="00904BA5">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 xml:space="preserve">Area samples measured by </w:t>
      </w:r>
      <w:r w:rsidR="002218E4" w:rsidRPr="00CB499E">
        <w:rPr>
          <w:rFonts w:ascii="Times New Roman" w:hAnsi="Times New Roman" w:cs="Times New Roman"/>
          <w:sz w:val="24"/>
          <w:szCs w:val="24"/>
        </w:rPr>
        <w:t xml:space="preserve">eight </w:t>
      </w:r>
      <w:r w:rsidRPr="00CB499E">
        <w:rPr>
          <w:rFonts w:ascii="Times New Roman" w:hAnsi="Times New Roman" w:cs="Times New Roman"/>
          <w:sz w:val="24"/>
          <w:szCs w:val="24"/>
        </w:rPr>
        <w:t>TSI 3330 optical particle counters</w:t>
      </w:r>
      <w:r w:rsidR="00F90994" w:rsidRPr="00CB499E">
        <w:rPr>
          <w:rFonts w:ascii="Times New Roman" w:hAnsi="Times New Roman" w:cs="Times New Roman"/>
          <w:sz w:val="24"/>
          <w:szCs w:val="24"/>
        </w:rPr>
        <w:t xml:space="preserve"> (0.3–10.0 µm particle range)</w:t>
      </w:r>
    </w:p>
    <w:p w14:paraId="052F9E97" w14:textId="77777777" w:rsidR="00AC2EF2" w:rsidRPr="00CB499E" w:rsidRDefault="00AC2EF2" w:rsidP="00AC2EF2">
      <w:pPr>
        <w:pStyle w:val="ListParagraph"/>
        <w:numPr>
          <w:ilvl w:val="0"/>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Ventilation Rates</w:t>
      </w:r>
    </w:p>
    <w:p w14:paraId="0EE3BE88" w14:textId="0C93586B" w:rsidR="00AC2EF2" w:rsidRPr="00CB499E" w:rsidRDefault="00AC2EF2" w:rsidP="00AC2EF2">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HVAC Supply Rate measured using Alnor Balometer</w:t>
      </w:r>
      <w:r w:rsidR="002C70AB" w:rsidRPr="00CB499E">
        <w:rPr>
          <w:rFonts w:ascii="Times New Roman" w:hAnsi="Times New Roman" w:cs="Times New Roman"/>
          <w:sz w:val="24"/>
          <w:szCs w:val="24"/>
        </w:rPr>
        <w:t xml:space="preserve"> (TSI, Inc.)</w:t>
      </w:r>
      <w:r w:rsidRPr="00CB499E">
        <w:rPr>
          <w:rFonts w:ascii="Times New Roman" w:hAnsi="Times New Roman" w:cs="Times New Roman"/>
          <w:sz w:val="24"/>
          <w:szCs w:val="24"/>
        </w:rPr>
        <w:t xml:space="preserve"> with a 0.6 m x 1.2 m Capture Hood</w:t>
      </w:r>
    </w:p>
    <w:p w14:paraId="5211194F" w14:textId="7AC9CD52" w:rsidR="00AC2EF2" w:rsidRPr="00CB499E" w:rsidRDefault="00AC2EF2" w:rsidP="00AC2EF2">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Tracer Gas using sulfur hexafluoride and Four Innova Photoacoustic Infrared Spectroscopy Analyzer models 1412, 1412i(2x) and 1512</w:t>
      </w:r>
      <w:r w:rsidR="00CB499E" w:rsidRPr="00CB499E">
        <w:rPr>
          <w:rFonts w:ascii="Times New Roman" w:hAnsi="Times New Roman" w:cs="Times New Roman"/>
          <w:sz w:val="24"/>
          <w:szCs w:val="24"/>
        </w:rPr>
        <w:t xml:space="preserve"> (California Analytical Instruments, Inc.)</w:t>
      </w:r>
    </w:p>
    <w:p w14:paraId="7504C47D" w14:textId="77777777" w:rsidR="00AC2EF2" w:rsidRPr="00CB499E" w:rsidRDefault="00AC2EF2" w:rsidP="00AC2EF2">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Particle Decay measured using eight TSI 3330 optical particle counters</w:t>
      </w:r>
    </w:p>
    <w:p w14:paraId="714CC051" w14:textId="5ADB2244" w:rsidR="00904BA5" w:rsidRPr="00CB499E" w:rsidRDefault="00706426" w:rsidP="00904BA5">
      <w:pPr>
        <w:pStyle w:val="ListParagraph"/>
        <w:numPr>
          <w:ilvl w:val="0"/>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 xml:space="preserve">Mask </w:t>
      </w:r>
      <w:r w:rsidR="00904BA5" w:rsidRPr="00CB499E">
        <w:rPr>
          <w:rFonts w:ascii="Times New Roman" w:hAnsi="Times New Roman" w:cs="Times New Roman"/>
          <w:sz w:val="24"/>
          <w:szCs w:val="24"/>
        </w:rPr>
        <w:t>Fit Factor</w:t>
      </w:r>
      <w:r w:rsidR="008C4ED5" w:rsidRPr="00CB499E">
        <w:rPr>
          <w:rFonts w:ascii="Times New Roman" w:hAnsi="Times New Roman" w:cs="Times New Roman"/>
          <w:sz w:val="24"/>
          <w:szCs w:val="24"/>
        </w:rPr>
        <w:t>s</w:t>
      </w:r>
    </w:p>
    <w:p w14:paraId="5C827EE1" w14:textId="13B56B28" w:rsidR="00706426" w:rsidRPr="00CB499E" w:rsidRDefault="00706426" w:rsidP="00904BA5">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Three-ply cotton mask</w:t>
      </w:r>
      <w:r w:rsidR="00843DBC" w:rsidRPr="00CB499E">
        <w:rPr>
          <w:rFonts w:ascii="Times New Roman" w:hAnsi="Times New Roman" w:cs="Times New Roman"/>
          <w:sz w:val="24"/>
          <w:szCs w:val="24"/>
        </w:rPr>
        <w:t>s</w:t>
      </w:r>
      <w:r w:rsidRPr="00CB499E">
        <w:rPr>
          <w:rFonts w:ascii="Times New Roman" w:hAnsi="Times New Roman" w:cs="Times New Roman"/>
          <w:sz w:val="24"/>
          <w:szCs w:val="24"/>
        </w:rPr>
        <w:t xml:space="preserve"> (</w:t>
      </w:r>
      <w:r w:rsidR="00655CEE" w:rsidRPr="00CB499E">
        <w:rPr>
          <w:rFonts w:ascii="Times New Roman" w:hAnsi="Times New Roman" w:cs="Times New Roman"/>
          <w:sz w:val="24"/>
          <w:szCs w:val="24"/>
        </w:rPr>
        <w:t xml:space="preserve">Defender, </w:t>
      </w:r>
      <w:r w:rsidRPr="00CB499E">
        <w:rPr>
          <w:rFonts w:ascii="Times New Roman" w:hAnsi="Times New Roman" w:cs="Times New Roman"/>
          <w:sz w:val="24"/>
          <w:szCs w:val="24"/>
        </w:rPr>
        <w:t xml:space="preserve">HanesBrand </w:t>
      </w:r>
      <w:r w:rsidR="00655CEE" w:rsidRPr="00CB499E">
        <w:rPr>
          <w:rFonts w:ascii="Times New Roman" w:hAnsi="Times New Roman" w:cs="Times New Roman"/>
          <w:sz w:val="24"/>
          <w:szCs w:val="24"/>
        </w:rPr>
        <w:t>Inc.</w:t>
      </w:r>
      <w:r w:rsidRPr="00CB499E">
        <w:rPr>
          <w:rFonts w:ascii="Times New Roman" w:hAnsi="Times New Roman" w:cs="Times New Roman"/>
          <w:sz w:val="24"/>
          <w:szCs w:val="24"/>
        </w:rPr>
        <w:t>)</w:t>
      </w:r>
      <w:r w:rsidR="0075509D" w:rsidRPr="00CB499E">
        <w:rPr>
          <w:rFonts w:ascii="Times New Roman" w:hAnsi="Times New Roman" w:cs="Times New Roman"/>
          <w:sz w:val="24"/>
          <w:szCs w:val="24"/>
        </w:rPr>
        <w:t xml:space="preserve"> were affixed to all </w:t>
      </w:r>
      <w:r w:rsidR="00843DBC" w:rsidRPr="00CB499E">
        <w:rPr>
          <w:rFonts w:ascii="Times New Roman" w:hAnsi="Times New Roman" w:cs="Times New Roman"/>
          <w:sz w:val="24"/>
          <w:szCs w:val="24"/>
        </w:rPr>
        <w:t>simulators</w:t>
      </w:r>
    </w:p>
    <w:p w14:paraId="4CA672B4" w14:textId="535A6E14" w:rsidR="00904BA5" w:rsidRPr="00CB499E" w:rsidRDefault="00904BA5" w:rsidP="00904BA5">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Measured using PortaCount Pro+</w:t>
      </w:r>
      <w:r w:rsidR="00177D88" w:rsidRPr="00CB499E">
        <w:rPr>
          <w:rFonts w:ascii="Times New Roman" w:hAnsi="Times New Roman" w:cs="Times New Roman"/>
          <w:sz w:val="24"/>
          <w:szCs w:val="24"/>
        </w:rPr>
        <w:t xml:space="preserve"> (TSI, Inc.)</w:t>
      </w:r>
      <w:r w:rsidRPr="00CB499E">
        <w:rPr>
          <w:rFonts w:ascii="Times New Roman" w:hAnsi="Times New Roman" w:cs="Times New Roman"/>
          <w:sz w:val="24"/>
          <w:szCs w:val="24"/>
        </w:rPr>
        <w:t xml:space="preserve"> in N99 mode (</w:t>
      </w:r>
      <w:r w:rsidR="009D50DA" w:rsidRPr="00CB499E">
        <w:rPr>
          <w:rFonts w:ascii="Times New Roman" w:hAnsi="Times New Roman" w:cs="Times New Roman"/>
          <w:sz w:val="24"/>
          <w:szCs w:val="24"/>
        </w:rPr>
        <w:t>a</w:t>
      </w:r>
      <w:r w:rsidRPr="00CB499E">
        <w:rPr>
          <w:rFonts w:ascii="Times New Roman" w:hAnsi="Times New Roman" w:cs="Times New Roman"/>
          <w:sz w:val="24"/>
          <w:szCs w:val="24"/>
        </w:rPr>
        <w:t>ll sizes)</w:t>
      </w:r>
    </w:p>
    <w:p w14:paraId="1762B567" w14:textId="17137AAB" w:rsidR="004702CC" w:rsidRPr="00CB499E" w:rsidRDefault="00904BA5" w:rsidP="00904BA5">
      <w:pPr>
        <w:pStyle w:val="ListParagraph"/>
        <w:numPr>
          <w:ilvl w:val="0"/>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Ambient Conditions</w:t>
      </w:r>
    </w:p>
    <w:p w14:paraId="6155A37F" w14:textId="1A0CCE7D" w:rsidR="00904BA5" w:rsidRPr="00CB499E" w:rsidRDefault="00706426" w:rsidP="00904BA5">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Relative humidity</w:t>
      </w:r>
      <w:r w:rsidR="00904BA5" w:rsidRPr="00CB499E">
        <w:rPr>
          <w:rFonts w:ascii="Times New Roman" w:hAnsi="Times New Roman" w:cs="Times New Roman"/>
          <w:sz w:val="24"/>
          <w:szCs w:val="24"/>
        </w:rPr>
        <w:t xml:space="preserve"> and temperature probe</w:t>
      </w:r>
      <w:r w:rsidR="00E7313D" w:rsidRPr="00CB499E">
        <w:rPr>
          <w:rFonts w:ascii="Times New Roman" w:hAnsi="Times New Roman" w:cs="Times New Roman"/>
          <w:sz w:val="24"/>
          <w:szCs w:val="24"/>
        </w:rPr>
        <w:t xml:space="preserve"> and data logger</w:t>
      </w:r>
      <w:r w:rsidRPr="00CB499E">
        <w:rPr>
          <w:rFonts w:ascii="Times New Roman" w:hAnsi="Times New Roman" w:cs="Times New Roman"/>
          <w:sz w:val="24"/>
          <w:szCs w:val="24"/>
        </w:rPr>
        <w:t xml:space="preserve"> (Vaisala</w:t>
      </w:r>
      <w:r w:rsidR="00A71580" w:rsidRPr="00CB499E">
        <w:rPr>
          <w:rFonts w:ascii="Times New Roman" w:hAnsi="Times New Roman" w:cs="Times New Roman"/>
          <w:sz w:val="24"/>
          <w:szCs w:val="24"/>
        </w:rPr>
        <w:t>,</w:t>
      </w:r>
      <w:r w:rsidR="00690AC0" w:rsidRPr="00CB499E">
        <w:rPr>
          <w:rFonts w:ascii="Times New Roman" w:hAnsi="Times New Roman" w:cs="Times New Roman"/>
          <w:sz w:val="24"/>
          <w:szCs w:val="24"/>
        </w:rPr>
        <w:t xml:space="preserve"> Oyj</w:t>
      </w:r>
      <w:r w:rsidRPr="00CB499E">
        <w:rPr>
          <w:rFonts w:ascii="Times New Roman" w:hAnsi="Times New Roman" w:cs="Times New Roman"/>
          <w:sz w:val="24"/>
          <w:szCs w:val="24"/>
        </w:rPr>
        <w:t>)</w:t>
      </w:r>
    </w:p>
    <w:p w14:paraId="2F8CA578" w14:textId="4E8ED3E0" w:rsidR="00E87949" w:rsidRDefault="00377FF2" w:rsidP="00583631">
      <w:pPr>
        <w:pStyle w:val="ListParagraph"/>
        <w:numPr>
          <w:ilvl w:val="1"/>
          <w:numId w:val="2"/>
        </w:numPr>
        <w:spacing w:after="0" w:line="240" w:lineRule="auto"/>
        <w:jc w:val="both"/>
        <w:rPr>
          <w:rFonts w:ascii="Times New Roman" w:hAnsi="Times New Roman" w:cs="Times New Roman"/>
          <w:sz w:val="24"/>
          <w:szCs w:val="24"/>
        </w:rPr>
      </w:pPr>
      <w:r w:rsidRPr="00CB499E">
        <w:rPr>
          <w:rFonts w:ascii="Times New Roman" w:hAnsi="Times New Roman" w:cs="Times New Roman"/>
          <w:sz w:val="24"/>
          <w:szCs w:val="24"/>
        </w:rPr>
        <w:t>Noise levels were measured using Real Time Octave Band Analyzer (Extech Instrument</w:t>
      </w:r>
      <w:r w:rsidR="009E0AD5" w:rsidRPr="00CB499E">
        <w:rPr>
          <w:rFonts w:ascii="Times New Roman" w:hAnsi="Times New Roman" w:cs="Times New Roman"/>
          <w:sz w:val="24"/>
          <w:szCs w:val="24"/>
        </w:rPr>
        <w:t>s, Inc.</w:t>
      </w:r>
      <w:r w:rsidRPr="00CB499E">
        <w:rPr>
          <w:rFonts w:ascii="Times New Roman" w:hAnsi="Times New Roman" w:cs="Times New Roman"/>
          <w:sz w:val="24"/>
          <w:szCs w:val="24"/>
        </w:rPr>
        <w:t>)</w:t>
      </w:r>
    </w:p>
    <w:p w14:paraId="5863216C" w14:textId="1E9A4904" w:rsidR="00575C65" w:rsidRDefault="00575C65" w:rsidP="00575C65">
      <w:pPr>
        <w:spacing w:line="240" w:lineRule="auto"/>
        <w:jc w:val="both"/>
        <w:rPr>
          <w:rFonts w:cs="Times New Roman"/>
          <w:szCs w:val="24"/>
        </w:rPr>
      </w:pPr>
    </w:p>
    <w:p w14:paraId="1FEFD441" w14:textId="4A1C62A6" w:rsidR="00575C65" w:rsidRDefault="00575C65" w:rsidP="00575C65">
      <w:pPr>
        <w:spacing w:line="240" w:lineRule="auto"/>
        <w:jc w:val="both"/>
        <w:rPr>
          <w:rFonts w:cs="Times New Roman"/>
          <w:b/>
          <w:bCs/>
          <w:szCs w:val="24"/>
        </w:rPr>
      </w:pPr>
      <w:r w:rsidRPr="00575C65">
        <w:rPr>
          <w:rFonts w:cs="Times New Roman"/>
          <w:b/>
          <w:bCs/>
          <w:szCs w:val="24"/>
        </w:rPr>
        <w:lastRenderedPageBreak/>
        <w:t>Citation</w:t>
      </w:r>
    </w:p>
    <w:p w14:paraId="3E0161C8" w14:textId="77777777" w:rsidR="00575C65" w:rsidRPr="00575C65" w:rsidRDefault="00575C65" w:rsidP="00575C65">
      <w:pPr>
        <w:spacing w:line="240" w:lineRule="auto"/>
        <w:jc w:val="both"/>
        <w:rPr>
          <w:rFonts w:cs="Times New Roman"/>
          <w:b/>
          <w:bCs/>
          <w:szCs w:val="24"/>
        </w:rPr>
      </w:pPr>
    </w:p>
    <w:p w14:paraId="49B61C47" w14:textId="469480C2" w:rsidR="00A55B90" w:rsidRPr="00CB499E" w:rsidRDefault="00575C65" w:rsidP="00A55B90">
      <w:pPr>
        <w:spacing w:line="240" w:lineRule="auto"/>
        <w:jc w:val="both"/>
        <w:rPr>
          <w:rFonts w:cs="Times New Roman"/>
          <w:szCs w:val="24"/>
        </w:rPr>
      </w:pPr>
      <w:r w:rsidRPr="00575C65">
        <w:rPr>
          <w:rFonts w:cs="Times New Roman"/>
          <w:szCs w:val="24"/>
        </w:rPr>
        <w:t>Coyle JP, Derk RC, Lindsley WG, et al. Efficacy of Ventilation, HEPA Air Cleaners, Universal Masking, and Physical Distancing for Reducing Exposure to Simulated Exhaled Aerosols in a Meeting Room. Viruses. 2021;13(12):2536. Published 2021 Dec 17. doi:10.3390/v13122536</w:t>
      </w:r>
    </w:p>
    <w:p w14:paraId="0AA5D337" w14:textId="77777777" w:rsidR="00660F60" w:rsidRPr="00CB499E" w:rsidRDefault="00660F60" w:rsidP="009B52E6">
      <w:pPr>
        <w:spacing w:line="240" w:lineRule="auto"/>
        <w:jc w:val="both"/>
        <w:rPr>
          <w:rFonts w:cs="Times New Roman"/>
          <w:szCs w:val="24"/>
        </w:rPr>
      </w:pPr>
    </w:p>
    <w:p w14:paraId="483A8520" w14:textId="69D89DCB" w:rsidR="003C6718" w:rsidRPr="00CB499E" w:rsidRDefault="003C6718" w:rsidP="00660F60">
      <w:pPr>
        <w:spacing w:line="240" w:lineRule="auto"/>
        <w:jc w:val="both"/>
        <w:rPr>
          <w:rFonts w:cs="Times New Roman"/>
          <w:szCs w:val="24"/>
        </w:rPr>
      </w:pPr>
      <w:r w:rsidRPr="00CB499E">
        <w:rPr>
          <w:rFonts w:cs="Times New Roman"/>
          <w:b/>
          <w:bCs/>
          <w:szCs w:val="24"/>
        </w:rPr>
        <w:t>Acknowledgements</w:t>
      </w:r>
    </w:p>
    <w:p w14:paraId="5F68DEF5" w14:textId="07F533F4" w:rsidR="009821E1" w:rsidRPr="00CB499E" w:rsidRDefault="009821E1" w:rsidP="009B52E6">
      <w:pPr>
        <w:spacing w:line="240" w:lineRule="auto"/>
        <w:jc w:val="both"/>
        <w:rPr>
          <w:rFonts w:cs="Times New Roman"/>
          <w:szCs w:val="24"/>
        </w:rPr>
      </w:pPr>
    </w:p>
    <w:p w14:paraId="64D6B982" w14:textId="453711A8" w:rsidR="004136DC" w:rsidRPr="00CB499E" w:rsidRDefault="004136DC" w:rsidP="009B52E6">
      <w:pPr>
        <w:spacing w:line="240" w:lineRule="auto"/>
        <w:jc w:val="both"/>
        <w:rPr>
          <w:rFonts w:cs="Times New Roman"/>
          <w:szCs w:val="24"/>
        </w:rPr>
      </w:pPr>
      <w:r w:rsidRPr="00CB499E">
        <w:rPr>
          <w:rFonts w:cs="Times New Roman"/>
          <w:szCs w:val="24"/>
        </w:rPr>
        <w:t>This work was supported by the Centers for Disease Control and Prevention</w:t>
      </w:r>
      <w:r w:rsidR="0016579B" w:rsidRPr="00CB499E">
        <w:rPr>
          <w:rFonts w:cs="Times New Roman"/>
          <w:szCs w:val="24"/>
        </w:rPr>
        <w:t>. The authors wish to acknowledge the facilities, maintenance, and security personnel of NIOSH Morgantown for the hard-work and dedication they provided which was integral in the completion of this work.</w:t>
      </w:r>
    </w:p>
    <w:p w14:paraId="7D2DF91F" w14:textId="77777777" w:rsidR="004136DC" w:rsidRPr="00CB499E" w:rsidRDefault="004136DC" w:rsidP="009B52E6">
      <w:pPr>
        <w:spacing w:line="240" w:lineRule="auto"/>
        <w:jc w:val="both"/>
        <w:rPr>
          <w:rFonts w:cs="Times New Roman"/>
          <w:szCs w:val="24"/>
        </w:rPr>
      </w:pPr>
    </w:p>
    <w:p w14:paraId="2D3FC422" w14:textId="33BE21F3" w:rsidR="007E041A" w:rsidRPr="00CB499E" w:rsidRDefault="007E041A" w:rsidP="009B52E6">
      <w:pPr>
        <w:spacing w:line="240" w:lineRule="auto"/>
        <w:jc w:val="both"/>
        <w:rPr>
          <w:rFonts w:cs="Times New Roman"/>
          <w:b/>
          <w:bCs/>
          <w:szCs w:val="24"/>
        </w:rPr>
      </w:pPr>
      <w:r w:rsidRPr="00CB499E">
        <w:rPr>
          <w:rFonts w:cs="Times New Roman"/>
          <w:b/>
          <w:bCs/>
          <w:szCs w:val="24"/>
        </w:rPr>
        <w:t xml:space="preserve">Authors </w:t>
      </w:r>
    </w:p>
    <w:p w14:paraId="3B0DF919" w14:textId="4F1C8877" w:rsidR="007E041A" w:rsidRPr="00CB499E" w:rsidRDefault="007E041A" w:rsidP="009B52E6">
      <w:pPr>
        <w:spacing w:line="240" w:lineRule="auto"/>
        <w:jc w:val="both"/>
        <w:rPr>
          <w:rFonts w:cs="Times New Roman"/>
          <w:szCs w:val="24"/>
        </w:rPr>
      </w:pPr>
    </w:p>
    <w:tbl>
      <w:tblPr>
        <w:tblStyle w:val="TableGrid1"/>
        <w:tblW w:w="0" w:type="auto"/>
        <w:tblLook w:val="01E0" w:firstRow="1" w:lastRow="1" w:firstColumn="1" w:lastColumn="1" w:noHBand="0" w:noVBand="0"/>
      </w:tblPr>
      <w:tblGrid>
        <w:gridCol w:w="1614"/>
        <w:gridCol w:w="5945"/>
        <w:gridCol w:w="1791"/>
      </w:tblGrid>
      <w:tr w:rsidR="00EF664F" w:rsidRPr="00CB499E" w14:paraId="5CFB41D8" w14:textId="77777777" w:rsidTr="004A3153">
        <w:trPr>
          <w:cantSplit/>
        </w:trPr>
        <w:tc>
          <w:tcPr>
            <w:tcW w:w="0" w:type="auto"/>
          </w:tcPr>
          <w:p w14:paraId="5AD7715E" w14:textId="77777777" w:rsidR="00EF664F" w:rsidRPr="00CB499E" w:rsidRDefault="00EF664F" w:rsidP="004A3153">
            <w:pPr>
              <w:rPr>
                <w:i/>
                <w:sz w:val="24"/>
                <w:szCs w:val="24"/>
              </w:rPr>
            </w:pPr>
            <w:r w:rsidRPr="00CB499E">
              <w:rPr>
                <w:i/>
                <w:sz w:val="24"/>
                <w:szCs w:val="24"/>
              </w:rPr>
              <w:t>Name</w:t>
            </w:r>
          </w:p>
        </w:tc>
        <w:tc>
          <w:tcPr>
            <w:tcW w:w="0" w:type="auto"/>
          </w:tcPr>
          <w:p w14:paraId="1624F7F8" w14:textId="77777777" w:rsidR="00EF664F" w:rsidRPr="00CB499E" w:rsidRDefault="00EF664F" w:rsidP="004A3153">
            <w:pPr>
              <w:rPr>
                <w:sz w:val="24"/>
                <w:szCs w:val="24"/>
              </w:rPr>
            </w:pPr>
            <w:r w:rsidRPr="00CB499E">
              <w:rPr>
                <w:i/>
                <w:sz w:val="24"/>
                <w:szCs w:val="24"/>
              </w:rPr>
              <w:t>Affiliations</w:t>
            </w:r>
          </w:p>
        </w:tc>
        <w:tc>
          <w:tcPr>
            <w:tcW w:w="0" w:type="auto"/>
          </w:tcPr>
          <w:p w14:paraId="2349B040" w14:textId="77777777" w:rsidR="00EF664F" w:rsidRPr="00CB499E" w:rsidRDefault="00EF664F" w:rsidP="004A3153">
            <w:pPr>
              <w:rPr>
                <w:i/>
                <w:sz w:val="24"/>
                <w:szCs w:val="24"/>
              </w:rPr>
            </w:pPr>
            <w:r w:rsidRPr="00CB499E">
              <w:rPr>
                <w:i/>
                <w:sz w:val="24"/>
                <w:szCs w:val="24"/>
              </w:rPr>
              <w:t>Email</w:t>
            </w:r>
          </w:p>
        </w:tc>
      </w:tr>
      <w:tr w:rsidR="00EF664F" w:rsidRPr="00CB499E" w14:paraId="3800029B" w14:textId="77777777" w:rsidTr="004A3153">
        <w:trPr>
          <w:cantSplit/>
        </w:trPr>
        <w:tc>
          <w:tcPr>
            <w:tcW w:w="0" w:type="auto"/>
          </w:tcPr>
          <w:p w14:paraId="2E19D6F5" w14:textId="77777777" w:rsidR="00EF664F" w:rsidRPr="00CB499E" w:rsidRDefault="00EF664F" w:rsidP="004A3153">
            <w:pPr>
              <w:rPr>
                <w:sz w:val="24"/>
                <w:szCs w:val="24"/>
              </w:rPr>
            </w:pPr>
            <w:r w:rsidRPr="00CB499E">
              <w:rPr>
                <w:sz w:val="24"/>
                <w:szCs w:val="24"/>
              </w:rPr>
              <w:t xml:space="preserve">Jayme P. Coyle </w:t>
            </w:r>
          </w:p>
        </w:tc>
        <w:tc>
          <w:tcPr>
            <w:tcW w:w="0" w:type="auto"/>
          </w:tcPr>
          <w:p w14:paraId="30584687" w14:textId="77777777" w:rsidR="00EF664F" w:rsidRPr="00CB499E" w:rsidRDefault="00EF664F" w:rsidP="004A3153">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4596747F" w14:textId="77777777" w:rsidR="00EF664F" w:rsidRPr="00CB499E" w:rsidRDefault="00EF664F" w:rsidP="004A3153">
            <w:pPr>
              <w:rPr>
                <w:sz w:val="24"/>
                <w:szCs w:val="24"/>
              </w:rPr>
            </w:pPr>
            <w:r w:rsidRPr="00CB499E">
              <w:rPr>
                <w:sz w:val="24"/>
                <w:szCs w:val="24"/>
              </w:rPr>
              <w:t>nti2@cdc.gov</w:t>
            </w:r>
          </w:p>
        </w:tc>
      </w:tr>
      <w:tr w:rsidR="00EF664F" w:rsidRPr="00CB499E" w14:paraId="5CBAEA31" w14:textId="77777777" w:rsidTr="004A3153">
        <w:trPr>
          <w:cantSplit/>
        </w:trPr>
        <w:tc>
          <w:tcPr>
            <w:tcW w:w="0" w:type="auto"/>
          </w:tcPr>
          <w:p w14:paraId="7370BF4F" w14:textId="77777777" w:rsidR="00EF664F" w:rsidRPr="00CB499E" w:rsidRDefault="00EF664F" w:rsidP="004A3153">
            <w:pPr>
              <w:rPr>
                <w:sz w:val="24"/>
                <w:szCs w:val="24"/>
              </w:rPr>
            </w:pPr>
            <w:r w:rsidRPr="00CB499E">
              <w:rPr>
                <w:sz w:val="24"/>
                <w:szCs w:val="24"/>
              </w:rPr>
              <w:t>Raymond C. Derk</w:t>
            </w:r>
          </w:p>
        </w:tc>
        <w:tc>
          <w:tcPr>
            <w:tcW w:w="0" w:type="auto"/>
          </w:tcPr>
          <w:p w14:paraId="47683315" w14:textId="77777777" w:rsidR="00EF664F" w:rsidRPr="00CB499E" w:rsidRDefault="00EF664F" w:rsidP="004A3153">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037C905D" w14:textId="77777777" w:rsidR="00EF664F" w:rsidRPr="00CB499E" w:rsidRDefault="00EF664F" w:rsidP="004A3153">
            <w:pPr>
              <w:rPr>
                <w:sz w:val="24"/>
                <w:szCs w:val="24"/>
              </w:rPr>
            </w:pPr>
            <w:r w:rsidRPr="00CB499E">
              <w:rPr>
                <w:sz w:val="24"/>
                <w:szCs w:val="24"/>
              </w:rPr>
              <w:t>rhd8@cdc.gov</w:t>
            </w:r>
          </w:p>
        </w:tc>
      </w:tr>
      <w:tr w:rsidR="00EF664F" w:rsidRPr="00CB499E" w14:paraId="3CAF11C0" w14:textId="77777777" w:rsidTr="004A3153">
        <w:trPr>
          <w:cantSplit/>
        </w:trPr>
        <w:tc>
          <w:tcPr>
            <w:tcW w:w="0" w:type="auto"/>
          </w:tcPr>
          <w:p w14:paraId="09B752AA" w14:textId="77777777" w:rsidR="00EF664F" w:rsidRPr="00CB499E" w:rsidRDefault="00EF664F" w:rsidP="004A3153">
            <w:pPr>
              <w:rPr>
                <w:sz w:val="24"/>
                <w:szCs w:val="24"/>
              </w:rPr>
            </w:pPr>
            <w:r w:rsidRPr="00CB499E">
              <w:rPr>
                <w:sz w:val="24"/>
                <w:szCs w:val="24"/>
              </w:rPr>
              <w:t>William G. Lindsley</w:t>
            </w:r>
          </w:p>
        </w:tc>
        <w:tc>
          <w:tcPr>
            <w:tcW w:w="0" w:type="auto"/>
          </w:tcPr>
          <w:p w14:paraId="58EAF6B5" w14:textId="77777777" w:rsidR="00EF664F" w:rsidRPr="00CB499E" w:rsidRDefault="00EF664F" w:rsidP="004A3153">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49076B60" w14:textId="77777777" w:rsidR="00EF664F" w:rsidRPr="00CB499E" w:rsidRDefault="00EF664F" w:rsidP="004A3153">
            <w:pPr>
              <w:rPr>
                <w:sz w:val="24"/>
                <w:szCs w:val="24"/>
              </w:rPr>
            </w:pPr>
            <w:r w:rsidRPr="00CB499E">
              <w:rPr>
                <w:sz w:val="24"/>
                <w:szCs w:val="24"/>
              </w:rPr>
              <w:t>wdl7@cdc.gov</w:t>
            </w:r>
          </w:p>
        </w:tc>
      </w:tr>
      <w:tr w:rsidR="00B820ED" w:rsidRPr="00CB499E" w14:paraId="3B86A687" w14:textId="77777777" w:rsidTr="004A3153">
        <w:trPr>
          <w:cantSplit/>
        </w:trPr>
        <w:tc>
          <w:tcPr>
            <w:tcW w:w="0" w:type="auto"/>
          </w:tcPr>
          <w:p w14:paraId="67617BD0" w14:textId="1E1DC541" w:rsidR="00B820ED" w:rsidRPr="00CB499E" w:rsidRDefault="00B820ED" w:rsidP="00B820ED">
            <w:pPr>
              <w:rPr>
                <w:sz w:val="24"/>
                <w:szCs w:val="24"/>
              </w:rPr>
            </w:pPr>
            <w:r w:rsidRPr="00CB499E">
              <w:rPr>
                <w:sz w:val="24"/>
                <w:szCs w:val="24"/>
              </w:rPr>
              <w:t>Francoise M. Blachere</w:t>
            </w:r>
          </w:p>
        </w:tc>
        <w:tc>
          <w:tcPr>
            <w:tcW w:w="0" w:type="auto"/>
          </w:tcPr>
          <w:p w14:paraId="21D7D572" w14:textId="7725205B" w:rsidR="00B820ED" w:rsidRPr="00CB499E" w:rsidRDefault="00B820ED" w:rsidP="00B820ED">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70244C0E" w14:textId="665749C7" w:rsidR="00B820ED" w:rsidRPr="00CB499E" w:rsidRDefault="00B820ED" w:rsidP="00B820ED">
            <w:pPr>
              <w:rPr>
                <w:sz w:val="24"/>
                <w:szCs w:val="24"/>
              </w:rPr>
            </w:pPr>
            <w:r w:rsidRPr="00CB499E">
              <w:rPr>
                <w:sz w:val="24"/>
                <w:szCs w:val="24"/>
              </w:rPr>
              <w:t>czv3@cdc.gov</w:t>
            </w:r>
          </w:p>
        </w:tc>
      </w:tr>
      <w:tr w:rsidR="00B820ED" w:rsidRPr="00CB499E" w14:paraId="2840AC07" w14:textId="77777777" w:rsidTr="004A3153">
        <w:trPr>
          <w:cantSplit/>
        </w:trPr>
        <w:tc>
          <w:tcPr>
            <w:tcW w:w="0" w:type="auto"/>
          </w:tcPr>
          <w:p w14:paraId="2348BE5B" w14:textId="77777777" w:rsidR="00B820ED" w:rsidRPr="00CB499E" w:rsidRDefault="00B820ED" w:rsidP="00B820ED">
            <w:pPr>
              <w:rPr>
                <w:sz w:val="24"/>
                <w:szCs w:val="24"/>
              </w:rPr>
            </w:pPr>
            <w:r w:rsidRPr="00CB499E">
              <w:rPr>
                <w:sz w:val="24"/>
                <w:szCs w:val="24"/>
              </w:rPr>
              <w:t>Theresa Boots</w:t>
            </w:r>
          </w:p>
        </w:tc>
        <w:tc>
          <w:tcPr>
            <w:tcW w:w="0" w:type="auto"/>
          </w:tcPr>
          <w:p w14:paraId="38BB671A" w14:textId="77777777" w:rsidR="00B820ED" w:rsidRPr="00CB499E" w:rsidRDefault="00B820ED" w:rsidP="00B820ED">
            <w:pPr>
              <w:rPr>
                <w:sz w:val="24"/>
                <w:szCs w:val="24"/>
              </w:rPr>
            </w:pPr>
            <w:r w:rsidRPr="00CB499E">
              <w:rPr>
                <w:sz w:val="24"/>
                <w:szCs w:val="24"/>
              </w:rPr>
              <w:t>Health Effects Laboratory Division, Bioanalytics Branch, National Institute for Occupational Safety and Health, Morgantown, WV</w:t>
            </w:r>
          </w:p>
        </w:tc>
        <w:tc>
          <w:tcPr>
            <w:tcW w:w="0" w:type="auto"/>
          </w:tcPr>
          <w:p w14:paraId="086F1336" w14:textId="77777777" w:rsidR="00B820ED" w:rsidRPr="00CB499E" w:rsidRDefault="00B820ED" w:rsidP="00B820ED">
            <w:pPr>
              <w:rPr>
                <w:sz w:val="24"/>
                <w:szCs w:val="24"/>
              </w:rPr>
            </w:pPr>
            <w:r w:rsidRPr="00CB499E">
              <w:rPr>
                <w:sz w:val="24"/>
                <w:szCs w:val="24"/>
              </w:rPr>
              <w:t>oph6@cdc.gov</w:t>
            </w:r>
          </w:p>
        </w:tc>
      </w:tr>
      <w:tr w:rsidR="00B820ED" w:rsidRPr="00CB499E" w14:paraId="7AE93766" w14:textId="77777777" w:rsidTr="004A3153">
        <w:trPr>
          <w:cantSplit/>
        </w:trPr>
        <w:tc>
          <w:tcPr>
            <w:tcW w:w="0" w:type="auto"/>
          </w:tcPr>
          <w:p w14:paraId="54143EDD" w14:textId="7BDF3C32" w:rsidR="00B820ED" w:rsidRPr="00CB499E" w:rsidRDefault="00B820ED" w:rsidP="00B820ED">
            <w:pPr>
              <w:rPr>
                <w:sz w:val="24"/>
                <w:szCs w:val="24"/>
              </w:rPr>
            </w:pPr>
            <w:r w:rsidRPr="00CB499E">
              <w:rPr>
                <w:sz w:val="24"/>
                <w:szCs w:val="24"/>
              </w:rPr>
              <w:t>Angela R. Lemons</w:t>
            </w:r>
          </w:p>
        </w:tc>
        <w:tc>
          <w:tcPr>
            <w:tcW w:w="0" w:type="auto"/>
          </w:tcPr>
          <w:p w14:paraId="27BC9893" w14:textId="3E153B3B" w:rsidR="00B820ED" w:rsidRPr="00CB499E" w:rsidRDefault="00B820ED" w:rsidP="00B820ED">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093615A6" w14:textId="4F8E2405" w:rsidR="00B820ED" w:rsidRPr="00CB499E" w:rsidRDefault="00B820ED" w:rsidP="00B820ED">
            <w:pPr>
              <w:rPr>
                <w:sz w:val="24"/>
                <w:szCs w:val="24"/>
              </w:rPr>
            </w:pPr>
            <w:r w:rsidRPr="00CB499E">
              <w:rPr>
                <w:sz w:val="24"/>
                <w:szCs w:val="24"/>
              </w:rPr>
              <w:t>wrw0@cdc.gov</w:t>
            </w:r>
          </w:p>
        </w:tc>
      </w:tr>
      <w:tr w:rsidR="00B820ED" w:rsidRPr="00CB499E" w14:paraId="2CE49D32" w14:textId="77777777" w:rsidTr="004A3153">
        <w:trPr>
          <w:cantSplit/>
        </w:trPr>
        <w:tc>
          <w:tcPr>
            <w:tcW w:w="0" w:type="auto"/>
          </w:tcPr>
          <w:p w14:paraId="4982E24C" w14:textId="3C681D42" w:rsidR="00B820ED" w:rsidRPr="00CB499E" w:rsidRDefault="00B820ED" w:rsidP="00B820ED">
            <w:pPr>
              <w:rPr>
                <w:sz w:val="24"/>
                <w:szCs w:val="24"/>
              </w:rPr>
            </w:pPr>
            <w:r w:rsidRPr="00CB499E">
              <w:rPr>
                <w:sz w:val="24"/>
                <w:szCs w:val="24"/>
              </w:rPr>
              <w:t xml:space="preserve">Stephen </w:t>
            </w:r>
            <w:r w:rsidR="004702CC" w:rsidRPr="00CB499E">
              <w:rPr>
                <w:sz w:val="24"/>
                <w:szCs w:val="24"/>
              </w:rPr>
              <w:t xml:space="preserve">B. </w:t>
            </w:r>
            <w:r w:rsidRPr="00CB499E">
              <w:rPr>
                <w:sz w:val="24"/>
                <w:szCs w:val="24"/>
              </w:rPr>
              <w:t>Martin</w:t>
            </w:r>
          </w:p>
        </w:tc>
        <w:tc>
          <w:tcPr>
            <w:tcW w:w="0" w:type="auto"/>
          </w:tcPr>
          <w:p w14:paraId="3D304F35" w14:textId="4567082B" w:rsidR="00B820ED" w:rsidRPr="00CB499E" w:rsidRDefault="00B820ED" w:rsidP="00B820ED">
            <w:pPr>
              <w:rPr>
                <w:sz w:val="24"/>
                <w:szCs w:val="24"/>
              </w:rPr>
            </w:pPr>
            <w:r w:rsidRPr="00CB499E">
              <w:rPr>
                <w:sz w:val="24"/>
                <w:szCs w:val="24"/>
              </w:rPr>
              <w:t>Respiratory Health Division, Field Studies Branch, National Institute for Occupational Safety and Health, Morgantown, WV</w:t>
            </w:r>
          </w:p>
        </w:tc>
        <w:tc>
          <w:tcPr>
            <w:tcW w:w="0" w:type="auto"/>
          </w:tcPr>
          <w:p w14:paraId="015B76AE" w14:textId="7FE0F9EA" w:rsidR="00B820ED" w:rsidRPr="00CB499E" w:rsidRDefault="00B820ED" w:rsidP="00B820ED">
            <w:pPr>
              <w:rPr>
                <w:sz w:val="24"/>
                <w:szCs w:val="24"/>
              </w:rPr>
            </w:pPr>
            <w:r w:rsidRPr="00CB499E">
              <w:rPr>
                <w:sz w:val="24"/>
                <w:szCs w:val="24"/>
              </w:rPr>
              <w:t>stm9@cdc.gov</w:t>
            </w:r>
          </w:p>
        </w:tc>
      </w:tr>
      <w:tr w:rsidR="00B820ED" w:rsidRPr="00CB499E" w14:paraId="3A05FD5B" w14:textId="77777777" w:rsidTr="004A3153">
        <w:trPr>
          <w:cantSplit/>
        </w:trPr>
        <w:tc>
          <w:tcPr>
            <w:tcW w:w="0" w:type="auto"/>
          </w:tcPr>
          <w:p w14:paraId="3BA75FA3" w14:textId="73E34F63" w:rsidR="00B820ED" w:rsidRPr="00CB499E" w:rsidRDefault="00B820ED" w:rsidP="00B820ED">
            <w:pPr>
              <w:rPr>
                <w:sz w:val="24"/>
                <w:szCs w:val="24"/>
              </w:rPr>
            </w:pPr>
            <w:r w:rsidRPr="00CB499E">
              <w:rPr>
                <w:sz w:val="24"/>
                <w:szCs w:val="24"/>
              </w:rPr>
              <w:t>Kenneth R. Mead</w:t>
            </w:r>
          </w:p>
        </w:tc>
        <w:tc>
          <w:tcPr>
            <w:tcW w:w="0" w:type="auto"/>
          </w:tcPr>
          <w:p w14:paraId="1F0CD55F" w14:textId="7FB49E04" w:rsidR="00B820ED" w:rsidRPr="00CB499E" w:rsidRDefault="00B820ED" w:rsidP="00B820ED">
            <w:pPr>
              <w:rPr>
                <w:sz w:val="24"/>
                <w:szCs w:val="24"/>
              </w:rPr>
            </w:pPr>
            <w:r w:rsidRPr="00CB499E">
              <w:rPr>
                <w:sz w:val="24"/>
                <w:szCs w:val="24"/>
              </w:rPr>
              <w:t>Division of Field Studies and Engineering, Engineering and Physical Hazards Branch, National Institute for Occupational Safety and Health, Cincinnati, OH</w:t>
            </w:r>
          </w:p>
        </w:tc>
        <w:tc>
          <w:tcPr>
            <w:tcW w:w="0" w:type="auto"/>
          </w:tcPr>
          <w:p w14:paraId="4A62593B" w14:textId="59199ABD" w:rsidR="00B820ED" w:rsidRPr="00CB499E" w:rsidRDefault="00B820ED" w:rsidP="00B820ED">
            <w:pPr>
              <w:rPr>
                <w:sz w:val="24"/>
                <w:szCs w:val="24"/>
              </w:rPr>
            </w:pPr>
            <w:r w:rsidRPr="00CB499E">
              <w:rPr>
                <w:sz w:val="24"/>
                <w:szCs w:val="24"/>
              </w:rPr>
              <w:t>kcm3@cdc.gov</w:t>
            </w:r>
          </w:p>
        </w:tc>
      </w:tr>
      <w:tr w:rsidR="00B820ED" w:rsidRPr="00CB499E" w14:paraId="435621A3" w14:textId="77777777" w:rsidTr="004A3153">
        <w:trPr>
          <w:cantSplit/>
        </w:trPr>
        <w:tc>
          <w:tcPr>
            <w:tcW w:w="0" w:type="auto"/>
          </w:tcPr>
          <w:p w14:paraId="14BA7CA8" w14:textId="3E7233BD" w:rsidR="00B820ED" w:rsidRPr="00CB499E" w:rsidRDefault="00B820ED" w:rsidP="00B820ED">
            <w:pPr>
              <w:rPr>
                <w:sz w:val="24"/>
                <w:szCs w:val="24"/>
              </w:rPr>
            </w:pPr>
            <w:r w:rsidRPr="00CB499E">
              <w:rPr>
                <w:sz w:val="24"/>
                <w:szCs w:val="24"/>
              </w:rPr>
              <w:t>Steve Fotta</w:t>
            </w:r>
          </w:p>
        </w:tc>
        <w:tc>
          <w:tcPr>
            <w:tcW w:w="0" w:type="auto"/>
          </w:tcPr>
          <w:p w14:paraId="514CF6FF" w14:textId="04DFAD4E" w:rsidR="00B820ED" w:rsidRPr="00CB499E" w:rsidRDefault="00B820ED" w:rsidP="00B820ED">
            <w:pPr>
              <w:rPr>
                <w:sz w:val="24"/>
                <w:szCs w:val="24"/>
              </w:rPr>
            </w:pPr>
            <w:r w:rsidRPr="00CB499E">
              <w:rPr>
                <w:sz w:val="24"/>
                <w:szCs w:val="24"/>
              </w:rPr>
              <w:t>Health Effects Laboratory Division, Office of the Director, National Institute for Occupational Safety and Health, Morgantown, WV</w:t>
            </w:r>
          </w:p>
        </w:tc>
        <w:tc>
          <w:tcPr>
            <w:tcW w:w="0" w:type="auto"/>
          </w:tcPr>
          <w:p w14:paraId="10AC76CC" w14:textId="6F756C31" w:rsidR="00B820ED" w:rsidRPr="00CB499E" w:rsidRDefault="00B820ED" w:rsidP="00B820ED">
            <w:pPr>
              <w:rPr>
                <w:sz w:val="24"/>
                <w:szCs w:val="24"/>
              </w:rPr>
            </w:pPr>
            <w:r w:rsidRPr="00CB499E">
              <w:rPr>
                <w:sz w:val="24"/>
                <w:szCs w:val="24"/>
              </w:rPr>
              <w:t>sff4@cdc.gov</w:t>
            </w:r>
          </w:p>
        </w:tc>
      </w:tr>
      <w:tr w:rsidR="00B820ED" w:rsidRPr="00CB499E" w14:paraId="6038B9C8" w14:textId="77777777" w:rsidTr="004A3153">
        <w:trPr>
          <w:cantSplit/>
        </w:trPr>
        <w:tc>
          <w:tcPr>
            <w:tcW w:w="0" w:type="auto"/>
          </w:tcPr>
          <w:p w14:paraId="5FFF49CD" w14:textId="77777777" w:rsidR="00B820ED" w:rsidRPr="00CB499E" w:rsidRDefault="00B820ED" w:rsidP="00B820ED">
            <w:pPr>
              <w:rPr>
                <w:sz w:val="24"/>
                <w:szCs w:val="24"/>
              </w:rPr>
            </w:pPr>
            <w:r w:rsidRPr="00CB499E">
              <w:rPr>
                <w:sz w:val="24"/>
                <w:szCs w:val="24"/>
              </w:rPr>
              <w:t>Jeffrey S. Reynolds</w:t>
            </w:r>
          </w:p>
        </w:tc>
        <w:tc>
          <w:tcPr>
            <w:tcW w:w="0" w:type="auto"/>
          </w:tcPr>
          <w:p w14:paraId="5FBF2027" w14:textId="77777777" w:rsidR="00B820ED" w:rsidRPr="00CB499E" w:rsidRDefault="00B820ED" w:rsidP="00B820ED">
            <w:pPr>
              <w:rPr>
                <w:sz w:val="24"/>
                <w:szCs w:val="24"/>
              </w:rPr>
            </w:pPr>
            <w:r w:rsidRPr="00CB499E">
              <w:rPr>
                <w:sz w:val="24"/>
                <w:szCs w:val="24"/>
              </w:rPr>
              <w:t>Health Effects Laboratory Division, Physical Effects Research Branch, National Institute for Occupational Safety and Health, Morgantown, WV</w:t>
            </w:r>
          </w:p>
        </w:tc>
        <w:tc>
          <w:tcPr>
            <w:tcW w:w="0" w:type="auto"/>
          </w:tcPr>
          <w:p w14:paraId="42415A79" w14:textId="77777777" w:rsidR="00B820ED" w:rsidRPr="00CB499E" w:rsidRDefault="00B820ED" w:rsidP="00B820ED">
            <w:pPr>
              <w:rPr>
                <w:sz w:val="24"/>
                <w:szCs w:val="24"/>
              </w:rPr>
            </w:pPr>
            <w:r w:rsidRPr="00CB499E">
              <w:rPr>
                <w:sz w:val="24"/>
                <w:szCs w:val="24"/>
              </w:rPr>
              <w:t>jsr0@cdc.gov</w:t>
            </w:r>
          </w:p>
        </w:tc>
      </w:tr>
      <w:tr w:rsidR="00B820ED" w:rsidRPr="00CB499E" w14:paraId="6090C127" w14:textId="77777777" w:rsidTr="004A3153">
        <w:trPr>
          <w:cantSplit/>
        </w:trPr>
        <w:tc>
          <w:tcPr>
            <w:tcW w:w="0" w:type="auto"/>
          </w:tcPr>
          <w:p w14:paraId="7B3C2816" w14:textId="77777777" w:rsidR="00B820ED" w:rsidRPr="00CB499E" w:rsidRDefault="00B820ED" w:rsidP="00B820ED">
            <w:pPr>
              <w:rPr>
                <w:sz w:val="24"/>
                <w:szCs w:val="24"/>
              </w:rPr>
            </w:pPr>
            <w:r w:rsidRPr="00CB499E">
              <w:rPr>
                <w:sz w:val="24"/>
                <w:szCs w:val="24"/>
              </w:rPr>
              <w:lastRenderedPageBreak/>
              <w:t>Walter G. McKinney</w:t>
            </w:r>
          </w:p>
        </w:tc>
        <w:tc>
          <w:tcPr>
            <w:tcW w:w="0" w:type="auto"/>
          </w:tcPr>
          <w:p w14:paraId="4DDACC8D" w14:textId="77777777" w:rsidR="00B820ED" w:rsidRPr="00CB499E" w:rsidRDefault="00B820ED" w:rsidP="00B820ED">
            <w:pPr>
              <w:rPr>
                <w:sz w:val="24"/>
                <w:szCs w:val="24"/>
              </w:rPr>
            </w:pPr>
            <w:r w:rsidRPr="00CB499E">
              <w:rPr>
                <w:sz w:val="24"/>
                <w:szCs w:val="24"/>
              </w:rPr>
              <w:t>Health Effects Laboratory Division, Physical Effects Research Branch, National Institute for Occupational Safety and Health, Morgantown, WV</w:t>
            </w:r>
          </w:p>
        </w:tc>
        <w:tc>
          <w:tcPr>
            <w:tcW w:w="0" w:type="auto"/>
          </w:tcPr>
          <w:p w14:paraId="5DE6211A" w14:textId="77777777" w:rsidR="00B820ED" w:rsidRPr="00CB499E" w:rsidRDefault="00B820ED" w:rsidP="00B820ED">
            <w:pPr>
              <w:rPr>
                <w:sz w:val="24"/>
                <w:szCs w:val="24"/>
              </w:rPr>
            </w:pPr>
            <w:r w:rsidRPr="00CB499E">
              <w:rPr>
                <w:sz w:val="24"/>
                <w:szCs w:val="24"/>
              </w:rPr>
              <w:t>wdm9@cdc.gov</w:t>
            </w:r>
          </w:p>
        </w:tc>
      </w:tr>
      <w:tr w:rsidR="00B820ED" w:rsidRPr="00CB499E" w14:paraId="66B61447" w14:textId="77777777" w:rsidTr="004A3153">
        <w:trPr>
          <w:cantSplit/>
        </w:trPr>
        <w:tc>
          <w:tcPr>
            <w:tcW w:w="0" w:type="auto"/>
          </w:tcPr>
          <w:p w14:paraId="2C4EE5C9" w14:textId="156C999D" w:rsidR="00B820ED" w:rsidRPr="00CB499E" w:rsidRDefault="00B820ED" w:rsidP="00B820ED">
            <w:pPr>
              <w:rPr>
                <w:sz w:val="24"/>
                <w:szCs w:val="24"/>
              </w:rPr>
            </w:pPr>
            <w:r w:rsidRPr="00CB499E">
              <w:rPr>
                <w:sz w:val="24"/>
                <w:szCs w:val="24"/>
              </w:rPr>
              <w:t>Donald H. Beezhold</w:t>
            </w:r>
          </w:p>
        </w:tc>
        <w:tc>
          <w:tcPr>
            <w:tcW w:w="0" w:type="auto"/>
          </w:tcPr>
          <w:p w14:paraId="69D22A15" w14:textId="024DD0A4" w:rsidR="00B820ED" w:rsidRPr="00CB499E" w:rsidRDefault="00B820ED" w:rsidP="00B820ED">
            <w:pPr>
              <w:rPr>
                <w:sz w:val="24"/>
                <w:szCs w:val="24"/>
              </w:rPr>
            </w:pPr>
            <w:r w:rsidRPr="00CB499E">
              <w:rPr>
                <w:sz w:val="24"/>
                <w:szCs w:val="24"/>
              </w:rPr>
              <w:t>Health Effects Laboratory Division, Office of the Director, National Institute for Occupational Safety and Health, Morgantown, WV</w:t>
            </w:r>
          </w:p>
        </w:tc>
        <w:tc>
          <w:tcPr>
            <w:tcW w:w="0" w:type="auto"/>
          </w:tcPr>
          <w:p w14:paraId="3EA54E35" w14:textId="7E49C451" w:rsidR="00B820ED" w:rsidRPr="00CB499E" w:rsidRDefault="00B820ED" w:rsidP="00B820ED">
            <w:pPr>
              <w:rPr>
                <w:sz w:val="24"/>
                <w:szCs w:val="24"/>
              </w:rPr>
            </w:pPr>
            <w:r w:rsidRPr="00CB499E">
              <w:rPr>
                <w:sz w:val="24"/>
                <w:szCs w:val="24"/>
              </w:rPr>
              <w:t>zec1@cdc.gov</w:t>
            </w:r>
          </w:p>
        </w:tc>
      </w:tr>
      <w:tr w:rsidR="00B820ED" w:rsidRPr="00CB499E" w14:paraId="43EBDF02" w14:textId="77777777" w:rsidTr="004A3153">
        <w:trPr>
          <w:cantSplit/>
        </w:trPr>
        <w:tc>
          <w:tcPr>
            <w:tcW w:w="0" w:type="auto"/>
          </w:tcPr>
          <w:p w14:paraId="7234DD81" w14:textId="302A5F91" w:rsidR="00B820ED" w:rsidRPr="00CB499E" w:rsidRDefault="00B820ED" w:rsidP="00B820ED">
            <w:pPr>
              <w:rPr>
                <w:sz w:val="24"/>
                <w:szCs w:val="24"/>
              </w:rPr>
            </w:pPr>
            <w:r w:rsidRPr="00CB499E">
              <w:rPr>
                <w:sz w:val="24"/>
                <w:szCs w:val="24"/>
              </w:rPr>
              <w:t>Erik W. Sinsel</w:t>
            </w:r>
          </w:p>
        </w:tc>
        <w:tc>
          <w:tcPr>
            <w:tcW w:w="0" w:type="auto"/>
          </w:tcPr>
          <w:p w14:paraId="71228569" w14:textId="64A10AC6" w:rsidR="00B820ED" w:rsidRPr="00CB499E" w:rsidRDefault="00B820ED" w:rsidP="00B820ED">
            <w:pPr>
              <w:rPr>
                <w:sz w:val="24"/>
                <w:szCs w:val="24"/>
              </w:rPr>
            </w:pPr>
            <w:r w:rsidRPr="00CB499E">
              <w:rPr>
                <w:sz w:val="24"/>
                <w:szCs w:val="24"/>
              </w:rPr>
              <w:t>Health Effects Laboratory Division, Physical Effects Research Branch, National Institute for Occupational Safety and Health, Morgantown, WV</w:t>
            </w:r>
          </w:p>
        </w:tc>
        <w:tc>
          <w:tcPr>
            <w:tcW w:w="0" w:type="auto"/>
          </w:tcPr>
          <w:p w14:paraId="54650E8B" w14:textId="11274A9D" w:rsidR="00B820ED" w:rsidRPr="00CB499E" w:rsidRDefault="00B820ED" w:rsidP="00B820ED">
            <w:pPr>
              <w:rPr>
                <w:sz w:val="24"/>
                <w:szCs w:val="24"/>
              </w:rPr>
            </w:pPr>
            <w:r w:rsidRPr="00CB499E">
              <w:rPr>
                <w:sz w:val="24"/>
                <w:szCs w:val="24"/>
              </w:rPr>
              <w:t>eur2@cdc.gov</w:t>
            </w:r>
          </w:p>
        </w:tc>
      </w:tr>
      <w:tr w:rsidR="00B820ED" w:rsidRPr="00CB499E" w14:paraId="7C9C3251" w14:textId="77777777" w:rsidTr="004A3153">
        <w:trPr>
          <w:cantSplit/>
        </w:trPr>
        <w:tc>
          <w:tcPr>
            <w:tcW w:w="0" w:type="auto"/>
          </w:tcPr>
          <w:p w14:paraId="5978EB50" w14:textId="77777777" w:rsidR="00B820ED" w:rsidRPr="00CB499E" w:rsidRDefault="00B820ED" w:rsidP="00B820ED">
            <w:pPr>
              <w:rPr>
                <w:sz w:val="24"/>
                <w:szCs w:val="24"/>
              </w:rPr>
            </w:pPr>
            <w:r w:rsidRPr="00CB499E">
              <w:rPr>
                <w:sz w:val="24"/>
                <w:szCs w:val="24"/>
              </w:rPr>
              <w:t>John D. Noti</w:t>
            </w:r>
          </w:p>
        </w:tc>
        <w:tc>
          <w:tcPr>
            <w:tcW w:w="0" w:type="auto"/>
          </w:tcPr>
          <w:p w14:paraId="0EE84BC9" w14:textId="77777777" w:rsidR="00B820ED" w:rsidRPr="00CB499E" w:rsidRDefault="00B820ED" w:rsidP="00B820ED">
            <w:pPr>
              <w:rPr>
                <w:sz w:val="24"/>
                <w:szCs w:val="24"/>
              </w:rPr>
            </w:pPr>
            <w:r w:rsidRPr="00CB499E">
              <w:rPr>
                <w:sz w:val="24"/>
                <w:szCs w:val="24"/>
              </w:rPr>
              <w:t>Health Effects Laboratory Division, Allergy and Clinical Immunology Branch, National Institute for Occupational Safety and Health, Morgantown, WV</w:t>
            </w:r>
          </w:p>
        </w:tc>
        <w:tc>
          <w:tcPr>
            <w:tcW w:w="0" w:type="auto"/>
          </w:tcPr>
          <w:p w14:paraId="00B00AD5" w14:textId="77777777" w:rsidR="00B820ED" w:rsidRPr="00CB499E" w:rsidRDefault="00B820ED" w:rsidP="00B820ED">
            <w:pPr>
              <w:rPr>
                <w:sz w:val="24"/>
                <w:szCs w:val="24"/>
              </w:rPr>
            </w:pPr>
            <w:r w:rsidRPr="00CB499E">
              <w:rPr>
                <w:sz w:val="24"/>
                <w:szCs w:val="24"/>
              </w:rPr>
              <w:t>ivr2@cdc.gov</w:t>
            </w:r>
          </w:p>
        </w:tc>
      </w:tr>
    </w:tbl>
    <w:p w14:paraId="14AC2CA7" w14:textId="77777777" w:rsidR="007E041A" w:rsidRPr="00CB499E" w:rsidRDefault="007E041A" w:rsidP="009B52E6">
      <w:pPr>
        <w:spacing w:line="240" w:lineRule="auto"/>
        <w:jc w:val="both"/>
        <w:rPr>
          <w:rFonts w:cs="Times New Roman"/>
          <w:szCs w:val="24"/>
        </w:rPr>
      </w:pPr>
    </w:p>
    <w:p w14:paraId="38020D9A" w14:textId="41D09B52" w:rsidR="003C6718" w:rsidRPr="00CB499E" w:rsidRDefault="003C6718" w:rsidP="009B52E6">
      <w:pPr>
        <w:spacing w:line="240" w:lineRule="auto"/>
        <w:jc w:val="both"/>
        <w:rPr>
          <w:rFonts w:cs="Times New Roman"/>
          <w:szCs w:val="24"/>
        </w:rPr>
      </w:pPr>
    </w:p>
    <w:p w14:paraId="1573F71B" w14:textId="362A5E79" w:rsidR="003C6718" w:rsidRPr="00CB499E" w:rsidRDefault="003C6718" w:rsidP="009B52E6">
      <w:pPr>
        <w:spacing w:line="240" w:lineRule="auto"/>
        <w:jc w:val="both"/>
        <w:rPr>
          <w:rFonts w:cs="Times New Roman"/>
          <w:b/>
          <w:bCs/>
          <w:szCs w:val="24"/>
        </w:rPr>
      </w:pPr>
      <w:r w:rsidRPr="00CB499E">
        <w:rPr>
          <w:rFonts w:cs="Times New Roman"/>
          <w:b/>
          <w:bCs/>
          <w:szCs w:val="24"/>
        </w:rPr>
        <w:t>Contact</w:t>
      </w:r>
    </w:p>
    <w:p w14:paraId="7E9E04F0" w14:textId="77777777" w:rsidR="00FC61C4" w:rsidRPr="00CB499E" w:rsidRDefault="00FC61C4" w:rsidP="00FC61C4">
      <w:pPr>
        <w:spacing w:line="240" w:lineRule="auto"/>
        <w:ind w:left="360"/>
        <w:jc w:val="both"/>
        <w:rPr>
          <w:rFonts w:cs="Times New Roman"/>
          <w:szCs w:val="24"/>
        </w:rPr>
      </w:pPr>
      <w:r w:rsidRPr="00CB499E">
        <w:rPr>
          <w:rFonts w:cs="Times New Roman"/>
          <w:szCs w:val="24"/>
        </w:rPr>
        <w:t>For further information contact:</w:t>
      </w:r>
    </w:p>
    <w:p w14:paraId="0F305C8F" w14:textId="77777777" w:rsidR="00FC61C4" w:rsidRPr="00CB499E" w:rsidRDefault="00FC61C4" w:rsidP="00FC61C4">
      <w:pPr>
        <w:spacing w:line="240" w:lineRule="auto"/>
        <w:ind w:left="360"/>
        <w:jc w:val="both"/>
        <w:rPr>
          <w:rFonts w:cs="Times New Roman"/>
          <w:szCs w:val="24"/>
        </w:rPr>
      </w:pPr>
      <w:r w:rsidRPr="00CB499E">
        <w:rPr>
          <w:rFonts w:cs="Times New Roman"/>
          <w:szCs w:val="24"/>
        </w:rPr>
        <w:t>Allergy and Clinical Immunology Branch (ACIB),</w:t>
      </w:r>
    </w:p>
    <w:p w14:paraId="4D5B86AE" w14:textId="77777777" w:rsidR="00FC61C4" w:rsidRPr="00CB499E" w:rsidRDefault="00FC61C4" w:rsidP="00FC61C4">
      <w:pPr>
        <w:spacing w:line="240" w:lineRule="auto"/>
        <w:ind w:left="360"/>
        <w:jc w:val="both"/>
        <w:rPr>
          <w:rFonts w:cs="Times New Roman"/>
          <w:szCs w:val="24"/>
        </w:rPr>
      </w:pPr>
      <w:r w:rsidRPr="00CB499E">
        <w:rPr>
          <w:rFonts w:cs="Times New Roman"/>
          <w:szCs w:val="24"/>
        </w:rPr>
        <w:t>Health Effects Laboratory Division (HELD),</w:t>
      </w:r>
    </w:p>
    <w:p w14:paraId="4B4AABE9" w14:textId="77777777" w:rsidR="00FC61C4" w:rsidRPr="00CB499E" w:rsidRDefault="00FC61C4" w:rsidP="00FC61C4">
      <w:pPr>
        <w:spacing w:line="240" w:lineRule="auto"/>
        <w:ind w:left="360"/>
        <w:jc w:val="both"/>
        <w:rPr>
          <w:rFonts w:cs="Times New Roman"/>
          <w:szCs w:val="24"/>
        </w:rPr>
      </w:pPr>
      <w:r w:rsidRPr="00CB499E">
        <w:rPr>
          <w:rFonts w:cs="Times New Roman"/>
          <w:szCs w:val="24"/>
        </w:rPr>
        <w:t>National Institute for Occupational Safety and Health (NIOSH),</w:t>
      </w:r>
    </w:p>
    <w:p w14:paraId="2B568F8A" w14:textId="0AB1D64D" w:rsidR="003C6718" w:rsidRPr="00CB499E" w:rsidRDefault="00FC61C4" w:rsidP="00FC61C4">
      <w:pPr>
        <w:spacing w:line="240" w:lineRule="auto"/>
        <w:ind w:left="360"/>
        <w:jc w:val="both"/>
        <w:rPr>
          <w:rFonts w:cs="Times New Roman"/>
          <w:szCs w:val="24"/>
        </w:rPr>
      </w:pPr>
      <w:r w:rsidRPr="00CB499E">
        <w:rPr>
          <w:rFonts w:cs="Times New Roman"/>
          <w:szCs w:val="24"/>
        </w:rPr>
        <w:t>Morgantown, WV</w:t>
      </w:r>
    </w:p>
    <w:sectPr w:rsidR="003C6718" w:rsidRPr="00CB4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3C6A" w14:textId="77777777" w:rsidR="00284F7F" w:rsidRDefault="00284F7F" w:rsidP="00C63948">
      <w:pPr>
        <w:spacing w:line="240" w:lineRule="auto"/>
      </w:pPr>
      <w:r>
        <w:separator/>
      </w:r>
    </w:p>
  </w:endnote>
  <w:endnote w:type="continuationSeparator" w:id="0">
    <w:p w14:paraId="0BDB061F" w14:textId="77777777" w:rsidR="00284F7F" w:rsidRDefault="00284F7F" w:rsidP="00C63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7E3E" w14:textId="77777777" w:rsidR="00284F7F" w:rsidRDefault="00284F7F" w:rsidP="00C63948">
      <w:pPr>
        <w:spacing w:line="240" w:lineRule="auto"/>
      </w:pPr>
      <w:r>
        <w:separator/>
      </w:r>
    </w:p>
  </w:footnote>
  <w:footnote w:type="continuationSeparator" w:id="0">
    <w:p w14:paraId="3ECD58D6" w14:textId="77777777" w:rsidR="00284F7F" w:rsidRDefault="00284F7F" w:rsidP="00C63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A4F27"/>
    <w:multiLevelType w:val="hybridMultilevel"/>
    <w:tmpl w:val="2BC20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C5D04"/>
    <w:multiLevelType w:val="hybridMultilevel"/>
    <w:tmpl w:val="62A84BBA"/>
    <w:lvl w:ilvl="0" w:tplc="C67E6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8"/>
    <w:rsid w:val="000310D6"/>
    <w:rsid w:val="00032162"/>
    <w:rsid w:val="0003725A"/>
    <w:rsid w:val="00086B5F"/>
    <w:rsid w:val="000A458E"/>
    <w:rsid w:val="000C2750"/>
    <w:rsid w:val="000E0DF7"/>
    <w:rsid w:val="00100689"/>
    <w:rsid w:val="0014212E"/>
    <w:rsid w:val="00153F48"/>
    <w:rsid w:val="0016579B"/>
    <w:rsid w:val="00177D88"/>
    <w:rsid w:val="001814F9"/>
    <w:rsid w:val="00195BA7"/>
    <w:rsid w:val="00196C5A"/>
    <w:rsid w:val="001B7BDD"/>
    <w:rsid w:val="002218E4"/>
    <w:rsid w:val="00284F7F"/>
    <w:rsid w:val="002C70AB"/>
    <w:rsid w:val="002C7F30"/>
    <w:rsid w:val="002D23EA"/>
    <w:rsid w:val="003130A4"/>
    <w:rsid w:val="00370CF9"/>
    <w:rsid w:val="00376998"/>
    <w:rsid w:val="00377FF2"/>
    <w:rsid w:val="003B25C4"/>
    <w:rsid w:val="003C6718"/>
    <w:rsid w:val="003C6FF6"/>
    <w:rsid w:val="003C740A"/>
    <w:rsid w:val="003C79D5"/>
    <w:rsid w:val="003E20B2"/>
    <w:rsid w:val="004136DC"/>
    <w:rsid w:val="00416EA1"/>
    <w:rsid w:val="004702CC"/>
    <w:rsid w:val="004829DF"/>
    <w:rsid w:val="004915BF"/>
    <w:rsid w:val="0049705A"/>
    <w:rsid w:val="004B1B7C"/>
    <w:rsid w:val="004B7C9E"/>
    <w:rsid w:val="004D6FCB"/>
    <w:rsid w:val="00553E4C"/>
    <w:rsid w:val="00575C65"/>
    <w:rsid w:val="00583631"/>
    <w:rsid w:val="005A6CB9"/>
    <w:rsid w:val="005B3636"/>
    <w:rsid w:val="005C35E1"/>
    <w:rsid w:val="005F6BEE"/>
    <w:rsid w:val="00655CEE"/>
    <w:rsid w:val="00660F60"/>
    <w:rsid w:val="00677519"/>
    <w:rsid w:val="00690AC0"/>
    <w:rsid w:val="006B070A"/>
    <w:rsid w:val="006F279B"/>
    <w:rsid w:val="006F64CD"/>
    <w:rsid w:val="00706426"/>
    <w:rsid w:val="007112D1"/>
    <w:rsid w:val="007123CF"/>
    <w:rsid w:val="00723144"/>
    <w:rsid w:val="00741B72"/>
    <w:rsid w:val="00752979"/>
    <w:rsid w:val="0075509D"/>
    <w:rsid w:val="00777A2A"/>
    <w:rsid w:val="007A3979"/>
    <w:rsid w:val="007A69DA"/>
    <w:rsid w:val="007E041A"/>
    <w:rsid w:val="00803AF1"/>
    <w:rsid w:val="00813174"/>
    <w:rsid w:val="00843DBC"/>
    <w:rsid w:val="00844EB8"/>
    <w:rsid w:val="008C4ED5"/>
    <w:rsid w:val="00904BA5"/>
    <w:rsid w:val="00907FA0"/>
    <w:rsid w:val="00916F7F"/>
    <w:rsid w:val="009821E1"/>
    <w:rsid w:val="009B52E6"/>
    <w:rsid w:val="009D3A46"/>
    <w:rsid w:val="009D50DA"/>
    <w:rsid w:val="009E0901"/>
    <w:rsid w:val="009E0AD5"/>
    <w:rsid w:val="00A05EBD"/>
    <w:rsid w:val="00A55B90"/>
    <w:rsid w:val="00A67A07"/>
    <w:rsid w:val="00A71580"/>
    <w:rsid w:val="00A929CE"/>
    <w:rsid w:val="00AC2EF2"/>
    <w:rsid w:val="00B00555"/>
    <w:rsid w:val="00B26F71"/>
    <w:rsid w:val="00B36904"/>
    <w:rsid w:val="00B820ED"/>
    <w:rsid w:val="00BA0FAE"/>
    <w:rsid w:val="00BA7CDB"/>
    <w:rsid w:val="00BC14A2"/>
    <w:rsid w:val="00BD37AC"/>
    <w:rsid w:val="00BD4701"/>
    <w:rsid w:val="00BE5C37"/>
    <w:rsid w:val="00BF08D6"/>
    <w:rsid w:val="00BF302F"/>
    <w:rsid w:val="00BF4F6E"/>
    <w:rsid w:val="00C63948"/>
    <w:rsid w:val="00CB499E"/>
    <w:rsid w:val="00D15152"/>
    <w:rsid w:val="00D23568"/>
    <w:rsid w:val="00D93829"/>
    <w:rsid w:val="00DF7EB2"/>
    <w:rsid w:val="00E7313D"/>
    <w:rsid w:val="00E87949"/>
    <w:rsid w:val="00E907F1"/>
    <w:rsid w:val="00E96790"/>
    <w:rsid w:val="00EA3F8C"/>
    <w:rsid w:val="00EA49E9"/>
    <w:rsid w:val="00EB496C"/>
    <w:rsid w:val="00EC68C5"/>
    <w:rsid w:val="00EE111A"/>
    <w:rsid w:val="00EE7701"/>
    <w:rsid w:val="00EF1CFE"/>
    <w:rsid w:val="00EF664F"/>
    <w:rsid w:val="00F63CE8"/>
    <w:rsid w:val="00F642D4"/>
    <w:rsid w:val="00F90994"/>
    <w:rsid w:val="00FA3056"/>
    <w:rsid w:val="00F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D0119"/>
  <w15:chartTrackingRefBased/>
  <w15:docId w15:val="{945CB4BE-560F-42B2-9EFF-742F2D25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D5"/>
    <w:pPr>
      <w:spacing w:after="160"/>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196C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5A"/>
    <w:rPr>
      <w:rFonts w:ascii="Segoe UI" w:hAnsi="Segoe UI" w:cs="Segoe UI"/>
      <w:sz w:val="18"/>
      <w:szCs w:val="18"/>
    </w:rPr>
  </w:style>
  <w:style w:type="paragraph" w:styleId="NoSpacing">
    <w:name w:val="No Spacing"/>
    <w:uiPriority w:val="1"/>
    <w:qFormat/>
    <w:rsid w:val="003C6718"/>
    <w:pPr>
      <w:spacing w:line="240" w:lineRule="auto"/>
    </w:pPr>
    <w:rPr>
      <w:rFonts w:asciiTheme="minorHAnsi" w:hAnsiTheme="minorHAnsi"/>
      <w:sz w:val="22"/>
    </w:rPr>
  </w:style>
  <w:style w:type="table" w:customStyle="1" w:styleId="TableGrid1">
    <w:name w:val="Table Grid1"/>
    <w:basedOn w:val="TableNormal"/>
    <w:next w:val="TableGrid"/>
    <w:rsid w:val="007E041A"/>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4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3764">
      <w:bodyDiv w:val="1"/>
      <w:marLeft w:val="0"/>
      <w:marRight w:val="0"/>
      <w:marTop w:val="0"/>
      <w:marBottom w:val="0"/>
      <w:divBdr>
        <w:top w:val="none" w:sz="0" w:space="0" w:color="auto"/>
        <w:left w:val="none" w:sz="0" w:space="0" w:color="auto"/>
        <w:bottom w:val="none" w:sz="0" w:space="0" w:color="auto"/>
        <w:right w:val="none" w:sz="0" w:space="0" w:color="auto"/>
      </w:divBdr>
    </w:div>
    <w:div w:id="7000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Jayme (CDC/NIOSH/HELD/ACIB)</dc:creator>
  <cp:keywords/>
  <dc:description/>
  <cp:lastModifiedBy>Rehm, Carole Ann (CDC/NIOSH/HELD)</cp:lastModifiedBy>
  <cp:revision>5</cp:revision>
  <dcterms:created xsi:type="dcterms:W3CDTF">2022-01-19T14:57:00Z</dcterms:created>
  <dcterms:modified xsi:type="dcterms:W3CDTF">2022-01-20T12:07:00Z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2021-06-10T16:47:19Z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fb8e1f3c-eddc-4586-bba2-36ee3e4218bb</vt:lpwstr>
  </property>
  <property fmtid="{D5CDD505-2E9C-101B-9397-08002B2CF9AE}" pid="8" name="MSIP_Label_7b94a7b8-f06c-4dfe-bdcc-9b548fd58c31_ContentBits">
    <vt:lpwstr>0</vt:lpwstr>
  </property>
</Properties>
</file>