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51E5C" w14:textId="3EC4C2E8" w:rsidR="0067592C" w:rsidRPr="0067592C" w:rsidRDefault="001F360A" w:rsidP="00611F05">
      <w:pPr>
        <w:pStyle w:val="Heading1"/>
      </w:pPr>
      <w:r w:rsidRPr="00D7319E">
        <w:drawing>
          <wp:anchor distT="0" distB="0" distL="114300" distR="114300" simplePos="0" relativeHeight="251662336" behindDoc="1" locked="0" layoutInCell="1" allowOverlap="1" wp14:anchorId="5F651E5F" wp14:editId="5F945392">
            <wp:simplePos x="0" y="0"/>
            <wp:positionH relativeFrom="column">
              <wp:posOffset>-139148</wp:posOffset>
            </wp:positionH>
            <wp:positionV relativeFrom="paragraph">
              <wp:posOffset>442</wp:posOffset>
            </wp:positionV>
            <wp:extent cx="7248870" cy="636104"/>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ency_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56673" cy="645564"/>
                    </a:xfrm>
                    <a:prstGeom prst="rect">
                      <a:avLst/>
                    </a:prstGeom>
                  </pic:spPr>
                </pic:pic>
              </a:graphicData>
            </a:graphic>
            <wp14:sizeRelH relativeFrom="margin">
              <wp14:pctWidth>0</wp14:pctWidth>
            </wp14:sizeRelH>
            <wp14:sizeRelV relativeFrom="margin">
              <wp14:pctHeight>0</wp14:pctHeight>
            </wp14:sizeRelV>
          </wp:anchor>
        </w:drawing>
      </w:r>
      <w:r w:rsidR="00611F05" w:rsidRPr="00611F05">
        <w:t>Annual AU Option Data Validation</w:t>
      </w:r>
    </w:p>
    <w:p w14:paraId="3CF2541C" w14:textId="11D0E47A" w:rsidR="006D7240" w:rsidRPr="00455BC7" w:rsidRDefault="006D7240" w:rsidP="006D7240">
      <w:pPr>
        <w:rPr>
          <w:sz w:val="24"/>
          <w:szCs w:val="24"/>
        </w:rPr>
      </w:pPr>
      <w:r w:rsidRPr="00455BC7">
        <w:rPr>
          <w:sz w:val="24"/>
          <w:szCs w:val="24"/>
        </w:rPr>
        <w:t xml:space="preserve">Facilities should use the following guidance on an annual basis or in the event of extreme high or low SAAR values. The NHSN AU Option Team developed these questions to focus validation efforts on key </w:t>
      </w:r>
      <w:hyperlink r:id="rId9" w:history="1">
        <w:r w:rsidRPr="00455BC7">
          <w:rPr>
            <w:rStyle w:val="Hyperlink"/>
            <w:sz w:val="24"/>
            <w:szCs w:val="24"/>
          </w:rPr>
          <w:t>AU Option protocol</w:t>
        </w:r>
      </w:hyperlink>
      <w:r w:rsidRPr="00455BC7">
        <w:rPr>
          <w:sz w:val="24"/>
          <w:szCs w:val="24"/>
        </w:rPr>
        <w:t xml:space="preserve"> definitions and common data errors. We expect facilities</w:t>
      </w:r>
      <w:r w:rsidR="00D750FB">
        <w:rPr>
          <w:sz w:val="24"/>
          <w:szCs w:val="24"/>
        </w:rPr>
        <w:t xml:space="preserve"> to</w:t>
      </w:r>
      <w:r w:rsidRPr="00455BC7">
        <w:rPr>
          <w:sz w:val="24"/>
          <w:szCs w:val="24"/>
        </w:rPr>
        <w:t xml:space="preserve"> use this document internally. Facilities do not need to share the results with NHSN. </w:t>
      </w:r>
    </w:p>
    <w:p w14:paraId="37917C3B" w14:textId="373F019A" w:rsidR="006D7240" w:rsidRPr="00455BC7" w:rsidRDefault="006D7240" w:rsidP="006D7240">
      <w:pPr>
        <w:rPr>
          <w:sz w:val="24"/>
          <w:szCs w:val="24"/>
        </w:rPr>
      </w:pPr>
      <w:r w:rsidRPr="00455BC7">
        <w:rPr>
          <w:sz w:val="24"/>
          <w:szCs w:val="24"/>
        </w:rPr>
        <w:t xml:space="preserve">Facilities in the AU implementation process or that have recently switched EHR systems should use the separate, more detailed </w:t>
      </w:r>
      <w:hyperlink r:id="rId10" w:history="1">
        <w:r w:rsidRPr="00455BC7">
          <w:rPr>
            <w:rStyle w:val="Hyperlink"/>
            <w:sz w:val="24"/>
            <w:szCs w:val="24"/>
          </w:rPr>
          <w:t>AU Option Implementation Data Validation Protocol</w:t>
        </w:r>
      </w:hyperlink>
      <w:r w:rsidRPr="00455BC7">
        <w:rPr>
          <w:sz w:val="24"/>
          <w:szCs w:val="24"/>
        </w:rPr>
        <w:t>.</w:t>
      </w:r>
      <w:r w:rsidR="0079142A">
        <w:rPr>
          <w:sz w:val="24"/>
          <w:szCs w:val="24"/>
        </w:rPr>
        <w:t xml:space="preserve"> Facilities interested in validating AR Option data can refer to the </w:t>
      </w:r>
      <w:hyperlink r:id="rId11" w:history="1">
        <w:r w:rsidR="0079142A" w:rsidRPr="0079142A">
          <w:rPr>
            <w:rStyle w:val="Hyperlink"/>
            <w:sz w:val="24"/>
            <w:szCs w:val="24"/>
          </w:rPr>
          <w:t>AR Option Data Validation Protocol</w:t>
        </w:r>
      </w:hyperlink>
      <w:r w:rsidR="0079142A">
        <w:rPr>
          <w:sz w:val="24"/>
          <w:szCs w:val="24"/>
        </w:rPr>
        <w:t xml:space="preserve">. </w:t>
      </w:r>
    </w:p>
    <w:p w14:paraId="5F651E5D" w14:textId="12E3FCF1" w:rsidR="002D62E0" w:rsidRPr="00455BC7" w:rsidRDefault="006D7240" w:rsidP="006D7240">
      <w:pPr>
        <w:rPr>
          <w:sz w:val="24"/>
          <w:szCs w:val="24"/>
        </w:rPr>
      </w:pPr>
      <w:r w:rsidRPr="00455BC7">
        <w:rPr>
          <w:sz w:val="24"/>
          <w:szCs w:val="24"/>
        </w:rPr>
        <w:t xml:space="preserve">Please email questions to the NHSN Helpdesk: </w:t>
      </w:r>
      <w:hyperlink r:id="rId12" w:history="1">
        <w:r w:rsidRPr="00455BC7">
          <w:rPr>
            <w:rStyle w:val="Hyperlink"/>
            <w:sz w:val="24"/>
            <w:szCs w:val="24"/>
          </w:rPr>
          <w:t>NHSN@cdc.gov</w:t>
        </w:r>
      </w:hyperlink>
      <w:r w:rsidRPr="00455BC7">
        <w:rPr>
          <w:sz w:val="24"/>
          <w:szCs w:val="24"/>
        </w:rPr>
        <w:t>.</w:t>
      </w:r>
    </w:p>
    <w:p w14:paraId="112C109D" w14:textId="4752CDB9" w:rsidR="00E95D3D" w:rsidRPr="008267EC" w:rsidRDefault="006D7240" w:rsidP="006D7240">
      <w:pPr>
        <w:pStyle w:val="NoSpacing"/>
        <w:rPr>
          <w:b/>
          <w:sz w:val="30"/>
          <w:szCs w:val="30"/>
        </w:rPr>
      </w:pPr>
      <w:r w:rsidRPr="008267EC">
        <w:rPr>
          <w:b/>
          <w:sz w:val="30"/>
          <w:szCs w:val="30"/>
        </w:rPr>
        <w:t>Validation Checklist</w:t>
      </w:r>
    </w:p>
    <w:tbl>
      <w:tblPr>
        <w:tblStyle w:val="TableGrid"/>
        <w:tblW w:w="0" w:type="auto"/>
        <w:tblLook w:val="04A0" w:firstRow="1" w:lastRow="0" w:firstColumn="1" w:lastColumn="0" w:noHBand="0" w:noVBand="1"/>
        <w:tblCaption w:val="Validation checklist"/>
        <w:tblDescription w:val="Table of contents for validation checklist"/>
      </w:tblPr>
      <w:tblGrid>
        <w:gridCol w:w="7946"/>
        <w:gridCol w:w="1321"/>
        <w:gridCol w:w="803"/>
      </w:tblGrid>
      <w:tr w:rsidR="006D7240" w14:paraId="4FD0C125" w14:textId="77777777" w:rsidTr="006D7240">
        <w:trPr>
          <w:tblHeader/>
        </w:trPr>
        <w:tc>
          <w:tcPr>
            <w:tcW w:w="7946" w:type="dxa"/>
            <w:shd w:val="clear" w:color="auto" w:fill="A6A6A6" w:themeFill="background1" w:themeFillShade="A6"/>
          </w:tcPr>
          <w:p w14:paraId="44E819A3" w14:textId="77777777" w:rsidR="006D7240" w:rsidRPr="00152D40" w:rsidRDefault="006D7240" w:rsidP="006D7240">
            <w:pPr>
              <w:rPr>
                <w:b/>
                <w:sz w:val="24"/>
                <w:szCs w:val="24"/>
              </w:rPr>
            </w:pPr>
          </w:p>
        </w:tc>
        <w:tc>
          <w:tcPr>
            <w:tcW w:w="1321" w:type="dxa"/>
            <w:shd w:val="clear" w:color="auto" w:fill="A6A6A6" w:themeFill="background1" w:themeFillShade="A6"/>
          </w:tcPr>
          <w:p w14:paraId="172C59CF" w14:textId="77777777" w:rsidR="006D7240" w:rsidRPr="00152D40" w:rsidRDefault="006D7240" w:rsidP="006D7240">
            <w:pPr>
              <w:jc w:val="center"/>
              <w:rPr>
                <w:b/>
                <w:sz w:val="24"/>
                <w:szCs w:val="24"/>
              </w:rPr>
            </w:pPr>
            <w:r w:rsidRPr="00152D40">
              <w:rPr>
                <w:b/>
                <w:sz w:val="24"/>
                <w:szCs w:val="24"/>
              </w:rPr>
              <w:t>Complete</w:t>
            </w:r>
          </w:p>
        </w:tc>
        <w:tc>
          <w:tcPr>
            <w:tcW w:w="803" w:type="dxa"/>
            <w:shd w:val="clear" w:color="auto" w:fill="A6A6A6" w:themeFill="background1" w:themeFillShade="A6"/>
          </w:tcPr>
          <w:p w14:paraId="1B7E1AA4" w14:textId="77777777" w:rsidR="006D7240" w:rsidRPr="00152D40" w:rsidRDefault="006D7240" w:rsidP="006D7240">
            <w:pPr>
              <w:jc w:val="center"/>
              <w:rPr>
                <w:b/>
                <w:sz w:val="24"/>
                <w:szCs w:val="24"/>
              </w:rPr>
            </w:pPr>
            <w:r w:rsidRPr="00152D40">
              <w:rPr>
                <w:b/>
                <w:sz w:val="24"/>
                <w:szCs w:val="24"/>
              </w:rPr>
              <w:t>Page</w:t>
            </w:r>
          </w:p>
        </w:tc>
      </w:tr>
      <w:tr w:rsidR="006D7240" w14:paraId="08CAE0FC" w14:textId="77777777" w:rsidTr="006D7240">
        <w:tc>
          <w:tcPr>
            <w:tcW w:w="7946" w:type="dxa"/>
            <w:shd w:val="clear" w:color="auto" w:fill="D9D9D9" w:themeFill="background1" w:themeFillShade="D9"/>
          </w:tcPr>
          <w:p w14:paraId="168E91CB" w14:textId="6A8041C0" w:rsidR="006D7240" w:rsidRPr="00152D40" w:rsidRDefault="006D7240" w:rsidP="006D7240">
            <w:pPr>
              <w:rPr>
                <w:sz w:val="24"/>
                <w:szCs w:val="24"/>
              </w:rPr>
            </w:pPr>
            <w:r w:rsidRPr="00152D40">
              <w:rPr>
                <w:b/>
                <w:sz w:val="24"/>
                <w:szCs w:val="24"/>
              </w:rPr>
              <w:t>NHSN Location</w:t>
            </w:r>
            <w:r w:rsidR="008D2579">
              <w:rPr>
                <w:b/>
                <w:sz w:val="24"/>
                <w:szCs w:val="24"/>
              </w:rPr>
              <w:t xml:space="preserve"> Mapping</w:t>
            </w:r>
          </w:p>
        </w:tc>
        <w:sdt>
          <w:sdtPr>
            <w:rPr>
              <w:sz w:val="24"/>
              <w:szCs w:val="24"/>
            </w:rPr>
            <w:id w:val="-665088080"/>
            <w14:checkbox>
              <w14:checked w14:val="0"/>
              <w14:checkedState w14:val="2612" w14:font="MS Gothic"/>
              <w14:uncheckedState w14:val="2610" w14:font="MS Gothic"/>
            </w14:checkbox>
          </w:sdtPr>
          <w:sdtContent>
            <w:tc>
              <w:tcPr>
                <w:tcW w:w="1321" w:type="dxa"/>
              </w:tcPr>
              <w:p w14:paraId="767BDB0E" w14:textId="77777777" w:rsidR="006D7240" w:rsidRPr="00152D40" w:rsidRDefault="006D7240" w:rsidP="006D7240">
                <w:pPr>
                  <w:jc w:val="center"/>
                  <w:rPr>
                    <w:sz w:val="24"/>
                    <w:szCs w:val="24"/>
                  </w:rPr>
                </w:pPr>
                <w:r w:rsidRPr="00152D40">
                  <w:rPr>
                    <w:rFonts w:ascii="MS Gothic" w:eastAsia="MS Gothic" w:hAnsi="MS Gothic" w:hint="eastAsia"/>
                    <w:sz w:val="24"/>
                    <w:szCs w:val="24"/>
                  </w:rPr>
                  <w:t>☐</w:t>
                </w:r>
              </w:p>
            </w:tc>
          </w:sdtContent>
        </w:sdt>
        <w:tc>
          <w:tcPr>
            <w:tcW w:w="803" w:type="dxa"/>
          </w:tcPr>
          <w:p w14:paraId="088F9EC7" w14:textId="779C52E6" w:rsidR="006D7240" w:rsidRPr="00152D40" w:rsidRDefault="006F7673" w:rsidP="006D7240">
            <w:pPr>
              <w:jc w:val="center"/>
              <w:rPr>
                <w:sz w:val="24"/>
                <w:szCs w:val="24"/>
              </w:rPr>
            </w:pPr>
            <w:hyperlink w:anchor="_NHSN_Location_Mapping" w:history="1">
              <w:r w:rsidR="006D7240" w:rsidRPr="00152D40">
                <w:rPr>
                  <w:rStyle w:val="Hyperlink"/>
                  <w:sz w:val="24"/>
                  <w:szCs w:val="24"/>
                </w:rPr>
                <w:t>2</w:t>
              </w:r>
            </w:hyperlink>
          </w:p>
        </w:tc>
      </w:tr>
      <w:tr w:rsidR="006D7240" w14:paraId="0B81E866" w14:textId="77777777" w:rsidTr="006D7240">
        <w:tc>
          <w:tcPr>
            <w:tcW w:w="7946" w:type="dxa"/>
          </w:tcPr>
          <w:p w14:paraId="6A25C8DC" w14:textId="77777777" w:rsidR="006D7240" w:rsidRPr="00152D40" w:rsidRDefault="006D7240" w:rsidP="006D7240">
            <w:pPr>
              <w:rPr>
                <w:sz w:val="24"/>
                <w:szCs w:val="24"/>
              </w:rPr>
            </w:pPr>
            <w:r w:rsidRPr="00152D40">
              <w:rPr>
                <w:sz w:val="24"/>
                <w:szCs w:val="24"/>
              </w:rPr>
              <w:t>Review for changes in patient mix</w:t>
            </w:r>
          </w:p>
        </w:tc>
        <w:sdt>
          <w:sdtPr>
            <w:rPr>
              <w:sz w:val="24"/>
              <w:szCs w:val="24"/>
            </w:rPr>
            <w:id w:val="-1262604717"/>
            <w14:checkbox>
              <w14:checked w14:val="0"/>
              <w14:checkedState w14:val="2612" w14:font="MS Gothic"/>
              <w14:uncheckedState w14:val="2610" w14:font="MS Gothic"/>
            </w14:checkbox>
          </w:sdtPr>
          <w:sdtContent>
            <w:tc>
              <w:tcPr>
                <w:tcW w:w="1321" w:type="dxa"/>
              </w:tcPr>
              <w:p w14:paraId="46978B4B" w14:textId="77777777" w:rsidR="006D7240" w:rsidRPr="00152D40" w:rsidRDefault="006D7240" w:rsidP="006D7240">
                <w:pPr>
                  <w:jc w:val="center"/>
                  <w:rPr>
                    <w:sz w:val="24"/>
                    <w:szCs w:val="24"/>
                  </w:rPr>
                </w:pPr>
                <w:r w:rsidRPr="00152D40">
                  <w:rPr>
                    <w:rFonts w:ascii="MS Gothic" w:eastAsia="MS Gothic" w:hAnsi="MS Gothic" w:hint="eastAsia"/>
                    <w:sz w:val="24"/>
                    <w:szCs w:val="24"/>
                  </w:rPr>
                  <w:t>☐</w:t>
                </w:r>
              </w:p>
            </w:tc>
          </w:sdtContent>
        </w:sdt>
        <w:tc>
          <w:tcPr>
            <w:tcW w:w="803" w:type="dxa"/>
          </w:tcPr>
          <w:p w14:paraId="3EC7A140" w14:textId="77777777" w:rsidR="006D7240" w:rsidRPr="00152D40" w:rsidRDefault="006F7673" w:rsidP="006D7240">
            <w:pPr>
              <w:jc w:val="center"/>
              <w:rPr>
                <w:sz w:val="24"/>
                <w:szCs w:val="24"/>
              </w:rPr>
            </w:pPr>
            <w:hyperlink w:anchor="LocPtMix" w:history="1">
              <w:r w:rsidR="006D7240" w:rsidRPr="00152D40">
                <w:rPr>
                  <w:rStyle w:val="Hyperlink"/>
                  <w:sz w:val="24"/>
                  <w:szCs w:val="24"/>
                </w:rPr>
                <w:t>2</w:t>
              </w:r>
            </w:hyperlink>
          </w:p>
        </w:tc>
      </w:tr>
      <w:tr w:rsidR="006D7240" w14:paraId="4AD3006E" w14:textId="77777777" w:rsidTr="006D7240">
        <w:tc>
          <w:tcPr>
            <w:tcW w:w="7946" w:type="dxa"/>
          </w:tcPr>
          <w:p w14:paraId="11BD43DC" w14:textId="77777777" w:rsidR="006D7240" w:rsidRPr="00152D40" w:rsidRDefault="006D7240" w:rsidP="006D7240">
            <w:pPr>
              <w:rPr>
                <w:sz w:val="24"/>
                <w:szCs w:val="24"/>
              </w:rPr>
            </w:pPr>
            <w:r w:rsidRPr="00152D40">
              <w:rPr>
                <w:sz w:val="24"/>
                <w:szCs w:val="24"/>
              </w:rPr>
              <w:t>Add brand new locations</w:t>
            </w:r>
          </w:p>
        </w:tc>
        <w:sdt>
          <w:sdtPr>
            <w:rPr>
              <w:sz w:val="24"/>
              <w:szCs w:val="24"/>
            </w:rPr>
            <w:id w:val="1173305093"/>
            <w14:checkbox>
              <w14:checked w14:val="0"/>
              <w14:checkedState w14:val="2612" w14:font="MS Gothic"/>
              <w14:uncheckedState w14:val="2610" w14:font="MS Gothic"/>
            </w14:checkbox>
          </w:sdtPr>
          <w:sdtContent>
            <w:tc>
              <w:tcPr>
                <w:tcW w:w="1321" w:type="dxa"/>
              </w:tcPr>
              <w:p w14:paraId="24E1083E" w14:textId="77777777" w:rsidR="006D7240" w:rsidRPr="00152D40" w:rsidRDefault="006D7240" w:rsidP="006D7240">
                <w:pPr>
                  <w:jc w:val="center"/>
                  <w:rPr>
                    <w:sz w:val="24"/>
                    <w:szCs w:val="24"/>
                  </w:rPr>
                </w:pPr>
                <w:r w:rsidRPr="00152D40">
                  <w:rPr>
                    <w:rFonts w:ascii="MS Gothic" w:eastAsia="MS Gothic" w:hAnsi="MS Gothic" w:hint="eastAsia"/>
                    <w:sz w:val="24"/>
                    <w:szCs w:val="24"/>
                  </w:rPr>
                  <w:t>☐</w:t>
                </w:r>
              </w:p>
            </w:tc>
          </w:sdtContent>
        </w:sdt>
        <w:tc>
          <w:tcPr>
            <w:tcW w:w="803" w:type="dxa"/>
          </w:tcPr>
          <w:p w14:paraId="68060AA3" w14:textId="77777777" w:rsidR="006D7240" w:rsidRPr="00152D40" w:rsidRDefault="006F7673" w:rsidP="006D7240">
            <w:pPr>
              <w:jc w:val="center"/>
              <w:rPr>
                <w:sz w:val="24"/>
                <w:szCs w:val="24"/>
              </w:rPr>
            </w:pPr>
            <w:hyperlink w:anchor="LocNewLocs" w:history="1">
              <w:r w:rsidR="006D7240" w:rsidRPr="00152D40">
                <w:rPr>
                  <w:rStyle w:val="Hyperlink"/>
                  <w:sz w:val="24"/>
                  <w:szCs w:val="24"/>
                </w:rPr>
                <w:t>2</w:t>
              </w:r>
            </w:hyperlink>
          </w:p>
        </w:tc>
      </w:tr>
      <w:tr w:rsidR="006D7240" w14:paraId="1F0FB042" w14:textId="77777777" w:rsidTr="006D7240">
        <w:tc>
          <w:tcPr>
            <w:tcW w:w="7946" w:type="dxa"/>
          </w:tcPr>
          <w:p w14:paraId="1BC46769" w14:textId="77777777" w:rsidR="006D7240" w:rsidRPr="00152D40" w:rsidRDefault="006D7240" w:rsidP="006D7240">
            <w:pPr>
              <w:rPr>
                <w:b/>
                <w:sz w:val="24"/>
                <w:szCs w:val="24"/>
              </w:rPr>
            </w:pPr>
            <w:r w:rsidRPr="00152D40">
              <w:rPr>
                <w:sz w:val="24"/>
                <w:szCs w:val="24"/>
              </w:rPr>
              <w:t>Inactivate permanently closed locations</w:t>
            </w:r>
          </w:p>
        </w:tc>
        <w:sdt>
          <w:sdtPr>
            <w:rPr>
              <w:sz w:val="24"/>
              <w:szCs w:val="24"/>
            </w:rPr>
            <w:id w:val="-8907430"/>
            <w14:checkbox>
              <w14:checked w14:val="0"/>
              <w14:checkedState w14:val="2612" w14:font="MS Gothic"/>
              <w14:uncheckedState w14:val="2610" w14:font="MS Gothic"/>
            </w14:checkbox>
          </w:sdtPr>
          <w:sdtContent>
            <w:tc>
              <w:tcPr>
                <w:tcW w:w="1321" w:type="dxa"/>
              </w:tcPr>
              <w:p w14:paraId="58BFECC0" w14:textId="77777777" w:rsidR="006D7240" w:rsidRPr="00152D40" w:rsidRDefault="006D7240" w:rsidP="006D7240">
                <w:pPr>
                  <w:jc w:val="center"/>
                  <w:rPr>
                    <w:sz w:val="24"/>
                    <w:szCs w:val="24"/>
                  </w:rPr>
                </w:pPr>
                <w:r w:rsidRPr="00152D40">
                  <w:rPr>
                    <w:rFonts w:ascii="MS Gothic" w:eastAsia="MS Gothic" w:hAnsi="MS Gothic" w:hint="eastAsia"/>
                    <w:sz w:val="24"/>
                    <w:szCs w:val="24"/>
                  </w:rPr>
                  <w:t>☐</w:t>
                </w:r>
              </w:p>
            </w:tc>
          </w:sdtContent>
        </w:sdt>
        <w:tc>
          <w:tcPr>
            <w:tcW w:w="803" w:type="dxa"/>
          </w:tcPr>
          <w:p w14:paraId="55EA7823" w14:textId="77777777" w:rsidR="006D7240" w:rsidRPr="00152D40" w:rsidRDefault="006F7673" w:rsidP="006D7240">
            <w:pPr>
              <w:jc w:val="center"/>
              <w:rPr>
                <w:sz w:val="24"/>
                <w:szCs w:val="24"/>
              </w:rPr>
            </w:pPr>
            <w:hyperlink w:anchor="LocClosed" w:history="1">
              <w:r w:rsidR="006D7240" w:rsidRPr="00152D40">
                <w:rPr>
                  <w:rStyle w:val="Hyperlink"/>
                  <w:sz w:val="24"/>
                  <w:szCs w:val="24"/>
                </w:rPr>
                <w:t>2</w:t>
              </w:r>
            </w:hyperlink>
          </w:p>
        </w:tc>
      </w:tr>
      <w:tr w:rsidR="008617B6" w14:paraId="253F5B83" w14:textId="77777777" w:rsidTr="008617B6">
        <w:tc>
          <w:tcPr>
            <w:tcW w:w="7946" w:type="dxa"/>
            <w:tcBorders>
              <w:right w:val="nil"/>
            </w:tcBorders>
          </w:tcPr>
          <w:p w14:paraId="78FBA577" w14:textId="77777777" w:rsidR="008617B6" w:rsidRPr="00152D40" w:rsidRDefault="008617B6" w:rsidP="006D7240">
            <w:pPr>
              <w:rPr>
                <w:sz w:val="24"/>
                <w:szCs w:val="24"/>
              </w:rPr>
            </w:pPr>
          </w:p>
        </w:tc>
        <w:tc>
          <w:tcPr>
            <w:tcW w:w="1321" w:type="dxa"/>
            <w:tcBorders>
              <w:left w:val="nil"/>
              <w:right w:val="nil"/>
            </w:tcBorders>
          </w:tcPr>
          <w:p w14:paraId="6907B173" w14:textId="77777777" w:rsidR="008617B6" w:rsidRPr="00152D40" w:rsidRDefault="008617B6" w:rsidP="006D7240">
            <w:pPr>
              <w:jc w:val="center"/>
              <w:rPr>
                <w:sz w:val="24"/>
                <w:szCs w:val="24"/>
              </w:rPr>
            </w:pPr>
          </w:p>
        </w:tc>
        <w:tc>
          <w:tcPr>
            <w:tcW w:w="803" w:type="dxa"/>
            <w:tcBorders>
              <w:left w:val="nil"/>
            </w:tcBorders>
          </w:tcPr>
          <w:p w14:paraId="672F8648" w14:textId="77777777" w:rsidR="008617B6" w:rsidRPr="00152D40" w:rsidRDefault="008617B6" w:rsidP="006D7240">
            <w:pPr>
              <w:jc w:val="center"/>
              <w:rPr>
                <w:sz w:val="24"/>
                <w:szCs w:val="24"/>
              </w:rPr>
            </w:pPr>
          </w:p>
        </w:tc>
      </w:tr>
      <w:tr w:rsidR="006D7240" w14:paraId="6941A57E" w14:textId="77777777" w:rsidTr="006D7240">
        <w:tc>
          <w:tcPr>
            <w:tcW w:w="7946" w:type="dxa"/>
            <w:shd w:val="clear" w:color="auto" w:fill="D9D9D9" w:themeFill="background1" w:themeFillShade="D9"/>
          </w:tcPr>
          <w:p w14:paraId="53435D90" w14:textId="2A2D8CF8" w:rsidR="006D7240" w:rsidRPr="00152D40" w:rsidRDefault="006D7240" w:rsidP="006D7240">
            <w:pPr>
              <w:rPr>
                <w:sz w:val="24"/>
                <w:szCs w:val="24"/>
              </w:rPr>
            </w:pPr>
            <w:r w:rsidRPr="00152D40">
              <w:rPr>
                <w:b/>
                <w:sz w:val="24"/>
                <w:szCs w:val="24"/>
              </w:rPr>
              <w:t>Monthly Reporting Plans</w:t>
            </w:r>
          </w:p>
        </w:tc>
        <w:sdt>
          <w:sdtPr>
            <w:rPr>
              <w:sz w:val="24"/>
              <w:szCs w:val="24"/>
            </w:rPr>
            <w:id w:val="-1128012699"/>
            <w14:checkbox>
              <w14:checked w14:val="0"/>
              <w14:checkedState w14:val="2612" w14:font="MS Gothic"/>
              <w14:uncheckedState w14:val="2610" w14:font="MS Gothic"/>
            </w14:checkbox>
          </w:sdtPr>
          <w:sdtContent>
            <w:tc>
              <w:tcPr>
                <w:tcW w:w="1321" w:type="dxa"/>
              </w:tcPr>
              <w:p w14:paraId="5A693726" w14:textId="71AC61A1" w:rsidR="006D7240" w:rsidRPr="00152D40" w:rsidRDefault="008617B6" w:rsidP="006D7240">
                <w:pPr>
                  <w:jc w:val="center"/>
                  <w:rPr>
                    <w:sz w:val="24"/>
                    <w:szCs w:val="24"/>
                  </w:rPr>
                </w:pPr>
                <w:r>
                  <w:rPr>
                    <w:rFonts w:ascii="MS Gothic" w:eastAsia="MS Gothic" w:hAnsi="MS Gothic" w:hint="eastAsia"/>
                    <w:sz w:val="24"/>
                    <w:szCs w:val="24"/>
                  </w:rPr>
                  <w:t>☐</w:t>
                </w:r>
              </w:p>
            </w:tc>
          </w:sdtContent>
        </w:sdt>
        <w:tc>
          <w:tcPr>
            <w:tcW w:w="803" w:type="dxa"/>
          </w:tcPr>
          <w:p w14:paraId="1175A4D8" w14:textId="53DC4CB0" w:rsidR="006D7240" w:rsidRPr="00152D40" w:rsidRDefault="006F7673" w:rsidP="006D7240">
            <w:pPr>
              <w:jc w:val="center"/>
              <w:rPr>
                <w:sz w:val="24"/>
                <w:szCs w:val="24"/>
              </w:rPr>
            </w:pPr>
            <w:hyperlink w:anchor="_Monthly_Reporting_Plans" w:history="1">
              <w:r w:rsidR="006D7240" w:rsidRPr="00152D40">
                <w:rPr>
                  <w:rStyle w:val="Hyperlink"/>
                  <w:sz w:val="24"/>
                  <w:szCs w:val="24"/>
                </w:rPr>
                <w:t>3</w:t>
              </w:r>
            </w:hyperlink>
          </w:p>
        </w:tc>
      </w:tr>
      <w:tr w:rsidR="006D7240" w14:paraId="382C1B0E" w14:textId="77777777" w:rsidTr="006D7240">
        <w:tc>
          <w:tcPr>
            <w:tcW w:w="7946" w:type="dxa"/>
          </w:tcPr>
          <w:p w14:paraId="1676C75D" w14:textId="77777777" w:rsidR="006D7240" w:rsidRPr="00152D40" w:rsidRDefault="006D7240" w:rsidP="006D7240">
            <w:pPr>
              <w:rPr>
                <w:sz w:val="24"/>
                <w:szCs w:val="24"/>
              </w:rPr>
            </w:pPr>
            <w:r w:rsidRPr="00152D40">
              <w:rPr>
                <w:sz w:val="24"/>
                <w:szCs w:val="24"/>
              </w:rPr>
              <w:t>Check for inactive locations</w:t>
            </w:r>
          </w:p>
        </w:tc>
        <w:sdt>
          <w:sdtPr>
            <w:rPr>
              <w:sz w:val="24"/>
              <w:szCs w:val="24"/>
            </w:rPr>
            <w:id w:val="-1227068137"/>
            <w14:checkbox>
              <w14:checked w14:val="0"/>
              <w14:checkedState w14:val="2612" w14:font="MS Gothic"/>
              <w14:uncheckedState w14:val="2610" w14:font="MS Gothic"/>
            </w14:checkbox>
          </w:sdtPr>
          <w:sdtContent>
            <w:tc>
              <w:tcPr>
                <w:tcW w:w="1321" w:type="dxa"/>
              </w:tcPr>
              <w:p w14:paraId="65CB0689" w14:textId="77777777" w:rsidR="006D7240" w:rsidRPr="00152D40" w:rsidRDefault="006D7240" w:rsidP="006D7240">
                <w:pPr>
                  <w:jc w:val="center"/>
                  <w:rPr>
                    <w:sz w:val="24"/>
                    <w:szCs w:val="24"/>
                  </w:rPr>
                </w:pPr>
                <w:r w:rsidRPr="00152D40">
                  <w:rPr>
                    <w:rFonts w:ascii="MS Gothic" w:eastAsia="MS Gothic" w:hAnsi="MS Gothic" w:hint="eastAsia"/>
                    <w:sz w:val="24"/>
                    <w:szCs w:val="24"/>
                  </w:rPr>
                  <w:t>☐</w:t>
                </w:r>
              </w:p>
            </w:tc>
          </w:sdtContent>
        </w:sdt>
        <w:tc>
          <w:tcPr>
            <w:tcW w:w="803" w:type="dxa"/>
          </w:tcPr>
          <w:p w14:paraId="38C6A81C" w14:textId="77777777" w:rsidR="006D7240" w:rsidRPr="00152D40" w:rsidRDefault="006F7673" w:rsidP="006D7240">
            <w:pPr>
              <w:jc w:val="center"/>
              <w:rPr>
                <w:sz w:val="24"/>
                <w:szCs w:val="24"/>
              </w:rPr>
            </w:pPr>
            <w:hyperlink w:anchor="PlanInactive" w:history="1">
              <w:r w:rsidR="006D7240" w:rsidRPr="00152D40">
                <w:rPr>
                  <w:rStyle w:val="Hyperlink"/>
                  <w:sz w:val="24"/>
                  <w:szCs w:val="24"/>
                </w:rPr>
                <w:t>3</w:t>
              </w:r>
            </w:hyperlink>
          </w:p>
        </w:tc>
      </w:tr>
      <w:tr w:rsidR="006D7240" w14:paraId="714CEEFB" w14:textId="77777777" w:rsidTr="006D7240">
        <w:tc>
          <w:tcPr>
            <w:tcW w:w="7946" w:type="dxa"/>
          </w:tcPr>
          <w:p w14:paraId="0F16BC9C" w14:textId="77777777" w:rsidR="006D7240" w:rsidRPr="00152D40" w:rsidRDefault="006D7240" w:rsidP="006D7240">
            <w:pPr>
              <w:rPr>
                <w:sz w:val="24"/>
                <w:szCs w:val="24"/>
              </w:rPr>
            </w:pPr>
            <w:r w:rsidRPr="00152D40">
              <w:rPr>
                <w:sz w:val="24"/>
                <w:szCs w:val="24"/>
              </w:rPr>
              <w:t>Add brand new locations</w:t>
            </w:r>
          </w:p>
        </w:tc>
        <w:sdt>
          <w:sdtPr>
            <w:rPr>
              <w:sz w:val="24"/>
              <w:szCs w:val="24"/>
            </w:rPr>
            <w:id w:val="-2008977173"/>
            <w14:checkbox>
              <w14:checked w14:val="0"/>
              <w14:checkedState w14:val="2612" w14:font="MS Gothic"/>
              <w14:uncheckedState w14:val="2610" w14:font="MS Gothic"/>
            </w14:checkbox>
          </w:sdtPr>
          <w:sdtContent>
            <w:tc>
              <w:tcPr>
                <w:tcW w:w="1321" w:type="dxa"/>
              </w:tcPr>
              <w:p w14:paraId="764E5BF3" w14:textId="77777777" w:rsidR="006D7240" w:rsidRPr="00152D40" w:rsidRDefault="006D7240" w:rsidP="006D7240">
                <w:pPr>
                  <w:jc w:val="center"/>
                  <w:rPr>
                    <w:sz w:val="24"/>
                    <w:szCs w:val="24"/>
                  </w:rPr>
                </w:pPr>
                <w:r w:rsidRPr="00152D40">
                  <w:rPr>
                    <w:rFonts w:ascii="MS Gothic" w:eastAsia="MS Gothic" w:hAnsi="MS Gothic" w:hint="eastAsia"/>
                    <w:sz w:val="24"/>
                    <w:szCs w:val="24"/>
                  </w:rPr>
                  <w:t>☐</w:t>
                </w:r>
              </w:p>
            </w:tc>
          </w:sdtContent>
        </w:sdt>
        <w:tc>
          <w:tcPr>
            <w:tcW w:w="803" w:type="dxa"/>
          </w:tcPr>
          <w:p w14:paraId="372A6AB8" w14:textId="77777777" w:rsidR="006D7240" w:rsidRPr="00152D40" w:rsidRDefault="006F7673" w:rsidP="006D7240">
            <w:pPr>
              <w:jc w:val="center"/>
              <w:rPr>
                <w:sz w:val="24"/>
                <w:szCs w:val="24"/>
              </w:rPr>
            </w:pPr>
            <w:hyperlink w:anchor="PlanNewLocs" w:history="1">
              <w:r w:rsidR="006D7240" w:rsidRPr="00152D40">
                <w:rPr>
                  <w:rStyle w:val="Hyperlink"/>
                  <w:sz w:val="24"/>
                  <w:szCs w:val="24"/>
                </w:rPr>
                <w:t>3</w:t>
              </w:r>
            </w:hyperlink>
          </w:p>
        </w:tc>
      </w:tr>
      <w:tr w:rsidR="006D7240" w14:paraId="209BC5D4" w14:textId="77777777" w:rsidTr="006D7240">
        <w:tc>
          <w:tcPr>
            <w:tcW w:w="7946" w:type="dxa"/>
          </w:tcPr>
          <w:p w14:paraId="2F7900BB" w14:textId="77777777" w:rsidR="006D7240" w:rsidRPr="00152D40" w:rsidRDefault="006D7240" w:rsidP="006D7240">
            <w:pPr>
              <w:rPr>
                <w:b/>
                <w:sz w:val="24"/>
                <w:szCs w:val="24"/>
              </w:rPr>
            </w:pPr>
            <w:r w:rsidRPr="00152D40">
              <w:rPr>
                <w:sz w:val="24"/>
                <w:szCs w:val="24"/>
              </w:rPr>
              <w:t xml:space="preserve">Review calendar year for completeness </w:t>
            </w:r>
          </w:p>
        </w:tc>
        <w:sdt>
          <w:sdtPr>
            <w:rPr>
              <w:sz w:val="24"/>
              <w:szCs w:val="24"/>
            </w:rPr>
            <w:id w:val="3412519"/>
            <w14:checkbox>
              <w14:checked w14:val="0"/>
              <w14:checkedState w14:val="2612" w14:font="MS Gothic"/>
              <w14:uncheckedState w14:val="2610" w14:font="MS Gothic"/>
            </w14:checkbox>
          </w:sdtPr>
          <w:sdtContent>
            <w:tc>
              <w:tcPr>
                <w:tcW w:w="1321" w:type="dxa"/>
              </w:tcPr>
              <w:p w14:paraId="501DCEFD" w14:textId="77777777" w:rsidR="006D7240" w:rsidRPr="00152D40" w:rsidRDefault="006D7240" w:rsidP="006D7240">
                <w:pPr>
                  <w:jc w:val="center"/>
                  <w:rPr>
                    <w:sz w:val="24"/>
                    <w:szCs w:val="24"/>
                  </w:rPr>
                </w:pPr>
                <w:r w:rsidRPr="00152D40">
                  <w:rPr>
                    <w:rFonts w:ascii="MS Gothic" w:eastAsia="MS Gothic" w:hAnsi="MS Gothic" w:hint="eastAsia"/>
                    <w:sz w:val="24"/>
                    <w:szCs w:val="24"/>
                  </w:rPr>
                  <w:t>☐</w:t>
                </w:r>
              </w:p>
            </w:tc>
          </w:sdtContent>
        </w:sdt>
        <w:tc>
          <w:tcPr>
            <w:tcW w:w="803" w:type="dxa"/>
          </w:tcPr>
          <w:p w14:paraId="229A9D93" w14:textId="77777777" w:rsidR="006D7240" w:rsidRPr="00152D40" w:rsidRDefault="006F7673" w:rsidP="006D7240">
            <w:pPr>
              <w:jc w:val="center"/>
              <w:rPr>
                <w:sz w:val="24"/>
                <w:szCs w:val="24"/>
              </w:rPr>
            </w:pPr>
            <w:hyperlink w:anchor="PlanCY" w:history="1">
              <w:r w:rsidR="006D7240" w:rsidRPr="00152D40">
                <w:rPr>
                  <w:rStyle w:val="Hyperlink"/>
                  <w:sz w:val="24"/>
                  <w:szCs w:val="24"/>
                </w:rPr>
                <w:t>3</w:t>
              </w:r>
            </w:hyperlink>
          </w:p>
        </w:tc>
      </w:tr>
      <w:tr w:rsidR="008617B6" w14:paraId="05B9416F" w14:textId="77777777" w:rsidTr="008617B6">
        <w:tc>
          <w:tcPr>
            <w:tcW w:w="7946" w:type="dxa"/>
            <w:tcBorders>
              <w:right w:val="nil"/>
            </w:tcBorders>
          </w:tcPr>
          <w:p w14:paraId="742EB0BE" w14:textId="77777777" w:rsidR="008617B6" w:rsidRPr="00152D40" w:rsidRDefault="008617B6" w:rsidP="006D7240">
            <w:pPr>
              <w:rPr>
                <w:sz w:val="24"/>
                <w:szCs w:val="24"/>
              </w:rPr>
            </w:pPr>
          </w:p>
        </w:tc>
        <w:tc>
          <w:tcPr>
            <w:tcW w:w="1321" w:type="dxa"/>
            <w:tcBorders>
              <w:left w:val="nil"/>
              <w:right w:val="nil"/>
            </w:tcBorders>
          </w:tcPr>
          <w:p w14:paraId="3E3F5333" w14:textId="77777777" w:rsidR="008617B6" w:rsidRPr="00152D40" w:rsidRDefault="008617B6" w:rsidP="006D7240">
            <w:pPr>
              <w:jc w:val="center"/>
              <w:rPr>
                <w:sz w:val="24"/>
                <w:szCs w:val="24"/>
              </w:rPr>
            </w:pPr>
          </w:p>
        </w:tc>
        <w:tc>
          <w:tcPr>
            <w:tcW w:w="803" w:type="dxa"/>
            <w:tcBorders>
              <w:left w:val="nil"/>
            </w:tcBorders>
          </w:tcPr>
          <w:p w14:paraId="1E678DD7" w14:textId="77777777" w:rsidR="008617B6" w:rsidRPr="00152D40" w:rsidRDefault="008617B6" w:rsidP="006D7240">
            <w:pPr>
              <w:jc w:val="center"/>
              <w:rPr>
                <w:sz w:val="24"/>
                <w:szCs w:val="24"/>
              </w:rPr>
            </w:pPr>
          </w:p>
        </w:tc>
      </w:tr>
      <w:tr w:rsidR="006D7240" w14:paraId="7A335D1A" w14:textId="77777777" w:rsidTr="008617B6">
        <w:tc>
          <w:tcPr>
            <w:tcW w:w="7946" w:type="dxa"/>
            <w:tcBorders>
              <w:right w:val="single" w:sz="4" w:space="0" w:color="auto"/>
            </w:tcBorders>
            <w:shd w:val="clear" w:color="auto" w:fill="D9D9D9" w:themeFill="background1" w:themeFillShade="D9"/>
          </w:tcPr>
          <w:p w14:paraId="7E72FC43" w14:textId="12D3F0C7" w:rsidR="006D7240" w:rsidRPr="00152D40" w:rsidRDefault="006D7240" w:rsidP="006D7240">
            <w:pPr>
              <w:rPr>
                <w:sz w:val="24"/>
                <w:szCs w:val="24"/>
              </w:rPr>
            </w:pPr>
            <w:r w:rsidRPr="00152D40">
              <w:rPr>
                <w:b/>
                <w:sz w:val="24"/>
                <w:szCs w:val="24"/>
              </w:rPr>
              <w:t>NHSN</w:t>
            </w:r>
            <w:r w:rsidR="008D2579">
              <w:rPr>
                <w:b/>
                <w:sz w:val="24"/>
                <w:szCs w:val="24"/>
              </w:rPr>
              <w:t xml:space="preserve"> AU Option</w:t>
            </w:r>
            <w:r w:rsidRPr="00152D40">
              <w:rPr>
                <w:b/>
                <w:sz w:val="24"/>
                <w:szCs w:val="24"/>
              </w:rPr>
              <w:t xml:space="preserve"> Users</w:t>
            </w:r>
          </w:p>
        </w:tc>
        <w:sdt>
          <w:sdtPr>
            <w:rPr>
              <w:sz w:val="24"/>
              <w:szCs w:val="24"/>
            </w:rPr>
            <w:id w:val="444818544"/>
            <w14:checkbox>
              <w14:checked w14:val="0"/>
              <w14:checkedState w14:val="2612" w14:font="MS Gothic"/>
              <w14:uncheckedState w14:val="2610" w14:font="MS Gothic"/>
            </w14:checkbox>
          </w:sdtPr>
          <w:sdtContent>
            <w:tc>
              <w:tcPr>
                <w:tcW w:w="1321" w:type="dxa"/>
                <w:tcBorders>
                  <w:left w:val="single" w:sz="4" w:space="0" w:color="auto"/>
                </w:tcBorders>
              </w:tcPr>
              <w:p w14:paraId="1C449FFC" w14:textId="77777777" w:rsidR="006D7240" w:rsidRPr="00152D40" w:rsidRDefault="006D7240" w:rsidP="006D7240">
                <w:pPr>
                  <w:jc w:val="center"/>
                  <w:rPr>
                    <w:sz w:val="24"/>
                    <w:szCs w:val="24"/>
                  </w:rPr>
                </w:pPr>
                <w:r w:rsidRPr="00152D40">
                  <w:rPr>
                    <w:rFonts w:ascii="MS Gothic" w:eastAsia="MS Gothic" w:hAnsi="MS Gothic" w:hint="eastAsia"/>
                    <w:sz w:val="24"/>
                    <w:szCs w:val="24"/>
                  </w:rPr>
                  <w:t>☐</w:t>
                </w:r>
              </w:p>
            </w:tc>
          </w:sdtContent>
        </w:sdt>
        <w:tc>
          <w:tcPr>
            <w:tcW w:w="803" w:type="dxa"/>
          </w:tcPr>
          <w:p w14:paraId="0FBA53F3" w14:textId="77777777" w:rsidR="006D7240" w:rsidRPr="00152D40" w:rsidRDefault="006F7673" w:rsidP="006D7240">
            <w:pPr>
              <w:jc w:val="center"/>
              <w:rPr>
                <w:sz w:val="24"/>
                <w:szCs w:val="24"/>
              </w:rPr>
            </w:pPr>
            <w:hyperlink w:anchor="_AU_Option_Users" w:history="1">
              <w:r w:rsidR="006D7240" w:rsidRPr="00152D40">
                <w:rPr>
                  <w:rStyle w:val="Hyperlink"/>
                  <w:sz w:val="24"/>
                  <w:szCs w:val="24"/>
                </w:rPr>
                <w:t>4</w:t>
              </w:r>
            </w:hyperlink>
          </w:p>
        </w:tc>
      </w:tr>
      <w:tr w:rsidR="006D7240" w14:paraId="6DF0EC13" w14:textId="77777777" w:rsidTr="006D7240">
        <w:tc>
          <w:tcPr>
            <w:tcW w:w="7946" w:type="dxa"/>
          </w:tcPr>
          <w:p w14:paraId="1F87A7C2" w14:textId="77777777" w:rsidR="006D7240" w:rsidRPr="00152D40" w:rsidRDefault="006D7240" w:rsidP="006D7240">
            <w:pPr>
              <w:rPr>
                <w:sz w:val="24"/>
                <w:szCs w:val="24"/>
              </w:rPr>
            </w:pPr>
            <w:r w:rsidRPr="00152D40">
              <w:rPr>
                <w:sz w:val="24"/>
                <w:szCs w:val="24"/>
              </w:rPr>
              <w:t>Confirm two active AU users</w:t>
            </w:r>
          </w:p>
        </w:tc>
        <w:sdt>
          <w:sdtPr>
            <w:rPr>
              <w:sz w:val="24"/>
              <w:szCs w:val="24"/>
            </w:rPr>
            <w:id w:val="1862000655"/>
            <w14:checkbox>
              <w14:checked w14:val="0"/>
              <w14:checkedState w14:val="2612" w14:font="MS Gothic"/>
              <w14:uncheckedState w14:val="2610" w14:font="MS Gothic"/>
            </w14:checkbox>
          </w:sdtPr>
          <w:sdtContent>
            <w:tc>
              <w:tcPr>
                <w:tcW w:w="1321" w:type="dxa"/>
              </w:tcPr>
              <w:p w14:paraId="323B73F3" w14:textId="77777777" w:rsidR="006D7240" w:rsidRPr="00152D40" w:rsidRDefault="006D7240" w:rsidP="006D7240">
                <w:pPr>
                  <w:jc w:val="center"/>
                  <w:rPr>
                    <w:sz w:val="24"/>
                    <w:szCs w:val="24"/>
                  </w:rPr>
                </w:pPr>
                <w:r w:rsidRPr="00152D40">
                  <w:rPr>
                    <w:rFonts w:ascii="MS Gothic" w:eastAsia="MS Gothic" w:hAnsi="MS Gothic" w:hint="eastAsia"/>
                    <w:sz w:val="24"/>
                    <w:szCs w:val="24"/>
                  </w:rPr>
                  <w:t>☐</w:t>
                </w:r>
              </w:p>
            </w:tc>
          </w:sdtContent>
        </w:sdt>
        <w:tc>
          <w:tcPr>
            <w:tcW w:w="803" w:type="dxa"/>
          </w:tcPr>
          <w:p w14:paraId="2DDC0D24" w14:textId="77777777" w:rsidR="006D7240" w:rsidRPr="00152D40" w:rsidRDefault="006F7673" w:rsidP="006D7240">
            <w:pPr>
              <w:jc w:val="center"/>
              <w:rPr>
                <w:sz w:val="24"/>
                <w:szCs w:val="24"/>
              </w:rPr>
            </w:pPr>
            <w:hyperlink w:anchor="UserActive" w:history="1">
              <w:r w:rsidR="006D7240" w:rsidRPr="00152D40">
                <w:rPr>
                  <w:rStyle w:val="Hyperlink"/>
                  <w:sz w:val="24"/>
                  <w:szCs w:val="24"/>
                </w:rPr>
                <w:t>4</w:t>
              </w:r>
            </w:hyperlink>
          </w:p>
        </w:tc>
      </w:tr>
      <w:tr w:rsidR="006D7240" w14:paraId="39695641" w14:textId="77777777" w:rsidTr="006D7240">
        <w:tc>
          <w:tcPr>
            <w:tcW w:w="7946" w:type="dxa"/>
          </w:tcPr>
          <w:p w14:paraId="4E9D987A" w14:textId="77777777" w:rsidR="006D7240" w:rsidRPr="00152D40" w:rsidRDefault="006D7240" w:rsidP="006D7240">
            <w:pPr>
              <w:rPr>
                <w:b/>
                <w:sz w:val="24"/>
                <w:szCs w:val="24"/>
              </w:rPr>
            </w:pPr>
            <w:r w:rsidRPr="00152D40">
              <w:rPr>
                <w:sz w:val="24"/>
                <w:szCs w:val="24"/>
              </w:rPr>
              <w:t>Deactivate former AU users</w:t>
            </w:r>
          </w:p>
        </w:tc>
        <w:sdt>
          <w:sdtPr>
            <w:rPr>
              <w:sz w:val="24"/>
              <w:szCs w:val="24"/>
            </w:rPr>
            <w:id w:val="-642117431"/>
            <w14:checkbox>
              <w14:checked w14:val="0"/>
              <w14:checkedState w14:val="2612" w14:font="MS Gothic"/>
              <w14:uncheckedState w14:val="2610" w14:font="MS Gothic"/>
            </w14:checkbox>
          </w:sdtPr>
          <w:sdtContent>
            <w:tc>
              <w:tcPr>
                <w:tcW w:w="1321" w:type="dxa"/>
              </w:tcPr>
              <w:p w14:paraId="0EEF58AA" w14:textId="77777777" w:rsidR="006D7240" w:rsidRPr="00152D40" w:rsidRDefault="006D7240" w:rsidP="006D7240">
                <w:pPr>
                  <w:jc w:val="center"/>
                  <w:rPr>
                    <w:sz w:val="24"/>
                    <w:szCs w:val="24"/>
                  </w:rPr>
                </w:pPr>
                <w:r w:rsidRPr="00152D40">
                  <w:rPr>
                    <w:rFonts w:ascii="MS Gothic" w:eastAsia="MS Gothic" w:hAnsi="MS Gothic" w:hint="eastAsia"/>
                    <w:sz w:val="24"/>
                    <w:szCs w:val="24"/>
                  </w:rPr>
                  <w:t>☐</w:t>
                </w:r>
              </w:p>
            </w:tc>
          </w:sdtContent>
        </w:sdt>
        <w:tc>
          <w:tcPr>
            <w:tcW w:w="803" w:type="dxa"/>
          </w:tcPr>
          <w:p w14:paraId="0F292B28" w14:textId="77777777" w:rsidR="006D7240" w:rsidRPr="00152D40" w:rsidRDefault="006F7673" w:rsidP="006D7240">
            <w:pPr>
              <w:jc w:val="center"/>
              <w:rPr>
                <w:sz w:val="24"/>
                <w:szCs w:val="24"/>
              </w:rPr>
            </w:pPr>
            <w:hyperlink w:anchor="UserDeactivate" w:history="1">
              <w:r w:rsidR="006D7240" w:rsidRPr="00152D40">
                <w:rPr>
                  <w:rStyle w:val="Hyperlink"/>
                  <w:sz w:val="24"/>
                  <w:szCs w:val="24"/>
                </w:rPr>
                <w:t>4</w:t>
              </w:r>
            </w:hyperlink>
          </w:p>
        </w:tc>
      </w:tr>
      <w:tr w:rsidR="008617B6" w14:paraId="7E7D3805" w14:textId="77777777" w:rsidTr="008617B6">
        <w:tc>
          <w:tcPr>
            <w:tcW w:w="7946" w:type="dxa"/>
            <w:tcBorders>
              <w:right w:val="nil"/>
            </w:tcBorders>
          </w:tcPr>
          <w:p w14:paraId="17370469" w14:textId="77777777" w:rsidR="008617B6" w:rsidRPr="00152D40" w:rsidRDefault="008617B6" w:rsidP="006D7240">
            <w:pPr>
              <w:rPr>
                <w:sz w:val="24"/>
                <w:szCs w:val="24"/>
              </w:rPr>
            </w:pPr>
          </w:p>
        </w:tc>
        <w:tc>
          <w:tcPr>
            <w:tcW w:w="1321" w:type="dxa"/>
            <w:tcBorders>
              <w:left w:val="nil"/>
              <w:right w:val="nil"/>
            </w:tcBorders>
          </w:tcPr>
          <w:p w14:paraId="34B0DDED" w14:textId="77777777" w:rsidR="008617B6" w:rsidRPr="00152D40" w:rsidRDefault="008617B6" w:rsidP="006D7240">
            <w:pPr>
              <w:jc w:val="center"/>
              <w:rPr>
                <w:sz w:val="24"/>
                <w:szCs w:val="24"/>
              </w:rPr>
            </w:pPr>
          </w:p>
        </w:tc>
        <w:tc>
          <w:tcPr>
            <w:tcW w:w="803" w:type="dxa"/>
            <w:tcBorders>
              <w:left w:val="nil"/>
            </w:tcBorders>
          </w:tcPr>
          <w:p w14:paraId="003EA644" w14:textId="77777777" w:rsidR="008617B6" w:rsidRPr="00152D40" w:rsidRDefault="008617B6" w:rsidP="006D7240">
            <w:pPr>
              <w:jc w:val="center"/>
              <w:rPr>
                <w:sz w:val="24"/>
                <w:szCs w:val="24"/>
              </w:rPr>
            </w:pPr>
          </w:p>
        </w:tc>
      </w:tr>
      <w:tr w:rsidR="006D7240" w14:paraId="2EA429E9" w14:textId="77777777" w:rsidTr="006D7240">
        <w:tc>
          <w:tcPr>
            <w:tcW w:w="7946" w:type="dxa"/>
            <w:shd w:val="clear" w:color="auto" w:fill="D9D9D9" w:themeFill="background1" w:themeFillShade="D9"/>
          </w:tcPr>
          <w:p w14:paraId="00094ED6" w14:textId="3BA279D8" w:rsidR="006D7240" w:rsidRPr="00152D40" w:rsidRDefault="006D7240" w:rsidP="006D7240">
            <w:pPr>
              <w:rPr>
                <w:sz w:val="24"/>
                <w:szCs w:val="24"/>
              </w:rPr>
            </w:pPr>
            <w:r w:rsidRPr="00152D40">
              <w:rPr>
                <w:b/>
                <w:sz w:val="24"/>
                <w:szCs w:val="24"/>
              </w:rPr>
              <w:t>AU</w:t>
            </w:r>
            <w:r w:rsidR="008D2579">
              <w:rPr>
                <w:b/>
                <w:sz w:val="24"/>
                <w:szCs w:val="24"/>
              </w:rPr>
              <w:t xml:space="preserve"> Option</w:t>
            </w:r>
            <w:r w:rsidRPr="00152D40">
              <w:rPr>
                <w:b/>
                <w:sz w:val="24"/>
                <w:szCs w:val="24"/>
              </w:rPr>
              <w:t xml:space="preserve"> Data</w:t>
            </w:r>
          </w:p>
        </w:tc>
        <w:sdt>
          <w:sdtPr>
            <w:rPr>
              <w:sz w:val="24"/>
              <w:szCs w:val="24"/>
            </w:rPr>
            <w:id w:val="-669408964"/>
            <w14:checkbox>
              <w14:checked w14:val="0"/>
              <w14:checkedState w14:val="2612" w14:font="MS Gothic"/>
              <w14:uncheckedState w14:val="2610" w14:font="MS Gothic"/>
            </w14:checkbox>
          </w:sdtPr>
          <w:sdtContent>
            <w:tc>
              <w:tcPr>
                <w:tcW w:w="1321" w:type="dxa"/>
              </w:tcPr>
              <w:p w14:paraId="0022232A" w14:textId="77777777" w:rsidR="006D7240" w:rsidRPr="00152D40" w:rsidRDefault="006D7240" w:rsidP="006D7240">
                <w:pPr>
                  <w:jc w:val="center"/>
                  <w:rPr>
                    <w:sz w:val="24"/>
                    <w:szCs w:val="24"/>
                  </w:rPr>
                </w:pPr>
                <w:r w:rsidRPr="00152D40">
                  <w:rPr>
                    <w:rFonts w:ascii="MS Gothic" w:eastAsia="MS Gothic" w:hAnsi="MS Gothic" w:hint="eastAsia"/>
                    <w:sz w:val="24"/>
                    <w:szCs w:val="24"/>
                  </w:rPr>
                  <w:t>☐</w:t>
                </w:r>
              </w:p>
            </w:tc>
          </w:sdtContent>
        </w:sdt>
        <w:tc>
          <w:tcPr>
            <w:tcW w:w="803" w:type="dxa"/>
          </w:tcPr>
          <w:p w14:paraId="38ABB74F" w14:textId="77777777" w:rsidR="006D7240" w:rsidRPr="00152D40" w:rsidRDefault="006F7673" w:rsidP="006D7240">
            <w:pPr>
              <w:jc w:val="center"/>
              <w:rPr>
                <w:sz w:val="24"/>
                <w:szCs w:val="24"/>
              </w:rPr>
            </w:pPr>
            <w:hyperlink w:anchor="AUData" w:history="1">
              <w:r w:rsidR="006D7240" w:rsidRPr="00152D40">
                <w:rPr>
                  <w:rStyle w:val="Hyperlink"/>
                  <w:sz w:val="24"/>
                  <w:szCs w:val="24"/>
                </w:rPr>
                <w:t>4</w:t>
              </w:r>
            </w:hyperlink>
          </w:p>
        </w:tc>
      </w:tr>
      <w:tr w:rsidR="006D7240" w14:paraId="79CF1867" w14:textId="77777777" w:rsidTr="006D7240">
        <w:tc>
          <w:tcPr>
            <w:tcW w:w="7946" w:type="dxa"/>
          </w:tcPr>
          <w:p w14:paraId="6AE896C0" w14:textId="77777777" w:rsidR="006D7240" w:rsidRPr="00152D40" w:rsidRDefault="006D7240" w:rsidP="006D7240">
            <w:pPr>
              <w:rPr>
                <w:sz w:val="24"/>
                <w:szCs w:val="24"/>
              </w:rPr>
            </w:pPr>
            <w:r w:rsidRPr="00152D40">
              <w:rPr>
                <w:sz w:val="24"/>
                <w:szCs w:val="24"/>
              </w:rPr>
              <w:t>Review location specific SAARs</w:t>
            </w:r>
          </w:p>
        </w:tc>
        <w:sdt>
          <w:sdtPr>
            <w:rPr>
              <w:sz w:val="24"/>
              <w:szCs w:val="24"/>
            </w:rPr>
            <w:id w:val="-1653200863"/>
            <w14:checkbox>
              <w14:checked w14:val="0"/>
              <w14:checkedState w14:val="2612" w14:font="MS Gothic"/>
              <w14:uncheckedState w14:val="2610" w14:font="MS Gothic"/>
            </w14:checkbox>
          </w:sdtPr>
          <w:sdtContent>
            <w:tc>
              <w:tcPr>
                <w:tcW w:w="1321" w:type="dxa"/>
              </w:tcPr>
              <w:p w14:paraId="77EC2C0C" w14:textId="77777777" w:rsidR="006D7240" w:rsidRPr="00152D40" w:rsidRDefault="006D7240" w:rsidP="006D7240">
                <w:pPr>
                  <w:jc w:val="center"/>
                  <w:rPr>
                    <w:sz w:val="24"/>
                    <w:szCs w:val="24"/>
                  </w:rPr>
                </w:pPr>
                <w:r w:rsidRPr="00152D40">
                  <w:rPr>
                    <w:rFonts w:ascii="MS Gothic" w:eastAsia="MS Gothic" w:hAnsi="MS Gothic" w:hint="eastAsia"/>
                    <w:sz w:val="24"/>
                    <w:szCs w:val="24"/>
                  </w:rPr>
                  <w:t>☐</w:t>
                </w:r>
              </w:p>
            </w:tc>
          </w:sdtContent>
        </w:sdt>
        <w:tc>
          <w:tcPr>
            <w:tcW w:w="803" w:type="dxa"/>
          </w:tcPr>
          <w:p w14:paraId="3A62C291" w14:textId="77777777" w:rsidR="006D7240" w:rsidRPr="00152D40" w:rsidRDefault="006F7673" w:rsidP="006D7240">
            <w:pPr>
              <w:jc w:val="center"/>
              <w:rPr>
                <w:sz w:val="24"/>
                <w:szCs w:val="24"/>
              </w:rPr>
            </w:pPr>
            <w:hyperlink w:anchor="LocSAARs" w:history="1">
              <w:r w:rsidR="006D7240" w:rsidRPr="00152D40">
                <w:rPr>
                  <w:rStyle w:val="Hyperlink"/>
                  <w:sz w:val="24"/>
                  <w:szCs w:val="24"/>
                </w:rPr>
                <w:t>4</w:t>
              </w:r>
            </w:hyperlink>
          </w:p>
        </w:tc>
      </w:tr>
      <w:tr w:rsidR="006D7240" w14:paraId="1B3224F4" w14:textId="77777777" w:rsidTr="006D7240">
        <w:tc>
          <w:tcPr>
            <w:tcW w:w="7946" w:type="dxa"/>
          </w:tcPr>
          <w:p w14:paraId="18E81E8F" w14:textId="7D722840" w:rsidR="006D7240" w:rsidRPr="00152D40" w:rsidRDefault="006D7240" w:rsidP="006D7240">
            <w:pPr>
              <w:rPr>
                <w:sz w:val="24"/>
                <w:szCs w:val="24"/>
              </w:rPr>
            </w:pPr>
            <w:r w:rsidRPr="00152D40">
              <w:rPr>
                <w:sz w:val="24"/>
                <w:szCs w:val="24"/>
              </w:rPr>
              <w:t>Examine drug</w:t>
            </w:r>
            <w:r w:rsidR="00562BA7">
              <w:rPr>
                <w:sz w:val="24"/>
                <w:szCs w:val="24"/>
              </w:rPr>
              <w:t xml:space="preserve"> </w:t>
            </w:r>
            <w:r w:rsidRPr="00152D40">
              <w:rPr>
                <w:sz w:val="24"/>
                <w:szCs w:val="24"/>
              </w:rPr>
              <w:t>specific trends</w:t>
            </w:r>
          </w:p>
        </w:tc>
        <w:sdt>
          <w:sdtPr>
            <w:rPr>
              <w:sz w:val="24"/>
              <w:szCs w:val="24"/>
            </w:rPr>
            <w:id w:val="-1079435179"/>
            <w14:checkbox>
              <w14:checked w14:val="0"/>
              <w14:checkedState w14:val="2612" w14:font="MS Gothic"/>
              <w14:uncheckedState w14:val="2610" w14:font="MS Gothic"/>
            </w14:checkbox>
          </w:sdtPr>
          <w:sdtContent>
            <w:tc>
              <w:tcPr>
                <w:tcW w:w="1321" w:type="dxa"/>
              </w:tcPr>
              <w:p w14:paraId="1BE9003C" w14:textId="77777777" w:rsidR="006D7240" w:rsidRPr="00152D40" w:rsidRDefault="006D7240" w:rsidP="006D7240">
                <w:pPr>
                  <w:jc w:val="center"/>
                  <w:rPr>
                    <w:sz w:val="24"/>
                    <w:szCs w:val="24"/>
                  </w:rPr>
                </w:pPr>
                <w:r w:rsidRPr="00152D40">
                  <w:rPr>
                    <w:rFonts w:ascii="MS Gothic" w:eastAsia="MS Gothic" w:hAnsi="MS Gothic" w:hint="eastAsia"/>
                    <w:sz w:val="24"/>
                    <w:szCs w:val="24"/>
                  </w:rPr>
                  <w:t>☐</w:t>
                </w:r>
              </w:p>
            </w:tc>
          </w:sdtContent>
        </w:sdt>
        <w:tc>
          <w:tcPr>
            <w:tcW w:w="803" w:type="dxa"/>
          </w:tcPr>
          <w:p w14:paraId="54BABEAF" w14:textId="6EFF8AD6" w:rsidR="006D7240" w:rsidRPr="00152D40" w:rsidRDefault="006F7673" w:rsidP="006D7240">
            <w:pPr>
              <w:jc w:val="center"/>
              <w:rPr>
                <w:sz w:val="24"/>
                <w:szCs w:val="24"/>
              </w:rPr>
            </w:pPr>
            <w:hyperlink w:anchor="DrugTrends" w:history="1">
              <w:r w:rsidR="00D6786C">
                <w:rPr>
                  <w:rStyle w:val="Hyperlink"/>
                  <w:sz w:val="24"/>
                  <w:szCs w:val="24"/>
                </w:rPr>
                <w:t>7</w:t>
              </w:r>
            </w:hyperlink>
          </w:p>
        </w:tc>
      </w:tr>
      <w:tr w:rsidR="00152D40" w14:paraId="5616AF32" w14:textId="77777777" w:rsidTr="006D7240">
        <w:tc>
          <w:tcPr>
            <w:tcW w:w="7946" w:type="dxa"/>
          </w:tcPr>
          <w:p w14:paraId="57E262B6" w14:textId="6D664E35" w:rsidR="00152D40" w:rsidRPr="00152D40" w:rsidRDefault="00E63593" w:rsidP="006D7240">
            <w:pPr>
              <w:rPr>
                <w:sz w:val="24"/>
                <w:szCs w:val="24"/>
              </w:rPr>
            </w:pPr>
            <w:r>
              <w:rPr>
                <w:sz w:val="24"/>
                <w:szCs w:val="24"/>
              </w:rPr>
              <w:t>Use the d</w:t>
            </w:r>
            <w:r w:rsidR="00152D40">
              <w:rPr>
                <w:sz w:val="24"/>
                <w:szCs w:val="24"/>
              </w:rPr>
              <w:t>ata quality line list</w:t>
            </w:r>
          </w:p>
        </w:tc>
        <w:sdt>
          <w:sdtPr>
            <w:rPr>
              <w:sz w:val="24"/>
              <w:szCs w:val="24"/>
            </w:rPr>
            <w:id w:val="1531608257"/>
            <w14:checkbox>
              <w14:checked w14:val="0"/>
              <w14:checkedState w14:val="2612" w14:font="MS Gothic"/>
              <w14:uncheckedState w14:val="2610" w14:font="MS Gothic"/>
            </w14:checkbox>
          </w:sdtPr>
          <w:sdtContent>
            <w:tc>
              <w:tcPr>
                <w:tcW w:w="1321" w:type="dxa"/>
              </w:tcPr>
              <w:p w14:paraId="22F1C652" w14:textId="23C47B21" w:rsidR="00152D40" w:rsidRPr="00152D40" w:rsidRDefault="00152D40" w:rsidP="006D7240">
                <w:pPr>
                  <w:jc w:val="center"/>
                  <w:rPr>
                    <w:sz w:val="24"/>
                    <w:szCs w:val="24"/>
                  </w:rPr>
                </w:pPr>
                <w:r w:rsidRPr="00152D40">
                  <w:rPr>
                    <w:rFonts w:ascii="MS Gothic" w:eastAsia="MS Gothic" w:hAnsi="MS Gothic" w:hint="eastAsia"/>
                    <w:sz w:val="24"/>
                    <w:szCs w:val="24"/>
                  </w:rPr>
                  <w:t>☐</w:t>
                </w:r>
              </w:p>
            </w:tc>
          </w:sdtContent>
        </w:sdt>
        <w:tc>
          <w:tcPr>
            <w:tcW w:w="803" w:type="dxa"/>
          </w:tcPr>
          <w:p w14:paraId="30520857" w14:textId="34BBB5FF" w:rsidR="00152D40" w:rsidRPr="00152D40" w:rsidRDefault="006F7673" w:rsidP="006D7240">
            <w:pPr>
              <w:jc w:val="center"/>
              <w:rPr>
                <w:sz w:val="24"/>
                <w:szCs w:val="24"/>
              </w:rPr>
            </w:pPr>
            <w:hyperlink w:anchor="_Use_the_Data" w:history="1">
              <w:r w:rsidR="00D6786C" w:rsidRPr="00D6786C">
                <w:rPr>
                  <w:rStyle w:val="Hyperlink"/>
                  <w:sz w:val="24"/>
                  <w:szCs w:val="24"/>
                </w:rPr>
                <w:t>9</w:t>
              </w:r>
            </w:hyperlink>
          </w:p>
        </w:tc>
      </w:tr>
      <w:tr w:rsidR="006D7240" w14:paraId="4B7922EF" w14:textId="77777777" w:rsidTr="006D7240">
        <w:tc>
          <w:tcPr>
            <w:tcW w:w="7946" w:type="dxa"/>
          </w:tcPr>
          <w:p w14:paraId="6DC07543" w14:textId="0DF37341" w:rsidR="006D7240" w:rsidRPr="00152D40" w:rsidRDefault="00E63593" w:rsidP="006D7240">
            <w:pPr>
              <w:rPr>
                <w:sz w:val="24"/>
                <w:szCs w:val="24"/>
              </w:rPr>
            </w:pPr>
            <w:r>
              <w:rPr>
                <w:sz w:val="24"/>
                <w:szCs w:val="24"/>
              </w:rPr>
              <w:t>Perform a s</w:t>
            </w:r>
            <w:r w:rsidR="006D7240" w:rsidRPr="00152D40">
              <w:rPr>
                <w:sz w:val="24"/>
                <w:szCs w:val="24"/>
              </w:rPr>
              <w:t xml:space="preserve">pot check </w:t>
            </w:r>
            <w:r>
              <w:rPr>
                <w:sz w:val="24"/>
                <w:szCs w:val="24"/>
              </w:rPr>
              <w:t xml:space="preserve">of the </w:t>
            </w:r>
            <w:r w:rsidR="006D7240" w:rsidRPr="00152D40">
              <w:rPr>
                <w:sz w:val="24"/>
                <w:szCs w:val="24"/>
              </w:rPr>
              <w:t>data</w:t>
            </w:r>
          </w:p>
        </w:tc>
        <w:sdt>
          <w:sdtPr>
            <w:rPr>
              <w:sz w:val="24"/>
              <w:szCs w:val="24"/>
            </w:rPr>
            <w:id w:val="1000462768"/>
            <w14:checkbox>
              <w14:checked w14:val="0"/>
              <w14:checkedState w14:val="2612" w14:font="MS Gothic"/>
              <w14:uncheckedState w14:val="2610" w14:font="MS Gothic"/>
            </w14:checkbox>
          </w:sdtPr>
          <w:sdtContent>
            <w:tc>
              <w:tcPr>
                <w:tcW w:w="1321" w:type="dxa"/>
              </w:tcPr>
              <w:p w14:paraId="0B5F7644" w14:textId="77777777" w:rsidR="006D7240" w:rsidRPr="00152D40" w:rsidRDefault="006D7240" w:rsidP="006D7240">
                <w:pPr>
                  <w:jc w:val="center"/>
                  <w:rPr>
                    <w:sz w:val="24"/>
                    <w:szCs w:val="24"/>
                  </w:rPr>
                </w:pPr>
                <w:r w:rsidRPr="00152D40">
                  <w:rPr>
                    <w:rFonts w:ascii="MS Gothic" w:eastAsia="MS Gothic" w:hAnsi="MS Gothic" w:hint="eastAsia"/>
                    <w:sz w:val="24"/>
                    <w:szCs w:val="24"/>
                  </w:rPr>
                  <w:t>☐</w:t>
                </w:r>
              </w:p>
            </w:tc>
          </w:sdtContent>
        </w:sdt>
        <w:tc>
          <w:tcPr>
            <w:tcW w:w="803" w:type="dxa"/>
          </w:tcPr>
          <w:p w14:paraId="6848C9F8" w14:textId="405ED5AF" w:rsidR="006D7240" w:rsidRPr="00152D40" w:rsidRDefault="006F7673" w:rsidP="006D7240">
            <w:pPr>
              <w:jc w:val="center"/>
              <w:rPr>
                <w:sz w:val="24"/>
                <w:szCs w:val="24"/>
              </w:rPr>
            </w:pPr>
            <w:hyperlink w:anchor="SpotCheck" w:history="1">
              <w:r w:rsidR="00D6786C">
                <w:rPr>
                  <w:rStyle w:val="Hyperlink"/>
                  <w:sz w:val="24"/>
                  <w:szCs w:val="24"/>
                </w:rPr>
                <w:t>9</w:t>
              </w:r>
            </w:hyperlink>
          </w:p>
        </w:tc>
      </w:tr>
      <w:tr w:rsidR="006D7240" w14:paraId="6A20BB52" w14:textId="77777777" w:rsidTr="006D7240">
        <w:tc>
          <w:tcPr>
            <w:tcW w:w="7946" w:type="dxa"/>
          </w:tcPr>
          <w:p w14:paraId="013DFDA0" w14:textId="77777777" w:rsidR="006D7240" w:rsidRPr="00152D40" w:rsidRDefault="006D7240" w:rsidP="006D7240">
            <w:pPr>
              <w:rPr>
                <w:sz w:val="24"/>
                <w:szCs w:val="24"/>
              </w:rPr>
            </w:pPr>
            <w:r w:rsidRPr="00152D40">
              <w:rPr>
                <w:sz w:val="24"/>
                <w:szCs w:val="24"/>
              </w:rPr>
              <w:t>Check and compare denominators</w:t>
            </w:r>
          </w:p>
        </w:tc>
        <w:sdt>
          <w:sdtPr>
            <w:rPr>
              <w:sz w:val="24"/>
              <w:szCs w:val="24"/>
            </w:rPr>
            <w:id w:val="-968435011"/>
            <w14:checkbox>
              <w14:checked w14:val="0"/>
              <w14:checkedState w14:val="2612" w14:font="MS Gothic"/>
              <w14:uncheckedState w14:val="2610" w14:font="MS Gothic"/>
            </w14:checkbox>
          </w:sdtPr>
          <w:sdtContent>
            <w:tc>
              <w:tcPr>
                <w:tcW w:w="1321" w:type="dxa"/>
              </w:tcPr>
              <w:p w14:paraId="42378B96" w14:textId="77777777" w:rsidR="006D7240" w:rsidRPr="00152D40" w:rsidRDefault="006D7240" w:rsidP="006D7240">
                <w:pPr>
                  <w:jc w:val="center"/>
                  <w:rPr>
                    <w:sz w:val="24"/>
                    <w:szCs w:val="24"/>
                  </w:rPr>
                </w:pPr>
                <w:r w:rsidRPr="00152D40">
                  <w:rPr>
                    <w:rFonts w:ascii="MS Gothic" w:eastAsia="MS Gothic" w:hAnsi="MS Gothic" w:hint="eastAsia"/>
                    <w:sz w:val="24"/>
                    <w:szCs w:val="24"/>
                  </w:rPr>
                  <w:t>☐</w:t>
                </w:r>
              </w:p>
            </w:tc>
          </w:sdtContent>
        </w:sdt>
        <w:tc>
          <w:tcPr>
            <w:tcW w:w="803" w:type="dxa"/>
          </w:tcPr>
          <w:p w14:paraId="67F2D6A1" w14:textId="79C8A95F" w:rsidR="006D7240" w:rsidRPr="00152D40" w:rsidRDefault="006F7673" w:rsidP="006D7240">
            <w:pPr>
              <w:jc w:val="center"/>
              <w:rPr>
                <w:sz w:val="24"/>
                <w:szCs w:val="24"/>
              </w:rPr>
            </w:pPr>
            <w:hyperlink w:anchor="_Denominator_review" w:history="1">
              <w:r w:rsidR="00D6786C">
                <w:rPr>
                  <w:rStyle w:val="Hyperlink"/>
                  <w:sz w:val="24"/>
                  <w:szCs w:val="24"/>
                </w:rPr>
                <w:t>11</w:t>
              </w:r>
            </w:hyperlink>
          </w:p>
        </w:tc>
      </w:tr>
      <w:tr w:rsidR="00E63593" w14:paraId="22568FD9" w14:textId="77777777" w:rsidTr="00584A4D">
        <w:tc>
          <w:tcPr>
            <w:tcW w:w="7946" w:type="dxa"/>
            <w:tcBorders>
              <w:right w:val="nil"/>
            </w:tcBorders>
          </w:tcPr>
          <w:p w14:paraId="587103AA" w14:textId="77777777" w:rsidR="00E63593" w:rsidRPr="00152D40" w:rsidRDefault="00E63593" w:rsidP="006D7240">
            <w:pPr>
              <w:rPr>
                <w:sz w:val="24"/>
                <w:szCs w:val="24"/>
              </w:rPr>
            </w:pPr>
          </w:p>
        </w:tc>
        <w:tc>
          <w:tcPr>
            <w:tcW w:w="1321" w:type="dxa"/>
            <w:tcBorders>
              <w:left w:val="nil"/>
              <w:right w:val="nil"/>
            </w:tcBorders>
          </w:tcPr>
          <w:p w14:paraId="02A684C0" w14:textId="77777777" w:rsidR="00E63593" w:rsidRDefault="00E63593" w:rsidP="006D7240">
            <w:pPr>
              <w:jc w:val="center"/>
              <w:rPr>
                <w:sz w:val="24"/>
                <w:szCs w:val="24"/>
              </w:rPr>
            </w:pPr>
          </w:p>
        </w:tc>
        <w:tc>
          <w:tcPr>
            <w:tcW w:w="803" w:type="dxa"/>
            <w:tcBorders>
              <w:left w:val="nil"/>
            </w:tcBorders>
          </w:tcPr>
          <w:p w14:paraId="493F741E" w14:textId="77777777" w:rsidR="00E63593" w:rsidRDefault="00E63593" w:rsidP="006D7240">
            <w:pPr>
              <w:jc w:val="center"/>
            </w:pPr>
          </w:p>
        </w:tc>
      </w:tr>
      <w:tr w:rsidR="00E63593" w14:paraId="64274216" w14:textId="77777777" w:rsidTr="00E63593">
        <w:tc>
          <w:tcPr>
            <w:tcW w:w="7946" w:type="dxa"/>
            <w:shd w:val="clear" w:color="auto" w:fill="D9D9D9" w:themeFill="background1" w:themeFillShade="D9"/>
          </w:tcPr>
          <w:p w14:paraId="31FDC537" w14:textId="72C87A7C" w:rsidR="00E63593" w:rsidRPr="00E63593" w:rsidRDefault="00E63593" w:rsidP="006D7240">
            <w:pPr>
              <w:rPr>
                <w:b/>
                <w:bCs/>
                <w:sz w:val="24"/>
                <w:szCs w:val="24"/>
              </w:rPr>
            </w:pPr>
            <w:r w:rsidRPr="00E63593">
              <w:rPr>
                <w:b/>
                <w:bCs/>
                <w:sz w:val="24"/>
                <w:szCs w:val="24"/>
              </w:rPr>
              <w:t>Appendix: Links to referenced documents</w:t>
            </w:r>
          </w:p>
        </w:tc>
        <w:sdt>
          <w:sdtPr>
            <w:rPr>
              <w:sz w:val="24"/>
              <w:szCs w:val="24"/>
            </w:rPr>
            <w:id w:val="-1660301267"/>
            <w14:checkbox>
              <w14:checked w14:val="0"/>
              <w14:checkedState w14:val="2612" w14:font="MS Gothic"/>
              <w14:uncheckedState w14:val="2610" w14:font="MS Gothic"/>
            </w14:checkbox>
          </w:sdtPr>
          <w:sdtContent>
            <w:tc>
              <w:tcPr>
                <w:tcW w:w="1321" w:type="dxa"/>
              </w:tcPr>
              <w:p w14:paraId="6F83914A" w14:textId="5A7E5C8A" w:rsidR="00E63593" w:rsidRDefault="00336F75" w:rsidP="006D7240">
                <w:pPr>
                  <w:jc w:val="center"/>
                  <w:rPr>
                    <w:sz w:val="24"/>
                    <w:szCs w:val="24"/>
                  </w:rPr>
                </w:pPr>
                <w:r w:rsidRPr="00152D40">
                  <w:rPr>
                    <w:rFonts w:ascii="MS Gothic" w:eastAsia="MS Gothic" w:hAnsi="MS Gothic" w:hint="eastAsia"/>
                    <w:sz w:val="24"/>
                    <w:szCs w:val="24"/>
                  </w:rPr>
                  <w:t>☐</w:t>
                </w:r>
              </w:p>
            </w:tc>
          </w:sdtContent>
        </w:sdt>
        <w:tc>
          <w:tcPr>
            <w:tcW w:w="803" w:type="dxa"/>
          </w:tcPr>
          <w:p w14:paraId="2569BA92" w14:textId="6E0EC028" w:rsidR="00E63593" w:rsidRPr="00B45A17" w:rsidRDefault="006F7673" w:rsidP="006D7240">
            <w:pPr>
              <w:jc w:val="center"/>
              <w:rPr>
                <w:sz w:val="24"/>
                <w:szCs w:val="24"/>
              </w:rPr>
            </w:pPr>
            <w:hyperlink w:anchor="Appendix" w:history="1">
              <w:r w:rsidR="00336F75" w:rsidRPr="00B45A17">
                <w:rPr>
                  <w:rStyle w:val="Hyperlink"/>
                  <w:sz w:val="24"/>
                  <w:szCs w:val="24"/>
                </w:rPr>
                <w:t>14</w:t>
              </w:r>
            </w:hyperlink>
          </w:p>
        </w:tc>
      </w:tr>
    </w:tbl>
    <w:p w14:paraId="4F6B5EE6" w14:textId="77777777" w:rsidR="006D7240" w:rsidRPr="002D62E0" w:rsidRDefault="006D7240" w:rsidP="006D7240"/>
    <w:p w14:paraId="0CD63E0A" w14:textId="77777777" w:rsidR="006D7240" w:rsidRDefault="006D7240" w:rsidP="006740DC">
      <w:pPr>
        <w:sectPr w:rsidR="006D7240" w:rsidSect="003D38E6">
          <w:headerReference w:type="even" r:id="rId13"/>
          <w:headerReference w:type="default" r:id="rId14"/>
          <w:footerReference w:type="even" r:id="rId15"/>
          <w:footerReference w:type="default" r:id="rId16"/>
          <w:headerReference w:type="first" r:id="rId17"/>
          <w:footerReference w:type="first" r:id="rId18"/>
          <w:pgSz w:w="12240" w:h="15840" w:code="1"/>
          <w:pgMar w:top="540" w:right="720" w:bottom="720" w:left="720" w:header="720" w:footer="288" w:gutter="0"/>
          <w:cols w:space="720"/>
          <w:titlePg/>
          <w:docGrid w:linePitch="360"/>
        </w:sectPr>
      </w:pPr>
    </w:p>
    <w:p w14:paraId="79B344C5" w14:textId="77777777" w:rsidR="006D7240" w:rsidRPr="008670B9" w:rsidRDefault="006D7240" w:rsidP="006D7240">
      <w:pPr>
        <w:pStyle w:val="Heading2"/>
      </w:pPr>
      <w:bookmarkStart w:id="0" w:name="_NHSN_Location_Mapping"/>
      <w:bookmarkEnd w:id="0"/>
      <w:r w:rsidRPr="008670B9">
        <w:lastRenderedPageBreak/>
        <w:t>NHSN Location Mapping</w:t>
      </w:r>
    </w:p>
    <w:p w14:paraId="6D622709" w14:textId="77777777" w:rsidR="006D7240" w:rsidRPr="006D7240" w:rsidRDefault="006D7240" w:rsidP="006D7240">
      <w:pPr>
        <w:rPr>
          <w:szCs w:val="21"/>
        </w:rPr>
      </w:pPr>
      <w:r w:rsidRPr="006D7240">
        <w:rPr>
          <w:szCs w:val="21"/>
        </w:rPr>
        <w:t>It’s important to keep your facility’s NHSN Locations up to date so that your data can be appropriately risk adjusted in the SAAR calculations</w:t>
      </w:r>
      <w:r w:rsidRPr="006D7240">
        <w:rPr>
          <w:b/>
          <w:szCs w:val="21"/>
        </w:rPr>
        <w:t xml:space="preserve">. You should discuss locations with your facility’s Infection Prevention department since your facility should use the </w:t>
      </w:r>
      <w:r w:rsidRPr="006D7240">
        <w:rPr>
          <w:b/>
          <w:szCs w:val="21"/>
          <w:u w:val="single"/>
        </w:rPr>
        <w:t>exact same NHSN locations for reporting all NHSN data</w:t>
      </w:r>
      <w:r w:rsidRPr="006D7240">
        <w:rPr>
          <w:b/>
          <w:szCs w:val="21"/>
        </w:rPr>
        <w:t>, which includes both HAI and AU.</w:t>
      </w:r>
      <w:r w:rsidRPr="006D7240">
        <w:rPr>
          <w:szCs w:val="21"/>
        </w:rPr>
        <w:t xml:space="preserve"> Details on the location mapping process as well as the detailed descriptions of all CDC Location Types can be found in the </w:t>
      </w:r>
      <w:hyperlink r:id="rId19" w:history="1">
        <w:r w:rsidRPr="006D7240">
          <w:rPr>
            <w:rStyle w:val="Hyperlink"/>
            <w:szCs w:val="21"/>
          </w:rPr>
          <w:t>NHSN Location Protocol</w:t>
        </w:r>
      </w:hyperlink>
      <w:r w:rsidRPr="006D7240">
        <w:rPr>
          <w:szCs w:val="21"/>
        </w:rPr>
        <w:t xml:space="preserve">. Facilities can find additional details within the </w:t>
      </w:r>
      <w:hyperlink r:id="rId20" w:history="1">
        <w:r w:rsidRPr="006D7240">
          <w:rPr>
            <w:rStyle w:val="Hyperlink"/>
            <w:szCs w:val="21"/>
          </w:rPr>
          <w:t>NHSN location FAQs</w:t>
        </w:r>
      </w:hyperlink>
      <w:r w:rsidRPr="006D7240">
        <w:rPr>
          <w:szCs w:val="21"/>
        </w:rPr>
        <w:t xml:space="preserve">.  </w:t>
      </w:r>
    </w:p>
    <w:p w14:paraId="69806CA4" w14:textId="77777777" w:rsidR="006D7240" w:rsidRPr="006D7240" w:rsidRDefault="006D7240" w:rsidP="006D7240">
      <w:pPr>
        <w:rPr>
          <w:szCs w:val="21"/>
        </w:rPr>
      </w:pPr>
      <w:r w:rsidRPr="006D7240">
        <w:rPr>
          <w:szCs w:val="21"/>
        </w:rPr>
        <w:t>Users with Administrative rights within the NHSN facility can see the NHSN locations after logging into NHSN by clicking “Facility” then “Locations” on the left-hand navigation bar. On the Locations screen, click “Find” to generate a table of all active locations within your NHSN facility. To work on the locations outside of NHSN from an excel file, click “Export Location List” on the Locations screen.</w:t>
      </w:r>
    </w:p>
    <w:p w14:paraId="7ED4D0D3" w14:textId="77777777" w:rsidR="006D7240" w:rsidRPr="006D7240" w:rsidRDefault="006D7240" w:rsidP="006D7240">
      <w:pPr>
        <w:rPr>
          <w:szCs w:val="21"/>
        </w:rPr>
      </w:pPr>
      <w:r w:rsidRPr="006D7240">
        <w:rPr>
          <w:szCs w:val="21"/>
        </w:rPr>
        <w:t>After reviewing the current list of active locations within your NHSN facility, address the following questions:</w:t>
      </w:r>
    </w:p>
    <w:p w14:paraId="455C3B84" w14:textId="142B0EE5" w:rsidR="006D7240" w:rsidRPr="006D7240" w:rsidRDefault="006D7240" w:rsidP="006D7240">
      <w:pPr>
        <w:pStyle w:val="ListParagraph"/>
        <w:numPr>
          <w:ilvl w:val="0"/>
          <w:numId w:val="1"/>
        </w:numPr>
        <w:rPr>
          <w:sz w:val="21"/>
          <w:szCs w:val="21"/>
        </w:rPr>
      </w:pPr>
      <w:bookmarkStart w:id="1" w:name="LocPtMix"/>
      <w:bookmarkEnd w:id="1"/>
      <w:r w:rsidRPr="006D7240">
        <w:rPr>
          <w:sz w:val="21"/>
          <w:szCs w:val="21"/>
        </w:rPr>
        <w:t xml:space="preserve">Of the active locations, are there any changes in patient mix (for example, a location that was previously a Medical Ward </w:t>
      </w:r>
      <w:r w:rsidR="00701546">
        <w:rPr>
          <w:sz w:val="21"/>
          <w:szCs w:val="21"/>
        </w:rPr>
        <w:t>which</w:t>
      </w:r>
      <w:r w:rsidR="00190AE5">
        <w:rPr>
          <w:sz w:val="21"/>
          <w:szCs w:val="21"/>
        </w:rPr>
        <w:t xml:space="preserve"> </w:t>
      </w:r>
      <w:r w:rsidRPr="006D7240">
        <w:rPr>
          <w:sz w:val="21"/>
          <w:szCs w:val="21"/>
        </w:rPr>
        <w:t>should now</w:t>
      </w:r>
      <w:r w:rsidR="00701546">
        <w:rPr>
          <w:sz w:val="21"/>
          <w:szCs w:val="21"/>
        </w:rPr>
        <w:t xml:space="preserve"> </w:t>
      </w:r>
      <w:proofErr w:type="gramStart"/>
      <w:r w:rsidR="00701546">
        <w:rPr>
          <w:sz w:val="21"/>
          <w:szCs w:val="21"/>
        </w:rPr>
        <w:t>be</w:t>
      </w:r>
      <w:r w:rsidRPr="006D7240">
        <w:rPr>
          <w:sz w:val="21"/>
          <w:szCs w:val="21"/>
        </w:rPr>
        <w:t xml:space="preserve"> classif</w:t>
      </w:r>
      <w:r w:rsidR="00701546">
        <w:rPr>
          <w:sz w:val="21"/>
          <w:szCs w:val="21"/>
        </w:rPr>
        <w:t>ied</w:t>
      </w:r>
      <w:proofErr w:type="gramEnd"/>
      <w:r w:rsidRPr="006D7240">
        <w:rPr>
          <w:sz w:val="21"/>
          <w:szCs w:val="21"/>
        </w:rPr>
        <w:t xml:space="preserve"> as a Medical/Surgical Ward)?</w:t>
      </w:r>
    </w:p>
    <w:p w14:paraId="7E64235F" w14:textId="77777777" w:rsidR="006D7240" w:rsidRPr="006D7240" w:rsidRDefault="006D7240" w:rsidP="006D7240">
      <w:pPr>
        <w:pStyle w:val="ListParagraph"/>
        <w:numPr>
          <w:ilvl w:val="1"/>
          <w:numId w:val="1"/>
        </w:numPr>
        <w:rPr>
          <w:sz w:val="21"/>
          <w:szCs w:val="21"/>
        </w:rPr>
      </w:pPr>
      <w:r w:rsidRPr="006D7240">
        <w:rPr>
          <w:sz w:val="21"/>
          <w:szCs w:val="21"/>
        </w:rPr>
        <w:t xml:space="preserve">If there are changes that need to occur, </w:t>
      </w:r>
      <w:r w:rsidRPr="006D7240">
        <w:rPr>
          <w:b/>
          <w:sz w:val="21"/>
          <w:szCs w:val="21"/>
        </w:rPr>
        <w:t>work with the IP</w:t>
      </w:r>
      <w:r w:rsidRPr="006D7240">
        <w:rPr>
          <w:sz w:val="21"/>
          <w:szCs w:val="21"/>
        </w:rPr>
        <w:t xml:space="preserve"> to:</w:t>
      </w:r>
    </w:p>
    <w:p w14:paraId="62ADED58" w14:textId="77777777" w:rsidR="006D7240" w:rsidRPr="006D7240" w:rsidRDefault="006D7240" w:rsidP="006D7240">
      <w:pPr>
        <w:pStyle w:val="ListParagraph"/>
        <w:numPr>
          <w:ilvl w:val="2"/>
          <w:numId w:val="1"/>
        </w:numPr>
        <w:rPr>
          <w:sz w:val="21"/>
          <w:szCs w:val="21"/>
        </w:rPr>
      </w:pPr>
      <w:r w:rsidRPr="006D7240">
        <w:rPr>
          <w:sz w:val="21"/>
          <w:szCs w:val="21"/>
        </w:rPr>
        <w:t>Add the new location(s) with a unique “Your Code” value and the appropriate CDC Location Description.</w:t>
      </w:r>
    </w:p>
    <w:p w14:paraId="4577304B" w14:textId="77777777" w:rsidR="006D7240" w:rsidRPr="006D7240" w:rsidRDefault="006D7240" w:rsidP="006D7240">
      <w:pPr>
        <w:pStyle w:val="ListParagraph"/>
        <w:numPr>
          <w:ilvl w:val="2"/>
          <w:numId w:val="1"/>
        </w:numPr>
        <w:rPr>
          <w:sz w:val="21"/>
          <w:szCs w:val="21"/>
        </w:rPr>
      </w:pPr>
      <w:r w:rsidRPr="006D7240">
        <w:rPr>
          <w:sz w:val="21"/>
          <w:szCs w:val="21"/>
        </w:rPr>
        <w:t xml:space="preserve">Once you and the IP have entered/uploaded </w:t>
      </w:r>
      <w:r w:rsidRPr="006D7240">
        <w:rPr>
          <w:b/>
          <w:sz w:val="21"/>
          <w:szCs w:val="21"/>
        </w:rPr>
        <w:t>all</w:t>
      </w:r>
      <w:r w:rsidRPr="006D7240">
        <w:rPr>
          <w:sz w:val="21"/>
          <w:szCs w:val="21"/>
        </w:rPr>
        <w:t xml:space="preserve"> historical NHSN data, set the old location(s) to inactive. </w:t>
      </w:r>
    </w:p>
    <w:p w14:paraId="08849999" w14:textId="75027FEC" w:rsidR="006D7240" w:rsidRPr="006D7240" w:rsidRDefault="006D7240" w:rsidP="006D7240">
      <w:pPr>
        <w:pStyle w:val="ListParagraph"/>
        <w:numPr>
          <w:ilvl w:val="2"/>
          <w:numId w:val="1"/>
        </w:numPr>
        <w:rPr>
          <w:sz w:val="21"/>
          <w:szCs w:val="21"/>
        </w:rPr>
      </w:pPr>
      <w:r w:rsidRPr="006D7240">
        <w:rPr>
          <w:sz w:val="21"/>
          <w:szCs w:val="21"/>
        </w:rPr>
        <w:t>Update your monthly reporting plan to remove the old inactive(s) location and add the new location(s)</w:t>
      </w:r>
      <w:r w:rsidR="00725B57">
        <w:rPr>
          <w:sz w:val="21"/>
          <w:szCs w:val="21"/>
        </w:rPr>
        <w:t xml:space="preserve"> for each month the new location type was active</w:t>
      </w:r>
      <w:r w:rsidRPr="006D7240">
        <w:rPr>
          <w:sz w:val="21"/>
          <w:szCs w:val="21"/>
        </w:rPr>
        <w:t>.</w:t>
      </w:r>
    </w:p>
    <w:p w14:paraId="620528B8" w14:textId="77777777" w:rsidR="006D7240" w:rsidRPr="006D7240" w:rsidRDefault="006D7240" w:rsidP="006D7240">
      <w:pPr>
        <w:pStyle w:val="ListParagraph"/>
        <w:numPr>
          <w:ilvl w:val="2"/>
          <w:numId w:val="1"/>
        </w:numPr>
        <w:rPr>
          <w:sz w:val="21"/>
          <w:szCs w:val="21"/>
        </w:rPr>
      </w:pPr>
      <w:r w:rsidRPr="006D7240">
        <w:rPr>
          <w:sz w:val="21"/>
          <w:szCs w:val="21"/>
        </w:rPr>
        <w:t xml:space="preserve">Make/confirm the change in your vendor system. Be sure you enter the exact “Your Code” and CDC Location Description values used by the new NHSN location(s) added above. The vendor system uses those values in the CDA file generation and upload process. </w:t>
      </w:r>
    </w:p>
    <w:p w14:paraId="7AF80623" w14:textId="77777777" w:rsidR="006D7240" w:rsidRPr="006D7240" w:rsidRDefault="006D7240" w:rsidP="006D7240">
      <w:pPr>
        <w:pStyle w:val="ListParagraph"/>
        <w:ind w:left="2160"/>
        <w:rPr>
          <w:sz w:val="21"/>
          <w:szCs w:val="21"/>
        </w:rPr>
      </w:pPr>
    </w:p>
    <w:p w14:paraId="1810711E" w14:textId="77777777" w:rsidR="006D7240" w:rsidRPr="006D7240" w:rsidRDefault="006D7240" w:rsidP="006D7240">
      <w:pPr>
        <w:pStyle w:val="ListParagraph"/>
        <w:numPr>
          <w:ilvl w:val="0"/>
          <w:numId w:val="1"/>
        </w:numPr>
        <w:rPr>
          <w:sz w:val="21"/>
          <w:szCs w:val="21"/>
        </w:rPr>
      </w:pPr>
      <w:bookmarkStart w:id="2" w:name="LocNewLocs"/>
      <w:bookmarkEnd w:id="2"/>
      <w:r w:rsidRPr="006D7240">
        <w:rPr>
          <w:sz w:val="21"/>
          <w:szCs w:val="21"/>
        </w:rPr>
        <w:t>Are there any new locations (for example, new construction) that your facility needs to add to NHSN?</w:t>
      </w:r>
    </w:p>
    <w:p w14:paraId="49D03DE0" w14:textId="77777777" w:rsidR="006D7240" w:rsidRPr="006D7240" w:rsidRDefault="006D7240" w:rsidP="006D7240">
      <w:pPr>
        <w:pStyle w:val="ListParagraph"/>
        <w:numPr>
          <w:ilvl w:val="1"/>
          <w:numId w:val="1"/>
        </w:numPr>
        <w:rPr>
          <w:sz w:val="21"/>
          <w:szCs w:val="21"/>
        </w:rPr>
      </w:pPr>
      <w:r w:rsidRPr="006D7240">
        <w:rPr>
          <w:sz w:val="21"/>
          <w:szCs w:val="21"/>
        </w:rPr>
        <w:t xml:space="preserve">If there are any new locations, </w:t>
      </w:r>
      <w:r w:rsidRPr="006D7240">
        <w:rPr>
          <w:b/>
          <w:sz w:val="21"/>
          <w:szCs w:val="21"/>
        </w:rPr>
        <w:t>work with the IP</w:t>
      </w:r>
      <w:r w:rsidRPr="006D7240">
        <w:rPr>
          <w:sz w:val="21"/>
          <w:szCs w:val="21"/>
        </w:rPr>
        <w:t xml:space="preserve"> to:</w:t>
      </w:r>
    </w:p>
    <w:p w14:paraId="54E29A22" w14:textId="77777777" w:rsidR="006D7240" w:rsidRPr="006D7240" w:rsidRDefault="006D7240" w:rsidP="006D7240">
      <w:pPr>
        <w:pStyle w:val="ListParagraph"/>
        <w:numPr>
          <w:ilvl w:val="2"/>
          <w:numId w:val="1"/>
        </w:numPr>
        <w:rPr>
          <w:sz w:val="21"/>
          <w:szCs w:val="21"/>
        </w:rPr>
      </w:pPr>
      <w:r w:rsidRPr="006D7240">
        <w:rPr>
          <w:sz w:val="21"/>
          <w:szCs w:val="21"/>
        </w:rPr>
        <w:t>Add the new location(s) with a unique “Your Code” value and the appropriate CDC Location Description.</w:t>
      </w:r>
    </w:p>
    <w:p w14:paraId="143FE970" w14:textId="77777777" w:rsidR="006D7240" w:rsidRPr="006D7240" w:rsidRDefault="006D7240" w:rsidP="006D7240">
      <w:pPr>
        <w:pStyle w:val="ListParagraph"/>
        <w:numPr>
          <w:ilvl w:val="2"/>
          <w:numId w:val="1"/>
        </w:numPr>
        <w:rPr>
          <w:sz w:val="21"/>
          <w:szCs w:val="21"/>
        </w:rPr>
      </w:pPr>
      <w:r w:rsidRPr="006D7240">
        <w:rPr>
          <w:sz w:val="21"/>
          <w:szCs w:val="21"/>
        </w:rPr>
        <w:t>Update your monthly reporting plan to add the new location(s).</w:t>
      </w:r>
    </w:p>
    <w:p w14:paraId="72EB346B" w14:textId="77777777" w:rsidR="006D7240" w:rsidRPr="006D7240" w:rsidRDefault="006D7240" w:rsidP="006D7240">
      <w:pPr>
        <w:pStyle w:val="ListParagraph"/>
        <w:numPr>
          <w:ilvl w:val="2"/>
          <w:numId w:val="1"/>
        </w:numPr>
        <w:rPr>
          <w:sz w:val="21"/>
          <w:szCs w:val="21"/>
        </w:rPr>
      </w:pPr>
      <w:r w:rsidRPr="006D7240">
        <w:rPr>
          <w:sz w:val="21"/>
          <w:szCs w:val="21"/>
        </w:rPr>
        <w:t xml:space="preserve">Make/confirm the change in your vendor system. Be sure you enter the exact “Your Code” and CDC Location Description values used by the new NHSN location(s) added above. The vendor system uses those values in the CDA file generation and upload process. </w:t>
      </w:r>
    </w:p>
    <w:p w14:paraId="4446D8B1" w14:textId="77777777" w:rsidR="006D7240" w:rsidRPr="006D7240" w:rsidRDefault="006D7240" w:rsidP="006D7240">
      <w:pPr>
        <w:pStyle w:val="ListParagraph"/>
        <w:ind w:left="2160"/>
        <w:rPr>
          <w:sz w:val="21"/>
          <w:szCs w:val="21"/>
        </w:rPr>
      </w:pPr>
    </w:p>
    <w:p w14:paraId="6CF3E6D3" w14:textId="77777777" w:rsidR="006D7240" w:rsidRPr="006D7240" w:rsidRDefault="006D7240" w:rsidP="006D7240">
      <w:pPr>
        <w:pStyle w:val="ListParagraph"/>
        <w:numPr>
          <w:ilvl w:val="0"/>
          <w:numId w:val="1"/>
        </w:numPr>
        <w:rPr>
          <w:sz w:val="21"/>
          <w:szCs w:val="21"/>
        </w:rPr>
      </w:pPr>
      <w:bookmarkStart w:id="3" w:name="LocClosed"/>
      <w:bookmarkEnd w:id="3"/>
      <w:r w:rsidRPr="006D7240">
        <w:rPr>
          <w:sz w:val="21"/>
          <w:szCs w:val="21"/>
        </w:rPr>
        <w:t>Has your facility permanently closed any locations (for example, no longer have an inpatient rehabilitation location at the facility)?</w:t>
      </w:r>
    </w:p>
    <w:p w14:paraId="63EB1566" w14:textId="77777777" w:rsidR="006D7240" w:rsidRPr="006D7240" w:rsidRDefault="006D7240" w:rsidP="006D7240">
      <w:pPr>
        <w:pStyle w:val="ListParagraph"/>
        <w:numPr>
          <w:ilvl w:val="1"/>
          <w:numId w:val="1"/>
        </w:numPr>
        <w:rPr>
          <w:sz w:val="21"/>
          <w:szCs w:val="21"/>
        </w:rPr>
      </w:pPr>
      <w:r w:rsidRPr="006D7240">
        <w:rPr>
          <w:sz w:val="21"/>
          <w:szCs w:val="21"/>
        </w:rPr>
        <w:t xml:space="preserve">If your facility has permanently closed any locations, </w:t>
      </w:r>
      <w:r w:rsidRPr="006D7240">
        <w:rPr>
          <w:b/>
          <w:sz w:val="21"/>
          <w:szCs w:val="21"/>
        </w:rPr>
        <w:t>work with the IP</w:t>
      </w:r>
      <w:r w:rsidRPr="006D7240">
        <w:rPr>
          <w:sz w:val="21"/>
          <w:szCs w:val="21"/>
        </w:rPr>
        <w:t xml:space="preserve"> to:</w:t>
      </w:r>
    </w:p>
    <w:p w14:paraId="4CA0E7DC" w14:textId="77777777" w:rsidR="006D7240" w:rsidRPr="006D7240" w:rsidRDefault="006D7240" w:rsidP="006D7240">
      <w:pPr>
        <w:pStyle w:val="ListParagraph"/>
        <w:numPr>
          <w:ilvl w:val="2"/>
          <w:numId w:val="1"/>
        </w:numPr>
        <w:rPr>
          <w:sz w:val="21"/>
          <w:szCs w:val="21"/>
        </w:rPr>
      </w:pPr>
      <w:r w:rsidRPr="006D7240">
        <w:rPr>
          <w:sz w:val="21"/>
          <w:szCs w:val="21"/>
        </w:rPr>
        <w:t xml:space="preserve">Set the location(s) to inactive status within the NHSN Location Manager. </w:t>
      </w:r>
    </w:p>
    <w:p w14:paraId="53EBBBC9" w14:textId="77777777" w:rsidR="006D7240" w:rsidRPr="006D7240" w:rsidRDefault="006D7240" w:rsidP="006D7240">
      <w:pPr>
        <w:pStyle w:val="ListParagraph"/>
        <w:numPr>
          <w:ilvl w:val="2"/>
          <w:numId w:val="1"/>
        </w:numPr>
        <w:rPr>
          <w:sz w:val="21"/>
          <w:szCs w:val="21"/>
        </w:rPr>
      </w:pPr>
      <w:r w:rsidRPr="006D7240">
        <w:rPr>
          <w:sz w:val="21"/>
          <w:szCs w:val="21"/>
        </w:rPr>
        <w:t xml:space="preserve">Once you and the IP have entered/uploaded </w:t>
      </w:r>
      <w:r w:rsidRPr="006D7240">
        <w:rPr>
          <w:b/>
          <w:sz w:val="21"/>
          <w:szCs w:val="21"/>
        </w:rPr>
        <w:t>all</w:t>
      </w:r>
      <w:r w:rsidRPr="006D7240">
        <w:rPr>
          <w:sz w:val="21"/>
          <w:szCs w:val="21"/>
        </w:rPr>
        <w:t xml:space="preserve"> historical NHSN data, set the old location(s) to inactive. </w:t>
      </w:r>
    </w:p>
    <w:p w14:paraId="158FF832" w14:textId="399E4E21" w:rsidR="006D7240" w:rsidRPr="006D7240" w:rsidRDefault="006D7240" w:rsidP="006D7240">
      <w:pPr>
        <w:pStyle w:val="ListParagraph"/>
        <w:numPr>
          <w:ilvl w:val="2"/>
          <w:numId w:val="1"/>
        </w:numPr>
        <w:rPr>
          <w:sz w:val="21"/>
          <w:szCs w:val="21"/>
        </w:rPr>
      </w:pPr>
      <w:r w:rsidRPr="006D7240">
        <w:rPr>
          <w:sz w:val="21"/>
          <w:szCs w:val="21"/>
        </w:rPr>
        <w:t>Update your monthly reporting plan to remove the old inactive location(s)</w:t>
      </w:r>
      <w:r w:rsidR="00AC59F8">
        <w:rPr>
          <w:sz w:val="21"/>
          <w:szCs w:val="21"/>
        </w:rPr>
        <w:t xml:space="preserve"> for months in which it </w:t>
      </w:r>
      <w:proofErr w:type="gramStart"/>
      <w:r w:rsidR="00AC59F8">
        <w:rPr>
          <w:sz w:val="21"/>
          <w:szCs w:val="21"/>
        </w:rPr>
        <w:t>was closed</w:t>
      </w:r>
      <w:proofErr w:type="gramEnd"/>
      <w:r w:rsidRPr="006D7240">
        <w:rPr>
          <w:sz w:val="21"/>
          <w:szCs w:val="21"/>
        </w:rPr>
        <w:t>.</w:t>
      </w:r>
    </w:p>
    <w:p w14:paraId="4F315866" w14:textId="77777777" w:rsidR="006D7240" w:rsidRPr="006D7240" w:rsidRDefault="006D7240" w:rsidP="006D7240">
      <w:pPr>
        <w:pStyle w:val="ListParagraph"/>
        <w:numPr>
          <w:ilvl w:val="2"/>
          <w:numId w:val="1"/>
        </w:numPr>
        <w:rPr>
          <w:sz w:val="21"/>
          <w:szCs w:val="21"/>
        </w:rPr>
      </w:pPr>
      <w:r w:rsidRPr="006D7240">
        <w:rPr>
          <w:sz w:val="21"/>
          <w:szCs w:val="21"/>
        </w:rPr>
        <w:t xml:space="preserve">Make/confirm the appropriate change in your vendor system. </w:t>
      </w:r>
    </w:p>
    <w:p w14:paraId="3CE5A7E2" w14:textId="77777777" w:rsidR="006D7240" w:rsidRPr="00B3379E" w:rsidRDefault="006D7240" w:rsidP="008513A0">
      <w:pPr>
        <w:pStyle w:val="Heading2"/>
      </w:pPr>
      <w:bookmarkStart w:id="4" w:name="_Monthly_Reporting_Plans"/>
      <w:bookmarkEnd w:id="4"/>
      <w:r w:rsidRPr="00B3379E">
        <w:lastRenderedPageBreak/>
        <w:t xml:space="preserve">Monthly Reporting Plans </w:t>
      </w:r>
    </w:p>
    <w:p w14:paraId="516660C4" w14:textId="77777777" w:rsidR="006D7240" w:rsidRPr="00190AE5" w:rsidRDefault="006D7240" w:rsidP="006D7240">
      <w:pPr>
        <w:rPr>
          <w:szCs w:val="21"/>
        </w:rPr>
      </w:pPr>
      <w:r w:rsidRPr="00190AE5">
        <w:rPr>
          <w:szCs w:val="21"/>
        </w:rPr>
        <w:t xml:space="preserve">Monthly reporting plans outline which locations the facility plans to submit data for each month. Facilities cannot upload AU Option data off-plan. This means if the facility does not include the given location in the monthly reporting plan for that month, the AU CDA file will fail to upload. Additionally, NHSN generates alerts for missing data based on the selections in the monthly reporting plan. Facilities can complete monthly reporting plans at the beginning of the year for the entire calendar year or prior to monthly upload of AU data. </w:t>
      </w:r>
      <w:r w:rsidRPr="00190AE5">
        <w:rPr>
          <w:b/>
          <w:bCs/>
          <w:szCs w:val="21"/>
        </w:rPr>
        <w:t>NHSN uses the</w:t>
      </w:r>
      <w:r w:rsidRPr="00190AE5">
        <w:rPr>
          <w:b/>
          <w:szCs w:val="21"/>
        </w:rPr>
        <w:t xml:space="preserve"> </w:t>
      </w:r>
      <w:r w:rsidRPr="00190AE5">
        <w:rPr>
          <w:b/>
          <w:szCs w:val="21"/>
          <w:u w:val="single"/>
        </w:rPr>
        <w:t xml:space="preserve">exact same monthly reporting plan for both HAI and AU data, </w:t>
      </w:r>
      <w:r w:rsidRPr="00190AE5">
        <w:rPr>
          <w:b/>
          <w:szCs w:val="21"/>
        </w:rPr>
        <w:t>so it is important to make changes only to the Antimicrobial Use &amp; Resistance Module section of the plan. If your IP normally completes the reporting plan for the AU Option, please work with them to complete the below review.</w:t>
      </w:r>
      <w:r w:rsidRPr="00190AE5">
        <w:rPr>
          <w:b/>
          <w:szCs w:val="21"/>
          <w:u w:val="single"/>
        </w:rPr>
        <w:t xml:space="preserve"> </w:t>
      </w:r>
    </w:p>
    <w:p w14:paraId="5F9B2CF9" w14:textId="1AC746AF" w:rsidR="006D7240" w:rsidRPr="00190AE5" w:rsidRDefault="006D7240" w:rsidP="006D7240">
      <w:pPr>
        <w:rPr>
          <w:szCs w:val="21"/>
        </w:rPr>
      </w:pPr>
      <w:r w:rsidRPr="00190AE5">
        <w:rPr>
          <w:szCs w:val="21"/>
        </w:rPr>
        <w:t>Users with specific rights within the NHSN facility can see the monthly reporting plans after logging into NHSN by clicking “Reporting Plan” then “Add”</w:t>
      </w:r>
      <w:r w:rsidR="003D2BE7">
        <w:rPr>
          <w:szCs w:val="21"/>
        </w:rPr>
        <w:t xml:space="preserve"> or</w:t>
      </w:r>
      <w:r w:rsidR="003D2BE7" w:rsidRPr="003D2BE7">
        <w:rPr>
          <w:szCs w:val="21"/>
        </w:rPr>
        <w:t xml:space="preserve"> </w:t>
      </w:r>
      <w:r w:rsidR="003D2BE7" w:rsidRPr="00190AE5">
        <w:rPr>
          <w:szCs w:val="21"/>
        </w:rPr>
        <w:t xml:space="preserve">“Find” </w:t>
      </w:r>
      <w:r w:rsidRPr="00190AE5">
        <w:rPr>
          <w:szCs w:val="21"/>
        </w:rPr>
        <w:t xml:space="preserve">on the left-hand navigation bar. Select the Month and Year for the specific reporting plan you’d like to add or find. To edit an existing plan, scroll down to the bottom of the reporting plan screen and click “Edit”. </w:t>
      </w:r>
    </w:p>
    <w:p w14:paraId="5F192A44" w14:textId="77777777" w:rsidR="006D7240" w:rsidRPr="00190AE5" w:rsidRDefault="006D7240" w:rsidP="006D7240">
      <w:pPr>
        <w:pStyle w:val="ListParagraph"/>
        <w:numPr>
          <w:ilvl w:val="0"/>
          <w:numId w:val="2"/>
        </w:numPr>
        <w:rPr>
          <w:sz w:val="21"/>
          <w:szCs w:val="21"/>
        </w:rPr>
      </w:pPr>
      <w:bookmarkStart w:id="5" w:name="PlanInactive"/>
      <w:bookmarkEnd w:id="5"/>
      <w:r w:rsidRPr="00190AE5">
        <w:rPr>
          <w:sz w:val="21"/>
          <w:szCs w:val="21"/>
        </w:rPr>
        <w:t xml:space="preserve">Are all locations in the AU section of the reporting plan for this </w:t>
      </w:r>
      <w:r w:rsidRPr="003D2BE7">
        <w:rPr>
          <w:sz w:val="21"/>
          <w:szCs w:val="21"/>
          <w:u w:val="single"/>
        </w:rPr>
        <w:t>current calendar year</w:t>
      </w:r>
      <w:r w:rsidRPr="00190AE5">
        <w:rPr>
          <w:sz w:val="21"/>
          <w:szCs w:val="21"/>
        </w:rPr>
        <w:t xml:space="preserve"> still active? Inactive locations will have “[INACTIVE]” in the location name (see below screenshot):</w:t>
      </w:r>
    </w:p>
    <w:p w14:paraId="63775C6D" w14:textId="77777777" w:rsidR="006D7240" w:rsidRDefault="006D7240" w:rsidP="006D7240">
      <w:pPr>
        <w:ind w:left="360"/>
        <w:jc w:val="center"/>
      </w:pPr>
      <w:r>
        <w:rPr>
          <w:noProof/>
        </w:rPr>
        <w:drawing>
          <wp:inline distT="0" distB="0" distL="0" distR="0" wp14:anchorId="5EADC555" wp14:editId="4B783BCC">
            <wp:extent cx="6400800" cy="1108710"/>
            <wp:effectExtent l="19050" t="19050" r="19050" b="15240"/>
            <wp:docPr id="1" name="Picture 1" descr="Screenshot of reporting plan with an inactive location." title="Inactive reporting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400800" cy="1108710"/>
                    </a:xfrm>
                    <a:prstGeom prst="rect">
                      <a:avLst/>
                    </a:prstGeom>
                    <a:ln>
                      <a:solidFill>
                        <a:schemeClr val="accent1"/>
                      </a:solidFill>
                    </a:ln>
                  </pic:spPr>
                </pic:pic>
              </a:graphicData>
            </a:graphic>
          </wp:inline>
        </w:drawing>
      </w:r>
    </w:p>
    <w:p w14:paraId="7521A6BF" w14:textId="77777777" w:rsidR="006D7240" w:rsidRPr="00190AE5" w:rsidRDefault="006D7240" w:rsidP="006D7240">
      <w:pPr>
        <w:pStyle w:val="ListParagraph"/>
        <w:numPr>
          <w:ilvl w:val="1"/>
          <w:numId w:val="2"/>
        </w:numPr>
        <w:rPr>
          <w:sz w:val="21"/>
          <w:szCs w:val="21"/>
        </w:rPr>
      </w:pPr>
      <w:r w:rsidRPr="00190AE5">
        <w:rPr>
          <w:sz w:val="21"/>
          <w:szCs w:val="21"/>
        </w:rPr>
        <w:t xml:space="preserve">Remove inactive locations from the AU reporting plan by clicking “Edit” at the bottom of the reporting plan screen, then click the trash can icon next to the inactive location. Click “Save” to save the updated reporting plan. Complete these steps for additional months as necessary. </w:t>
      </w:r>
    </w:p>
    <w:p w14:paraId="2706F5D5" w14:textId="77777777" w:rsidR="006D7240" w:rsidRPr="00190AE5" w:rsidRDefault="006D7240" w:rsidP="006D7240">
      <w:pPr>
        <w:pStyle w:val="ListParagraph"/>
        <w:ind w:left="1440"/>
        <w:rPr>
          <w:sz w:val="21"/>
          <w:szCs w:val="21"/>
        </w:rPr>
      </w:pPr>
    </w:p>
    <w:p w14:paraId="5111BD60" w14:textId="77777777" w:rsidR="006D7240" w:rsidRPr="00190AE5" w:rsidRDefault="006D7240" w:rsidP="006D7240">
      <w:pPr>
        <w:pStyle w:val="ListParagraph"/>
        <w:numPr>
          <w:ilvl w:val="0"/>
          <w:numId w:val="2"/>
        </w:numPr>
        <w:rPr>
          <w:sz w:val="21"/>
          <w:szCs w:val="21"/>
        </w:rPr>
      </w:pPr>
      <w:bookmarkStart w:id="6" w:name="PlanNewLocs"/>
      <w:bookmarkEnd w:id="6"/>
      <w:r w:rsidRPr="00190AE5">
        <w:rPr>
          <w:sz w:val="21"/>
          <w:szCs w:val="21"/>
        </w:rPr>
        <w:t xml:space="preserve">Are all new NHSN locations included in the AU reporting plan? This includes new locations due to both a </w:t>
      </w:r>
      <w:hyperlink w:anchor="LocPtMix" w:history="1">
        <w:r w:rsidRPr="00190AE5">
          <w:rPr>
            <w:rStyle w:val="Hyperlink"/>
            <w:sz w:val="21"/>
            <w:szCs w:val="21"/>
          </w:rPr>
          <w:t>change in patient mix</w:t>
        </w:r>
      </w:hyperlink>
      <w:r w:rsidRPr="00190AE5">
        <w:rPr>
          <w:sz w:val="21"/>
          <w:szCs w:val="21"/>
        </w:rPr>
        <w:t xml:space="preserve"> and </w:t>
      </w:r>
      <w:hyperlink w:anchor="LocNewLocs" w:history="1">
        <w:r w:rsidRPr="00190AE5">
          <w:rPr>
            <w:rStyle w:val="Hyperlink"/>
            <w:sz w:val="21"/>
            <w:szCs w:val="21"/>
          </w:rPr>
          <w:t>new construction</w:t>
        </w:r>
      </w:hyperlink>
      <w:r w:rsidRPr="00190AE5">
        <w:rPr>
          <w:sz w:val="21"/>
          <w:szCs w:val="21"/>
        </w:rPr>
        <w:t xml:space="preserve">. </w:t>
      </w:r>
      <w:r w:rsidRPr="00190AE5">
        <w:rPr>
          <w:b/>
          <w:sz w:val="21"/>
          <w:szCs w:val="21"/>
        </w:rPr>
        <w:t>Note:</w:t>
      </w:r>
      <w:r w:rsidRPr="00190AE5">
        <w:rPr>
          <w:sz w:val="21"/>
          <w:szCs w:val="21"/>
        </w:rPr>
        <w:t xml:space="preserve"> The reporting should only include locations where the vendor software can accurately electronically capture both the numerator and denominator.</w:t>
      </w:r>
    </w:p>
    <w:p w14:paraId="309AF347" w14:textId="77777777" w:rsidR="006D7240" w:rsidRPr="00190AE5" w:rsidRDefault="006D7240" w:rsidP="006D7240">
      <w:pPr>
        <w:pStyle w:val="ListParagraph"/>
        <w:numPr>
          <w:ilvl w:val="1"/>
          <w:numId w:val="2"/>
        </w:numPr>
        <w:rPr>
          <w:sz w:val="21"/>
          <w:szCs w:val="21"/>
        </w:rPr>
      </w:pPr>
      <w:r w:rsidRPr="00190AE5">
        <w:rPr>
          <w:sz w:val="21"/>
          <w:szCs w:val="21"/>
        </w:rPr>
        <w:t xml:space="preserve">Add new locations to the AU reporting plan by clicking “Edit”, then clicking “Add Row”. Make sure to check the “Antimicrobial Use” box(s), then click “Save” to save the updated reporting plan. </w:t>
      </w:r>
    </w:p>
    <w:p w14:paraId="4373B7BF" w14:textId="77777777" w:rsidR="006D7240" w:rsidRPr="00190AE5" w:rsidRDefault="006D7240" w:rsidP="006D7240">
      <w:pPr>
        <w:pStyle w:val="ListParagraph"/>
        <w:ind w:left="1440"/>
        <w:rPr>
          <w:sz w:val="21"/>
          <w:szCs w:val="21"/>
        </w:rPr>
      </w:pPr>
    </w:p>
    <w:p w14:paraId="495CE2C4" w14:textId="77777777" w:rsidR="006D7240" w:rsidRPr="00190AE5" w:rsidRDefault="006D7240" w:rsidP="006D7240">
      <w:pPr>
        <w:pStyle w:val="ListParagraph"/>
        <w:numPr>
          <w:ilvl w:val="0"/>
          <w:numId w:val="2"/>
        </w:numPr>
        <w:rPr>
          <w:sz w:val="21"/>
          <w:szCs w:val="21"/>
        </w:rPr>
      </w:pPr>
      <w:bookmarkStart w:id="7" w:name="PlanCY"/>
      <w:bookmarkEnd w:id="7"/>
      <w:r w:rsidRPr="00190AE5">
        <w:rPr>
          <w:sz w:val="21"/>
          <w:szCs w:val="21"/>
        </w:rPr>
        <w:t>If your facility completes reporting plans for the entire calendar year at one time, is the AU section of the reporting plan complete for</w:t>
      </w:r>
      <w:r w:rsidRPr="00190AE5">
        <w:rPr>
          <w:b/>
          <w:sz w:val="21"/>
          <w:szCs w:val="21"/>
        </w:rPr>
        <w:t xml:space="preserve"> all</w:t>
      </w:r>
      <w:r w:rsidRPr="00190AE5">
        <w:rPr>
          <w:sz w:val="21"/>
          <w:szCs w:val="21"/>
        </w:rPr>
        <w:t xml:space="preserve"> months of the calendar year?</w:t>
      </w:r>
    </w:p>
    <w:p w14:paraId="0B7464E1" w14:textId="77777777" w:rsidR="006D7240" w:rsidRPr="00190AE5" w:rsidRDefault="006D7240" w:rsidP="006D7240">
      <w:pPr>
        <w:pStyle w:val="ListParagraph"/>
        <w:numPr>
          <w:ilvl w:val="1"/>
          <w:numId w:val="2"/>
        </w:numPr>
        <w:rPr>
          <w:sz w:val="21"/>
          <w:szCs w:val="21"/>
        </w:rPr>
      </w:pPr>
      <w:r w:rsidRPr="00190AE5">
        <w:rPr>
          <w:sz w:val="21"/>
          <w:szCs w:val="21"/>
        </w:rPr>
        <w:t xml:space="preserve">If not, add the appropriate locations to the reporting plan by clicking “Edit”, then clicking “Copy from Previous Month” within the AU section of plan. Then click “Save” to save the updated plan. </w:t>
      </w:r>
    </w:p>
    <w:p w14:paraId="0B4EBFE4" w14:textId="77777777" w:rsidR="006D7240" w:rsidRDefault="006D7240" w:rsidP="006D7240">
      <w:pPr>
        <w:pStyle w:val="Heading1"/>
        <w:sectPr w:rsidR="006D7240" w:rsidSect="00327CE9">
          <w:headerReference w:type="default" r:id="rId22"/>
          <w:footerReference w:type="default" r:id="rId23"/>
          <w:pgSz w:w="12240" w:h="15840" w:code="1"/>
          <w:pgMar w:top="1080" w:right="720" w:bottom="1080" w:left="720" w:header="720" w:footer="720" w:gutter="0"/>
          <w:cols w:space="720"/>
          <w:docGrid w:linePitch="360"/>
        </w:sectPr>
      </w:pPr>
    </w:p>
    <w:p w14:paraId="6724517C" w14:textId="4B529ED3" w:rsidR="006D7240" w:rsidRDefault="008D2579" w:rsidP="00190AE5">
      <w:pPr>
        <w:pStyle w:val="Heading2"/>
      </w:pPr>
      <w:bookmarkStart w:id="8" w:name="_AU_Option_Users"/>
      <w:bookmarkEnd w:id="8"/>
      <w:r>
        <w:lastRenderedPageBreak/>
        <w:t xml:space="preserve">NHSN </w:t>
      </w:r>
      <w:r w:rsidR="006D7240" w:rsidRPr="00050097">
        <w:t>AU Option Users</w:t>
      </w:r>
    </w:p>
    <w:p w14:paraId="77570312" w14:textId="5F40DE0C" w:rsidR="006D7240" w:rsidRPr="00190AE5" w:rsidRDefault="006D7240" w:rsidP="006D7240">
      <w:pPr>
        <w:rPr>
          <w:szCs w:val="21"/>
        </w:rPr>
      </w:pPr>
      <w:r w:rsidRPr="00190AE5">
        <w:rPr>
          <w:szCs w:val="21"/>
        </w:rPr>
        <w:t xml:space="preserve">NHSN recommends having at least two active AU Option users within each NHSN facility to ensure continuous reporting in the event of extended illness, vacation, or termination of employment. The NHSN Facility Administrator can assign AU Users a variety of user rights depending on the specific duties that the user will be fulfilling for AU reporting. NHSN developed a document outlining three levels of </w:t>
      </w:r>
      <w:hyperlink r:id="rId24" w:history="1">
        <w:r w:rsidR="003D2BE7">
          <w:rPr>
            <w:rStyle w:val="Hyperlink"/>
            <w:szCs w:val="21"/>
          </w:rPr>
          <w:t>AUR Module user rights</w:t>
        </w:r>
      </w:hyperlink>
      <w:r w:rsidRPr="00190AE5">
        <w:rPr>
          <w:szCs w:val="21"/>
        </w:rPr>
        <w:t xml:space="preserve"> for guidance. Email questions about NHSN User Rights to the NHSN Helpdesk: </w:t>
      </w:r>
      <w:hyperlink r:id="rId25" w:history="1">
        <w:r w:rsidRPr="00190AE5">
          <w:rPr>
            <w:rStyle w:val="Hyperlink"/>
            <w:szCs w:val="21"/>
          </w:rPr>
          <w:t>NHSN@cdc.gov</w:t>
        </w:r>
      </w:hyperlink>
      <w:r w:rsidRPr="00190AE5">
        <w:rPr>
          <w:szCs w:val="21"/>
        </w:rPr>
        <w:t>.</w:t>
      </w:r>
    </w:p>
    <w:p w14:paraId="601DC17F" w14:textId="77777777" w:rsidR="006D7240" w:rsidRPr="00190AE5" w:rsidRDefault="006D7240" w:rsidP="006D7240">
      <w:pPr>
        <w:rPr>
          <w:szCs w:val="21"/>
        </w:rPr>
      </w:pPr>
      <w:r w:rsidRPr="00190AE5">
        <w:rPr>
          <w:szCs w:val="21"/>
        </w:rPr>
        <w:t xml:space="preserve">Users with Administrative rights within the NHSN facility can see the list of active NHSN users by clicking “Users” then “Find” on the left-hand navigation bar. Information on managing NHSN users can be found in the </w:t>
      </w:r>
      <w:hyperlink r:id="rId26" w:history="1">
        <w:r w:rsidRPr="00190AE5">
          <w:rPr>
            <w:rStyle w:val="Hyperlink"/>
            <w:szCs w:val="21"/>
          </w:rPr>
          <w:t>December 2014 NHSN Newsletter</w:t>
        </w:r>
      </w:hyperlink>
      <w:r w:rsidRPr="00190AE5">
        <w:rPr>
          <w:szCs w:val="21"/>
        </w:rPr>
        <w:t xml:space="preserve">. </w:t>
      </w:r>
    </w:p>
    <w:p w14:paraId="70951DFE" w14:textId="4CD07FB0" w:rsidR="006D7240" w:rsidRPr="00190AE5" w:rsidRDefault="006D7240" w:rsidP="006D7240">
      <w:pPr>
        <w:pStyle w:val="ListParagraph"/>
        <w:numPr>
          <w:ilvl w:val="0"/>
          <w:numId w:val="3"/>
        </w:numPr>
        <w:rPr>
          <w:sz w:val="21"/>
          <w:szCs w:val="21"/>
        </w:rPr>
      </w:pPr>
      <w:bookmarkStart w:id="9" w:name="UserActive"/>
      <w:bookmarkEnd w:id="9"/>
      <w:r w:rsidRPr="00190AE5">
        <w:rPr>
          <w:sz w:val="21"/>
          <w:szCs w:val="21"/>
        </w:rPr>
        <w:t xml:space="preserve">Are there currently </w:t>
      </w:r>
      <w:r w:rsidR="00750228">
        <w:rPr>
          <w:sz w:val="21"/>
          <w:szCs w:val="21"/>
        </w:rPr>
        <w:t xml:space="preserve">at least </w:t>
      </w:r>
      <w:r w:rsidRPr="00190AE5">
        <w:rPr>
          <w:sz w:val="21"/>
          <w:szCs w:val="21"/>
        </w:rPr>
        <w:t>two active AU Option users within your NHSN facility?</w:t>
      </w:r>
    </w:p>
    <w:p w14:paraId="23AC98F4" w14:textId="139A5C30" w:rsidR="006D7240" w:rsidRDefault="006D7240" w:rsidP="006D7240">
      <w:pPr>
        <w:pStyle w:val="ListParagraph"/>
        <w:numPr>
          <w:ilvl w:val="1"/>
          <w:numId w:val="3"/>
        </w:numPr>
        <w:rPr>
          <w:sz w:val="21"/>
          <w:szCs w:val="21"/>
        </w:rPr>
      </w:pPr>
      <w:r w:rsidRPr="00190AE5">
        <w:rPr>
          <w:sz w:val="21"/>
          <w:szCs w:val="21"/>
        </w:rPr>
        <w:t xml:space="preserve">Users with Administrative rights can add new users by clicking “Users” then “Add” on the left-hand navigation bar. Complete the fields on the Add User screen and click “Save”. Then assign the appropriate level of user rights and click “Save”. </w:t>
      </w:r>
    </w:p>
    <w:p w14:paraId="23CF570F" w14:textId="544EAA87" w:rsidR="00CB5C95" w:rsidRPr="00190AE5" w:rsidRDefault="00CB5C95" w:rsidP="006D7240">
      <w:pPr>
        <w:pStyle w:val="ListParagraph"/>
        <w:numPr>
          <w:ilvl w:val="1"/>
          <w:numId w:val="3"/>
        </w:numPr>
        <w:rPr>
          <w:sz w:val="21"/>
          <w:szCs w:val="21"/>
        </w:rPr>
      </w:pPr>
      <w:r>
        <w:rPr>
          <w:sz w:val="21"/>
          <w:szCs w:val="21"/>
        </w:rPr>
        <w:t xml:space="preserve">As of December 2020, AU Option users can </w:t>
      </w:r>
      <w:proofErr w:type="gramStart"/>
      <w:r>
        <w:rPr>
          <w:sz w:val="21"/>
          <w:szCs w:val="21"/>
        </w:rPr>
        <w:t>be designated</w:t>
      </w:r>
      <w:proofErr w:type="gramEnd"/>
      <w:r>
        <w:rPr>
          <w:sz w:val="21"/>
          <w:szCs w:val="21"/>
        </w:rPr>
        <w:t xml:space="preserve"> as the “Antimicrobial Use Option Contact” on the Add/Edit User screen. </w:t>
      </w:r>
      <w:r w:rsidR="00160D92" w:rsidRPr="00160D92">
        <w:rPr>
          <w:sz w:val="21"/>
          <w:szCs w:val="21"/>
        </w:rPr>
        <w:t xml:space="preserve">You can assign more than one facility user as a contact for </w:t>
      </w:r>
      <w:r w:rsidR="00160D92">
        <w:rPr>
          <w:sz w:val="21"/>
          <w:szCs w:val="21"/>
        </w:rPr>
        <w:t>the AU</w:t>
      </w:r>
      <w:r w:rsidR="00160D92" w:rsidRPr="00160D92">
        <w:rPr>
          <w:sz w:val="21"/>
          <w:szCs w:val="21"/>
        </w:rPr>
        <w:t xml:space="preserve"> Option and a single user can be the contact for both</w:t>
      </w:r>
      <w:r w:rsidR="00160D92">
        <w:rPr>
          <w:sz w:val="21"/>
          <w:szCs w:val="21"/>
        </w:rPr>
        <w:t xml:space="preserve"> the AU and AR</w:t>
      </w:r>
      <w:r w:rsidR="00160D92" w:rsidRPr="00160D92">
        <w:rPr>
          <w:sz w:val="21"/>
          <w:szCs w:val="21"/>
        </w:rPr>
        <w:t xml:space="preserve"> Options. The NHSN AUR Team will use this information to target notifications for AUR related content like AU and AR quarterly users calls, updates regarding AUR resources, and data quality related outreach.</w:t>
      </w:r>
    </w:p>
    <w:p w14:paraId="2F748FE6" w14:textId="77777777" w:rsidR="006D7240" w:rsidRPr="00190AE5" w:rsidRDefault="006D7240" w:rsidP="006D7240">
      <w:pPr>
        <w:pStyle w:val="ListParagraph"/>
        <w:ind w:left="1440"/>
        <w:rPr>
          <w:sz w:val="21"/>
          <w:szCs w:val="21"/>
        </w:rPr>
      </w:pPr>
    </w:p>
    <w:p w14:paraId="25C13A6E" w14:textId="77777777" w:rsidR="006D7240" w:rsidRPr="00190AE5" w:rsidRDefault="006D7240" w:rsidP="006D7240">
      <w:pPr>
        <w:pStyle w:val="ListParagraph"/>
        <w:numPr>
          <w:ilvl w:val="0"/>
          <w:numId w:val="3"/>
        </w:numPr>
        <w:rPr>
          <w:sz w:val="21"/>
          <w:szCs w:val="21"/>
        </w:rPr>
      </w:pPr>
      <w:bookmarkStart w:id="10" w:name="UserDeactivate"/>
      <w:bookmarkEnd w:id="10"/>
      <w:r w:rsidRPr="00190AE5">
        <w:rPr>
          <w:sz w:val="21"/>
          <w:szCs w:val="21"/>
        </w:rPr>
        <w:t xml:space="preserve">Are there AU Option users that are no longer at the facility or no longer responsible for the AU Option data? </w:t>
      </w:r>
    </w:p>
    <w:p w14:paraId="00EB5991" w14:textId="77777777" w:rsidR="006D7240" w:rsidRPr="00190AE5" w:rsidRDefault="006D7240" w:rsidP="006D7240">
      <w:pPr>
        <w:pStyle w:val="ListParagraph"/>
        <w:numPr>
          <w:ilvl w:val="1"/>
          <w:numId w:val="3"/>
        </w:numPr>
        <w:rPr>
          <w:sz w:val="21"/>
          <w:szCs w:val="21"/>
        </w:rPr>
      </w:pPr>
      <w:r w:rsidRPr="00190AE5">
        <w:rPr>
          <w:sz w:val="21"/>
          <w:szCs w:val="21"/>
        </w:rPr>
        <w:t xml:space="preserve">Users with Administrative rights can deactivate users following the instructions starting on page 14 of the December 2014 NHSN Newsletter (see above link).   </w:t>
      </w:r>
    </w:p>
    <w:p w14:paraId="5FD7CDB7" w14:textId="77777777" w:rsidR="006D7240" w:rsidRDefault="006D7240" w:rsidP="006D7240">
      <w:pPr>
        <w:pStyle w:val="ListParagraph"/>
        <w:ind w:left="1440"/>
      </w:pPr>
    </w:p>
    <w:p w14:paraId="74FBCE9A" w14:textId="77777777" w:rsidR="006D7240" w:rsidRDefault="006D7240" w:rsidP="00190AE5">
      <w:pPr>
        <w:pStyle w:val="Heading2"/>
      </w:pPr>
      <w:bookmarkStart w:id="11" w:name="AUData"/>
      <w:bookmarkEnd w:id="11"/>
      <w:r w:rsidRPr="00413F86">
        <w:t>AU Option Data</w:t>
      </w:r>
    </w:p>
    <w:p w14:paraId="7B31EF8A" w14:textId="5D30E648" w:rsidR="006D7240" w:rsidRDefault="006D7240" w:rsidP="006D7240">
      <w:r>
        <w:t xml:space="preserve">The following steps assume that the facility has been continuously submitting AU data into NHSN. Facilities in the AU implementation process or that have recently switched EHR systems should use the separate, more detailed </w:t>
      </w:r>
      <w:hyperlink r:id="rId27" w:history="1">
        <w:r w:rsidRPr="004B57C9">
          <w:rPr>
            <w:rStyle w:val="Hyperlink"/>
          </w:rPr>
          <w:t>AU Option Implementation Validation Protocol</w:t>
        </w:r>
      </w:hyperlink>
      <w:r>
        <w:t xml:space="preserve">. We recommend that you use the </w:t>
      </w:r>
      <w:r w:rsidRPr="006A32DA">
        <w:rPr>
          <w:u w:val="single"/>
        </w:rPr>
        <w:t>most recent three years</w:t>
      </w:r>
      <w:r>
        <w:t xml:space="preserve"> of AU data within NHSN to review these questions </w:t>
      </w:r>
      <w:r w:rsidR="00625CDC">
        <w:t>to</w:t>
      </w:r>
      <w:r>
        <w:t xml:space="preserve"> spot trends in the data. You can answer all questions by running reports and/or reviewing data uploaded into NHSN. No external review of data is necessary.</w:t>
      </w:r>
    </w:p>
    <w:p w14:paraId="45BF7C3D" w14:textId="77777777" w:rsidR="006D7240" w:rsidRDefault="006D7240" w:rsidP="006D7240">
      <w:r>
        <w:t xml:space="preserve">Prior to reviewing your AU data, remember to generate new data sets. Be sure to include relevant years of data in your data sets following the </w:t>
      </w:r>
      <w:hyperlink r:id="rId28" w:history="1">
        <w:r w:rsidRPr="006B392D">
          <w:rPr>
            <w:rStyle w:val="Hyperlink"/>
          </w:rPr>
          <w:t>instructions on data set generation</w:t>
        </w:r>
      </w:hyperlink>
      <w:r>
        <w:t>.</w:t>
      </w:r>
    </w:p>
    <w:p w14:paraId="5E0E1AC8" w14:textId="1015C605" w:rsidR="006D7240" w:rsidRPr="005B2EBE" w:rsidRDefault="006D7240" w:rsidP="006D7240">
      <w:r>
        <w:t xml:space="preserve">To find the AU Option analysis reports, click “Analysis” then “Reports” on the left-hand navigation bar. On the Analysis Reports page, click the “Antimicrobial Use and Resistance Module” folder then click the “Antimicrobial Use Data” folder. For guidance on how to run and interpret the available AU Option reports, refer to the AU Option Analysis Training and the AU Option Analysis Quick Reference Guides on the </w:t>
      </w:r>
      <w:hyperlink r:id="rId29" w:history="1">
        <w:r w:rsidRPr="00FE22B8">
          <w:rPr>
            <w:rStyle w:val="Hyperlink"/>
          </w:rPr>
          <w:t>AUR Module webpage</w:t>
        </w:r>
      </w:hyperlink>
      <w:r>
        <w:t xml:space="preserve">.  </w:t>
      </w:r>
    </w:p>
    <w:p w14:paraId="5E2656B4" w14:textId="3EB5B6BB" w:rsidR="006D7240" w:rsidRDefault="006D7240" w:rsidP="00190AE5">
      <w:pPr>
        <w:pStyle w:val="Heading3"/>
      </w:pPr>
      <w:bookmarkStart w:id="12" w:name="LocSAARs"/>
      <w:bookmarkEnd w:id="12"/>
      <w:r>
        <w:t>Review Location</w:t>
      </w:r>
      <w:r w:rsidR="008D2579">
        <w:t xml:space="preserve"> </w:t>
      </w:r>
      <w:r>
        <w:t>Specific SAARs</w:t>
      </w:r>
    </w:p>
    <w:p w14:paraId="7FD90E61" w14:textId="6DF5F01E" w:rsidR="006D7240" w:rsidRPr="00190AE5" w:rsidRDefault="006D7240" w:rsidP="006D7240">
      <w:pPr>
        <w:pStyle w:val="ListParagraph"/>
        <w:ind w:left="0"/>
        <w:rPr>
          <w:sz w:val="21"/>
          <w:szCs w:val="21"/>
        </w:rPr>
      </w:pPr>
      <w:r w:rsidRPr="00190AE5">
        <w:rPr>
          <w:b/>
          <w:bCs/>
          <w:sz w:val="21"/>
          <w:szCs w:val="21"/>
        </w:rPr>
        <w:t>Note:</w:t>
      </w:r>
      <w:r w:rsidRPr="00190AE5">
        <w:rPr>
          <w:sz w:val="21"/>
          <w:szCs w:val="21"/>
        </w:rPr>
        <w:t xml:space="preserve"> NHSN applies facility-level risk-adjustments in SAAR models using NHSN Patient Safety Component Annual Hospital Survey data where NHSN matches survey year to AU year. However, because facilities complete surveys annually, while they </w:t>
      </w:r>
      <w:r w:rsidRPr="00190AE5">
        <w:rPr>
          <w:sz w:val="21"/>
          <w:szCs w:val="21"/>
        </w:rPr>
        <w:lastRenderedPageBreak/>
        <w:t>report AU data monthly, there is a period of 12+ months where NHSN risk adjusts SAARs using a previous year’s survey data. Some facilities may notice shifts in SAAR values once current survey data replace old survey data for risk-adjustment in SAAR calculations.</w:t>
      </w:r>
    </w:p>
    <w:p w14:paraId="0F09A5D0" w14:textId="77777777" w:rsidR="00190AE5" w:rsidRPr="00190AE5" w:rsidRDefault="00190AE5" w:rsidP="006D7240">
      <w:pPr>
        <w:pStyle w:val="ListParagraph"/>
        <w:ind w:left="0"/>
        <w:rPr>
          <w:sz w:val="21"/>
          <w:szCs w:val="21"/>
        </w:rPr>
      </w:pPr>
    </w:p>
    <w:p w14:paraId="45099B05" w14:textId="5E9FADED" w:rsidR="006D7240" w:rsidRPr="00190AE5" w:rsidRDefault="006D7240" w:rsidP="006D7240">
      <w:pPr>
        <w:pStyle w:val="ListParagraph"/>
        <w:ind w:left="0"/>
        <w:rPr>
          <w:sz w:val="21"/>
          <w:szCs w:val="21"/>
        </w:rPr>
      </w:pPr>
      <w:r w:rsidRPr="00190AE5">
        <w:rPr>
          <w:sz w:val="21"/>
          <w:szCs w:val="21"/>
        </w:rPr>
        <w:t xml:space="preserve">Additionally, the 2017 adult and pediatric baseline SAARs and the 2018 neonatal baseline SAARs rely heavily on survey level variables for appropriate risk adjustment. Consider also reviewing your facility’s Annual Hospital Survey to better understand your facility’s risk adjustment. </w:t>
      </w:r>
      <w:r w:rsidR="00FE49C5">
        <w:rPr>
          <w:sz w:val="21"/>
          <w:szCs w:val="21"/>
        </w:rPr>
        <w:t xml:space="preserve">More details on how the Annual Hospital Survey values affect the SAARs can be found in the </w:t>
      </w:r>
      <w:hyperlink r:id="rId30" w:history="1">
        <w:r w:rsidR="00FE49C5" w:rsidRPr="00FE49C5">
          <w:rPr>
            <w:rStyle w:val="Hyperlink"/>
            <w:sz w:val="21"/>
            <w:szCs w:val="21"/>
          </w:rPr>
          <w:t>Guide to the SAAR</w:t>
        </w:r>
      </w:hyperlink>
      <w:r w:rsidR="00FE49C5">
        <w:rPr>
          <w:sz w:val="21"/>
          <w:szCs w:val="21"/>
        </w:rPr>
        <w:t xml:space="preserve">. </w:t>
      </w:r>
    </w:p>
    <w:p w14:paraId="1C8CEB5B" w14:textId="77777777" w:rsidR="006D7240" w:rsidRPr="00190AE5" w:rsidRDefault="006D7240" w:rsidP="006D7240">
      <w:pPr>
        <w:pStyle w:val="ListParagraph"/>
        <w:ind w:left="0"/>
        <w:rPr>
          <w:sz w:val="21"/>
          <w:szCs w:val="21"/>
        </w:rPr>
      </w:pPr>
    </w:p>
    <w:p w14:paraId="652DC20C" w14:textId="0ABD1C07" w:rsidR="006D7240" w:rsidRPr="00190AE5" w:rsidRDefault="006D7240" w:rsidP="006D7240">
      <w:pPr>
        <w:pStyle w:val="ListParagraph"/>
        <w:ind w:left="0"/>
        <w:rPr>
          <w:sz w:val="21"/>
          <w:szCs w:val="21"/>
        </w:rPr>
      </w:pPr>
      <w:r w:rsidRPr="00190AE5">
        <w:rPr>
          <w:sz w:val="21"/>
          <w:szCs w:val="21"/>
        </w:rPr>
        <w:t>Within the Antimicrobial Use Data analysis folder, select the report titled “</w:t>
      </w:r>
      <w:hyperlink r:id="rId31" w:history="1">
        <w:r w:rsidRPr="00D33B29">
          <w:rPr>
            <w:rStyle w:val="Hyperlink"/>
            <w:sz w:val="21"/>
            <w:szCs w:val="21"/>
          </w:rPr>
          <w:t>SAAR Report – All Adult and Ped SAARs by Location</w:t>
        </w:r>
      </w:hyperlink>
      <w:r w:rsidRPr="00190AE5">
        <w:rPr>
          <w:sz w:val="21"/>
          <w:szCs w:val="21"/>
        </w:rPr>
        <w:t>”. Click “Run Report” to run the default report displayed by month. The default report shows one table per SAAR category. Within each table, you’ll see rows for each applicable SAAR location (for example, adult and pediatric medical, surgical, and medical/surgical ICUs and wards) displayed by month. To view neonatal SAARs, select the report titled “SAAR Report – All Neonatal SAARs by Location”, then click “Run Report.”</w:t>
      </w:r>
    </w:p>
    <w:p w14:paraId="277A24D9" w14:textId="77777777" w:rsidR="006D7240" w:rsidRPr="00190AE5" w:rsidRDefault="006D7240" w:rsidP="006D7240">
      <w:pPr>
        <w:pStyle w:val="ListParagraph"/>
        <w:ind w:left="0"/>
        <w:rPr>
          <w:sz w:val="21"/>
          <w:szCs w:val="21"/>
        </w:rPr>
      </w:pPr>
    </w:p>
    <w:p w14:paraId="13E44E2F" w14:textId="77777777" w:rsidR="006D7240" w:rsidRPr="00190AE5" w:rsidRDefault="006D7240" w:rsidP="006D7240">
      <w:pPr>
        <w:pStyle w:val="ListParagraph"/>
        <w:numPr>
          <w:ilvl w:val="0"/>
          <w:numId w:val="4"/>
        </w:numPr>
        <w:rPr>
          <w:sz w:val="21"/>
          <w:szCs w:val="21"/>
        </w:rPr>
      </w:pPr>
      <w:proofErr w:type="gramStart"/>
      <w:r w:rsidRPr="00190AE5">
        <w:rPr>
          <w:sz w:val="21"/>
          <w:szCs w:val="21"/>
        </w:rPr>
        <w:t>Do</w:t>
      </w:r>
      <w:proofErr w:type="gramEnd"/>
      <w:r w:rsidRPr="00190AE5">
        <w:rPr>
          <w:sz w:val="21"/>
          <w:szCs w:val="21"/>
        </w:rPr>
        <w:t xml:space="preserve"> your location specific SAARs seem to follow expected trends over time? (specifically, SAARs are not drastically changing from month to month [for example: SAAR of 0.8 to SAAR of 2.3] for a given location)</w:t>
      </w:r>
    </w:p>
    <w:p w14:paraId="38982124" w14:textId="4856EFC8" w:rsidR="006D7240" w:rsidRPr="00190AE5" w:rsidRDefault="006D7240" w:rsidP="006D7240">
      <w:pPr>
        <w:pStyle w:val="ListParagraph"/>
        <w:numPr>
          <w:ilvl w:val="0"/>
          <w:numId w:val="4"/>
        </w:numPr>
        <w:rPr>
          <w:sz w:val="21"/>
          <w:szCs w:val="21"/>
        </w:rPr>
      </w:pPr>
      <w:r w:rsidRPr="00190AE5">
        <w:rPr>
          <w:sz w:val="21"/>
          <w:szCs w:val="21"/>
        </w:rPr>
        <w:t xml:space="preserve">Are there any outliers for a specific location or a specific month? </w:t>
      </w:r>
      <w:r w:rsidR="003D2BE7">
        <w:rPr>
          <w:sz w:val="21"/>
          <w:szCs w:val="21"/>
        </w:rPr>
        <w:t>R</w:t>
      </w:r>
      <w:r w:rsidR="000B20F0">
        <w:rPr>
          <w:sz w:val="21"/>
          <w:szCs w:val="21"/>
        </w:rPr>
        <w:t xml:space="preserve">efer to the </w:t>
      </w:r>
      <w:hyperlink r:id="rId32" w:history="1">
        <w:r w:rsidR="000B20F0" w:rsidRPr="000B20F0">
          <w:rPr>
            <w:rStyle w:val="Hyperlink"/>
            <w:sz w:val="21"/>
            <w:szCs w:val="21"/>
          </w:rPr>
          <w:t>2019 AU Data Report Tables</w:t>
        </w:r>
      </w:hyperlink>
      <w:r w:rsidR="000B20F0">
        <w:rPr>
          <w:sz w:val="21"/>
          <w:szCs w:val="21"/>
        </w:rPr>
        <w:t xml:space="preserve"> to determine if your SAARs are in the top or bottom percentiles of reported data</w:t>
      </w:r>
      <w:r w:rsidR="003D2BE7">
        <w:rPr>
          <w:sz w:val="21"/>
          <w:szCs w:val="21"/>
        </w:rPr>
        <w:t>.</w:t>
      </w:r>
    </w:p>
    <w:p w14:paraId="3F3C212B" w14:textId="77777777" w:rsidR="006D7240" w:rsidRPr="00190AE5" w:rsidRDefault="006D7240" w:rsidP="006D7240">
      <w:pPr>
        <w:pStyle w:val="ListParagraph"/>
        <w:numPr>
          <w:ilvl w:val="1"/>
          <w:numId w:val="4"/>
        </w:numPr>
        <w:rPr>
          <w:sz w:val="21"/>
          <w:szCs w:val="21"/>
        </w:rPr>
      </w:pPr>
      <w:r w:rsidRPr="00190AE5">
        <w:rPr>
          <w:sz w:val="21"/>
          <w:szCs w:val="21"/>
        </w:rPr>
        <w:t xml:space="preserve">For outlier SAARs, review antimicrobial days and days present for outlier values. </w:t>
      </w:r>
    </w:p>
    <w:p w14:paraId="00D14637" w14:textId="77777777" w:rsidR="006D7240" w:rsidRPr="00F61B95" w:rsidRDefault="006D7240" w:rsidP="008D2579">
      <w:pPr>
        <w:pStyle w:val="Heading4"/>
      </w:pPr>
      <w:r w:rsidRPr="00F61B95">
        <w:t xml:space="preserve">Using Bar Charts to </w:t>
      </w:r>
      <w:r>
        <w:t>R</w:t>
      </w:r>
      <w:r w:rsidRPr="00F61B95">
        <w:t xml:space="preserve">eview </w:t>
      </w:r>
      <w:r>
        <w:t>D</w:t>
      </w:r>
      <w:r w:rsidRPr="00F61B95">
        <w:t xml:space="preserve">istributions </w:t>
      </w:r>
    </w:p>
    <w:p w14:paraId="777F6C6A" w14:textId="77777777" w:rsidR="006D7240" w:rsidRPr="00190AE5" w:rsidRDefault="006D7240" w:rsidP="006D7240">
      <w:pPr>
        <w:rPr>
          <w:szCs w:val="21"/>
        </w:rPr>
      </w:pPr>
      <w:r w:rsidRPr="00190AE5">
        <w:rPr>
          <w:szCs w:val="21"/>
        </w:rPr>
        <w:t xml:space="preserve">For SAARs under review (excluding SAAR for All Antimicrobials), use a Bar Chart report to see distribution of drugs in that specific SAAR category (for the list of drugs included in each SAAR category, review the Appendix E of the </w:t>
      </w:r>
      <w:hyperlink r:id="rId33" w:history="1">
        <w:r w:rsidRPr="00190AE5">
          <w:rPr>
            <w:rStyle w:val="Hyperlink"/>
            <w:szCs w:val="21"/>
          </w:rPr>
          <w:t>AUR Module Protocol</w:t>
        </w:r>
      </w:hyperlink>
      <w:r w:rsidRPr="00190AE5">
        <w:rPr>
          <w:szCs w:val="21"/>
        </w:rPr>
        <w:t xml:space="preserve">).  </w:t>
      </w:r>
    </w:p>
    <w:p w14:paraId="6E6F26CD" w14:textId="31144CF9" w:rsidR="006D7240" w:rsidRPr="00190AE5" w:rsidRDefault="006D7240" w:rsidP="006D7240">
      <w:pPr>
        <w:pStyle w:val="ListParagraph"/>
        <w:numPr>
          <w:ilvl w:val="0"/>
          <w:numId w:val="5"/>
        </w:numPr>
        <w:ind w:left="720"/>
        <w:rPr>
          <w:sz w:val="21"/>
          <w:szCs w:val="21"/>
        </w:rPr>
      </w:pPr>
      <w:r w:rsidRPr="00190AE5">
        <w:rPr>
          <w:sz w:val="21"/>
          <w:szCs w:val="21"/>
        </w:rPr>
        <w:t>Within the Antimicrobial Use Data analysis folder, select the report titled “</w:t>
      </w:r>
      <w:hyperlink r:id="rId34" w:history="1">
        <w:r w:rsidRPr="00D33B29">
          <w:rPr>
            <w:rStyle w:val="Hyperlink"/>
            <w:sz w:val="21"/>
            <w:szCs w:val="21"/>
          </w:rPr>
          <w:t>Bar Chart – All Data – Selected Agent Distribution by Month</w:t>
        </w:r>
      </w:hyperlink>
      <w:r w:rsidRPr="00190AE5">
        <w:rPr>
          <w:sz w:val="21"/>
          <w:szCs w:val="21"/>
        </w:rPr>
        <w:t>”. Click “Modify Report” to make the necessary modifications.</w:t>
      </w:r>
    </w:p>
    <w:p w14:paraId="39307B70" w14:textId="77777777" w:rsidR="006D7240" w:rsidRPr="00190AE5" w:rsidRDefault="006D7240" w:rsidP="006D7240">
      <w:pPr>
        <w:pStyle w:val="ListParagraph"/>
        <w:numPr>
          <w:ilvl w:val="0"/>
          <w:numId w:val="5"/>
        </w:numPr>
        <w:ind w:left="720"/>
        <w:rPr>
          <w:sz w:val="21"/>
          <w:szCs w:val="21"/>
        </w:rPr>
      </w:pPr>
      <w:r w:rsidRPr="00190AE5">
        <w:rPr>
          <w:sz w:val="21"/>
          <w:szCs w:val="21"/>
        </w:rPr>
        <w:t xml:space="preserve">Check the box “Show descriptive variable names” at the top left of the modification screen. </w:t>
      </w:r>
    </w:p>
    <w:p w14:paraId="13FC3FFF" w14:textId="77777777" w:rsidR="006D7240" w:rsidRPr="00190AE5" w:rsidRDefault="006D7240" w:rsidP="006D7240">
      <w:pPr>
        <w:pStyle w:val="ListParagraph"/>
        <w:numPr>
          <w:ilvl w:val="0"/>
          <w:numId w:val="5"/>
        </w:numPr>
        <w:ind w:left="720"/>
        <w:rPr>
          <w:sz w:val="21"/>
          <w:szCs w:val="21"/>
        </w:rPr>
      </w:pPr>
      <w:r w:rsidRPr="00190AE5">
        <w:rPr>
          <w:sz w:val="21"/>
          <w:szCs w:val="21"/>
        </w:rPr>
        <w:t xml:space="preserve">On the </w:t>
      </w:r>
      <w:r w:rsidRPr="00190AE5">
        <w:rPr>
          <w:b/>
          <w:sz w:val="21"/>
          <w:szCs w:val="21"/>
        </w:rPr>
        <w:t>Time Period</w:t>
      </w:r>
      <w:r w:rsidRPr="00190AE5">
        <w:rPr>
          <w:sz w:val="21"/>
          <w:szCs w:val="21"/>
        </w:rPr>
        <w:t xml:space="preserve"> tab, select “Summary Year/Month” as the Date Variable and a 12-month </w:t>
      </w:r>
      <w:proofErr w:type="gramStart"/>
      <w:r w:rsidRPr="00190AE5">
        <w:rPr>
          <w:sz w:val="21"/>
          <w:szCs w:val="21"/>
        </w:rPr>
        <w:t>time period</w:t>
      </w:r>
      <w:proofErr w:type="gramEnd"/>
      <w:r w:rsidRPr="00190AE5">
        <w:rPr>
          <w:sz w:val="21"/>
          <w:szCs w:val="21"/>
        </w:rPr>
        <w:t xml:space="preserve"> for review. (The Bar Charts display best with 12 bars or less.)</w:t>
      </w:r>
    </w:p>
    <w:p w14:paraId="4F2FD7FA" w14:textId="3879960E" w:rsidR="006D7240" w:rsidRPr="00190AE5" w:rsidRDefault="006D7240" w:rsidP="006D7240">
      <w:pPr>
        <w:pStyle w:val="ListParagraph"/>
        <w:numPr>
          <w:ilvl w:val="0"/>
          <w:numId w:val="5"/>
        </w:numPr>
        <w:ind w:left="720"/>
        <w:rPr>
          <w:sz w:val="21"/>
          <w:szCs w:val="21"/>
        </w:rPr>
      </w:pPr>
      <w:r w:rsidRPr="00190AE5">
        <w:rPr>
          <w:sz w:val="21"/>
          <w:szCs w:val="21"/>
        </w:rPr>
        <w:t xml:space="preserve">On the </w:t>
      </w:r>
      <w:r w:rsidRPr="00190AE5">
        <w:rPr>
          <w:b/>
          <w:sz w:val="21"/>
          <w:szCs w:val="21"/>
        </w:rPr>
        <w:t>Filters</w:t>
      </w:r>
      <w:r w:rsidRPr="00190AE5">
        <w:rPr>
          <w:sz w:val="21"/>
          <w:szCs w:val="21"/>
        </w:rPr>
        <w:t xml:space="preserve"> tab, you’ll notice that the default filter shows the antimicrobials for the</w:t>
      </w:r>
      <w:r w:rsidR="00134981" w:rsidRPr="00190AE5">
        <w:rPr>
          <w:bCs/>
          <w:sz w:val="21"/>
          <w:szCs w:val="21"/>
        </w:rPr>
        <w:t xml:space="preserve"> 201</w:t>
      </w:r>
      <w:r w:rsidR="00134981">
        <w:rPr>
          <w:bCs/>
          <w:sz w:val="21"/>
          <w:szCs w:val="21"/>
        </w:rPr>
        <w:t>7</w:t>
      </w:r>
      <w:r w:rsidR="00134981" w:rsidRPr="00190AE5">
        <w:rPr>
          <w:bCs/>
          <w:sz w:val="21"/>
          <w:szCs w:val="21"/>
        </w:rPr>
        <w:t xml:space="preserve"> baseline </w:t>
      </w:r>
      <w:r w:rsidRPr="00190AE5">
        <w:rPr>
          <w:sz w:val="21"/>
          <w:szCs w:val="21"/>
        </w:rPr>
        <w:t>b</w:t>
      </w:r>
      <w:r w:rsidRPr="00190AE5">
        <w:rPr>
          <w:bCs/>
          <w:sz w:val="21"/>
          <w:szCs w:val="21"/>
        </w:rPr>
        <w:t xml:space="preserve">road spectrum antibacterial agents </w:t>
      </w:r>
      <w:proofErr w:type="gramStart"/>
      <w:r w:rsidRPr="00190AE5">
        <w:rPr>
          <w:bCs/>
          <w:sz w:val="21"/>
          <w:szCs w:val="21"/>
        </w:rPr>
        <w:t>predominantly used</w:t>
      </w:r>
      <w:proofErr w:type="gramEnd"/>
      <w:r w:rsidRPr="00190AE5">
        <w:rPr>
          <w:bCs/>
          <w:sz w:val="21"/>
          <w:szCs w:val="21"/>
        </w:rPr>
        <w:t xml:space="preserve"> for </w:t>
      </w:r>
      <w:r w:rsidR="00134981">
        <w:rPr>
          <w:bCs/>
          <w:sz w:val="21"/>
          <w:szCs w:val="21"/>
        </w:rPr>
        <w:t xml:space="preserve">community-acquired </w:t>
      </w:r>
      <w:r w:rsidRPr="00190AE5">
        <w:rPr>
          <w:bCs/>
          <w:sz w:val="21"/>
          <w:szCs w:val="21"/>
        </w:rPr>
        <w:t>infections SAAR</w:t>
      </w:r>
      <w:r w:rsidRPr="00190AE5">
        <w:rPr>
          <w:sz w:val="21"/>
          <w:szCs w:val="21"/>
        </w:rPr>
        <w:t xml:space="preserve">. If running the bar chart for another SAAR category, remove the default antimicrobials and add the appropriate antimicrobials. For example, the screenshot below shows the default for the 2017 baseline </w:t>
      </w:r>
      <w:r w:rsidRPr="00190AE5">
        <w:rPr>
          <w:bCs/>
          <w:sz w:val="21"/>
          <w:szCs w:val="21"/>
        </w:rPr>
        <w:t xml:space="preserve">antibacterial agents </w:t>
      </w:r>
      <w:r w:rsidR="00B87222">
        <w:rPr>
          <w:bCs/>
          <w:sz w:val="21"/>
          <w:szCs w:val="21"/>
        </w:rPr>
        <w:t>posing the highest risk for CDI</w:t>
      </w:r>
      <w:r w:rsidRPr="00190AE5">
        <w:rPr>
          <w:bCs/>
          <w:sz w:val="21"/>
          <w:szCs w:val="21"/>
        </w:rPr>
        <w:t xml:space="preserve"> SAAR</w:t>
      </w:r>
      <w:r w:rsidRPr="00190AE5">
        <w:rPr>
          <w:sz w:val="21"/>
          <w:szCs w:val="21"/>
        </w:rPr>
        <w:t>:</w:t>
      </w:r>
    </w:p>
    <w:p w14:paraId="797D7074" w14:textId="4F8DFC82" w:rsidR="006D7240" w:rsidRDefault="004D3AE6" w:rsidP="006D7240">
      <w:pPr>
        <w:jc w:val="center"/>
      </w:pPr>
      <w:r>
        <w:rPr>
          <w:noProof/>
        </w:rPr>
        <w:lastRenderedPageBreak/>
        <w:drawing>
          <wp:inline distT="0" distB="0" distL="0" distR="0" wp14:anchorId="151CF23A" wp14:editId="4BDD1169">
            <wp:extent cx="5833110" cy="3353498"/>
            <wp:effectExtent l="19050" t="19050" r="15240" b="18415"/>
            <wp:docPr id="3" name="Picture 3" descr="Screenshot of Filters tab on the Bar Chart-All Data-Selected Agent Distribution by Month. The filters show the 12 drugs included in the filter for the 2017 baseline antibacterial agents posing the highest risk for CDI S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shot of Filters tab on the Bar Chart-All Data-Selected Agent Distribution by Month. The filters show the 12 drugs included in the filter for the 2017 baseline antibacterial agents posing the highest risk for CDI SAAR."/>
                    <pic:cNvPicPr/>
                  </pic:nvPicPr>
                  <pic:blipFill>
                    <a:blip r:embed="rId35"/>
                    <a:stretch>
                      <a:fillRect/>
                    </a:stretch>
                  </pic:blipFill>
                  <pic:spPr>
                    <a:xfrm>
                      <a:off x="0" y="0"/>
                      <a:ext cx="5858739" cy="3368232"/>
                    </a:xfrm>
                    <a:prstGeom prst="rect">
                      <a:avLst/>
                    </a:prstGeom>
                    <a:ln>
                      <a:solidFill>
                        <a:schemeClr val="accent1"/>
                      </a:solidFill>
                    </a:ln>
                  </pic:spPr>
                </pic:pic>
              </a:graphicData>
            </a:graphic>
          </wp:inline>
        </w:drawing>
      </w:r>
    </w:p>
    <w:p w14:paraId="5C4FFBCA" w14:textId="77777777" w:rsidR="006D7240" w:rsidRPr="00190AE5" w:rsidRDefault="006D7240" w:rsidP="006D7240">
      <w:pPr>
        <w:pStyle w:val="ListParagraph"/>
        <w:numPr>
          <w:ilvl w:val="0"/>
          <w:numId w:val="6"/>
        </w:numPr>
        <w:ind w:left="720"/>
        <w:rPr>
          <w:sz w:val="21"/>
          <w:szCs w:val="21"/>
        </w:rPr>
      </w:pPr>
      <w:r w:rsidRPr="00190AE5">
        <w:rPr>
          <w:sz w:val="21"/>
          <w:szCs w:val="21"/>
        </w:rPr>
        <w:t xml:space="preserve">On the </w:t>
      </w:r>
      <w:r w:rsidRPr="00190AE5">
        <w:rPr>
          <w:b/>
          <w:sz w:val="21"/>
          <w:szCs w:val="21"/>
        </w:rPr>
        <w:t>Display Options</w:t>
      </w:r>
      <w:r w:rsidRPr="00190AE5">
        <w:rPr>
          <w:sz w:val="21"/>
          <w:szCs w:val="21"/>
        </w:rPr>
        <w:t xml:space="preserve"> tab, select the options as shown in the below screenshot:</w:t>
      </w:r>
    </w:p>
    <w:p w14:paraId="037B52B9" w14:textId="29F625D8" w:rsidR="006D7240" w:rsidRDefault="00B87222" w:rsidP="006D7240">
      <w:pPr>
        <w:jc w:val="center"/>
      </w:pPr>
      <w:r>
        <w:rPr>
          <w:noProof/>
        </w:rPr>
        <w:drawing>
          <wp:inline distT="0" distB="0" distL="0" distR="0" wp14:anchorId="1C353E43" wp14:editId="0B842504">
            <wp:extent cx="5770435" cy="2736682"/>
            <wp:effectExtent l="19050" t="19050" r="20955" b="26035"/>
            <wp:docPr id="11" name="Picture 11" descr="Screenshot showing the Display Options tab for the Bar Chart by Selected Agents. Chart variable: summary year/month&#10;Stratification variable: antimicrobial agent&#10;Page by: location&#10;Select numeric variable to chart: antimicrobial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05352" cy="2753242"/>
                    </a:xfrm>
                    <a:prstGeom prst="rect">
                      <a:avLst/>
                    </a:prstGeom>
                    <a:noFill/>
                    <a:ln>
                      <a:solidFill>
                        <a:schemeClr val="accent1"/>
                      </a:solidFill>
                    </a:ln>
                  </pic:spPr>
                </pic:pic>
              </a:graphicData>
            </a:graphic>
          </wp:inline>
        </w:drawing>
      </w:r>
    </w:p>
    <w:p w14:paraId="2D212A9F" w14:textId="77777777" w:rsidR="006D7240" w:rsidRPr="00190AE5" w:rsidRDefault="006D7240" w:rsidP="006D7240">
      <w:pPr>
        <w:pStyle w:val="ListParagraph"/>
        <w:numPr>
          <w:ilvl w:val="0"/>
          <w:numId w:val="6"/>
        </w:numPr>
        <w:ind w:left="810"/>
        <w:rPr>
          <w:sz w:val="21"/>
          <w:szCs w:val="21"/>
        </w:rPr>
      </w:pPr>
      <w:r w:rsidRPr="00190AE5">
        <w:rPr>
          <w:sz w:val="21"/>
          <w:szCs w:val="21"/>
        </w:rPr>
        <w:t xml:space="preserve">Click “Run” to generate the bar charts. </w:t>
      </w:r>
      <w:r w:rsidRPr="00190AE5">
        <w:rPr>
          <w:b/>
          <w:sz w:val="21"/>
          <w:szCs w:val="21"/>
        </w:rPr>
        <w:t>Note:</w:t>
      </w:r>
      <w:r w:rsidRPr="00190AE5">
        <w:rPr>
          <w:sz w:val="21"/>
          <w:szCs w:val="21"/>
        </w:rPr>
        <w:t xml:space="preserve"> Drugs that you included in the filter but are not showing on bar chart equal 0 antimicrobial days for that month. </w:t>
      </w:r>
    </w:p>
    <w:p w14:paraId="6C6CDE11" w14:textId="77777777" w:rsidR="006D7240" w:rsidRPr="00190AE5" w:rsidRDefault="006D7240" w:rsidP="006D7240">
      <w:pPr>
        <w:pStyle w:val="ListParagraph"/>
        <w:ind w:left="810"/>
        <w:rPr>
          <w:sz w:val="21"/>
          <w:szCs w:val="21"/>
        </w:rPr>
      </w:pPr>
    </w:p>
    <w:p w14:paraId="279016E2" w14:textId="77777777" w:rsidR="006D7240" w:rsidRPr="00190AE5" w:rsidRDefault="006D7240" w:rsidP="006D7240">
      <w:pPr>
        <w:pStyle w:val="ListParagraph"/>
        <w:numPr>
          <w:ilvl w:val="0"/>
          <w:numId w:val="12"/>
        </w:numPr>
        <w:rPr>
          <w:sz w:val="21"/>
          <w:szCs w:val="21"/>
        </w:rPr>
      </w:pPr>
      <w:r w:rsidRPr="00190AE5">
        <w:rPr>
          <w:sz w:val="21"/>
          <w:szCs w:val="21"/>
        </w:rPr>
        <w:t>Are there any drugs that are lower or higher than anticipated for a given month/location?</w:t>
      </w:r>
    </w:p>
    <w:p w14:paraId="5DCA945F" w14:textId="77777777" w:rsidR="006D7240" w:rsidRPr="00190AE5" w:rsidRDefault="006D7240" w:rsidP="006D7240">
      <w:pPr>
        <w:pStyle w:val="ListParagraph"/>
        <w:numPr>
          <w:ilvl w:val="0"/>
          <w:numId w:val="12"/>
        </w:numPr>
        <w:rPr>
          <w:sz w:val="21"/>
          <w:szCs w:val="21"/>
        </w:rPr>
      </w:pPr>
      <w:r w:rsidRPr="00190AE5">
        <w:rPr>
          <w:sz w:val="21"/>
          <w:szCs w:val="21"/>
        </w:rPr>
        <w:t xml:space="preserve">Are there any drugs that have drastic changes from month to month? </w:t>
      </w:r>
      <w:bookmarkStart w:id="13" w:name="LineList"/>
      <w:bookmarkEnd w:id="13"/>
    </w:p>
    <w:p w14:paraId="3FAAEA29" w14:textId="77777777" w:rsidR="006D7240" w:rsidRPr="00F61B95" w:rsidRDefault="006D7240" w:rsidP="008D2579">
      <w:pPr>
        <w:pStyle w:val="Heading4"/>
      </w:pPr>
      <w:r w:rsidRPr="00F61B95">
        <w:t>Using Line Lists</w:t>
      </w:r>
      <w:r>
        <w:t xml:space="preserve"> to R</w:t>
      </w:r>
      <w:r w:rsidRPr="00F61B95">
        <w:t xml:space="preserve">eview </w:t>
      </w:r>
      <w:r>
        <w:t>O</w:t>
      </w:r>
      <w:r w:rsidRPr="00F61B95">
        <w:t xml:space="preserve">utlier </w:t>
      </w:r>
      <w:r>
        <w:t>V</w:t>
      </w:r>
      <w:r w:rsidRPr="00F61B95">
        <w:t>alues</w:t>
      </w:r>
    </w:p>
    <w:p w14:paraId="1AE60515" w14:textId="41ABF73F" w:rsidR="006D7240" w:rsidRPr="00190AE5" w:rsidRDefault="006D7240" w:rsidP="006D7240">
      <w:pPr>
        <w:rPr>
          <w:szCs w:val="21"/>
        </w:rPr>
      </w:pPr>
      <w:r w:rsidRPr="00190AE5">
        <w:rPr>
          <w:szCs w:val="21"/>
        </w:rPr>
        <w:t xml:space="preserve">For any specific drugs that </w:t>
      </w:r>
      <w:r w:rsidR="00DB5D31" w:rsidRPr="00190AE5">
        <w:rPr>
          <w:szCs w:val="21"/>
        </w:rPr>
        <w:t>have</w:t>
      </w:r>
      <w:r w:rsidRPr="00190AE5">
        <w:rPr>
          <w:szCs w:val="21"/>
        </w:rPr>
        <w:t xml:space="preserve"> unexpected or abnormal values, run a line list to pinpoint the exact antimicrobial day values reported. Within the Antimicrobial Use Data analysis folder, select the report titled “</w:t>
      </w:r>
      <w:hyperlink r:id="rId37" w:history="1">
        <w:r w:rsidRPr="00D33B29">
          <w:rPr>
            <w:rStyle w:val="Hyperlink"/>
            <w:szCs w:val="21"/>
          </w:rPr>
          <w:t>Line List – All Submitted AU Data by Location</w:t>
        </w:r>
      </w:hyperlink>
      <w:r w:rsidRPr="00190AE5">
        <w:rPr>
          <w:szCs w:val="21"/>
        </w:rPr>
        <w:t>”. Click “Modify Report” to make the necessary modifications.</w:t>
      </w:r>
    </w:p>
    <w:p w14:paraId="055DB679" w14:textId="77777777" w:rsidR="006D7240" w:rsidRPr="00190AE5" w:rsidRDefault="006D7240" w:rsidP="006D7240">
      <w:pPr>
        <w:pStyle w:val="ListParagraph"/>
        <w:numPr>
          <w:ilvl w:val="0"/>
          <w:numId w:val="6"/>
        </w:numPr>
        <w:ind w:left="810"/>
        <w:rPr>
          <w:sz w:val="21"/>
          <w:szCs w:val="21"/>
        </w:rPr>
      </w:pPr>
      <w:r w:rsidRPr="00190AE5">
        <w:rPr>
          <w:sz w:val="21"/>
          <w:szCs w:val="21"/>
        </w:rPr>
        <w:lastRenderedPageBreak/>
        <w:t xml:space="preserve">Check the box “Show descriptive variable names” at the top left of the modification screen. </w:t>
      </w:r>
    </w:p>
    <w:p w14:paraId="772DEA23" w14:textId="77777777" w:rsidR="006D7240" w:rsidRPr="00190AE5" w:rsidRDefault="006D7240" w:rsidP="006D7240">
      <w:pPr>
        <w:pStyle w:val="ListParagraph"/>
        <w:numPr>
          <w:ilvl w:val="0"/>
          <w:numId w:val="6"/>
        </w:numPr>
        <w:ind w:left="810"/>
        <w:rPr>
          <w:sz w:val="21"/>
          <w:szCs w:val="21"/>
        </w:rPr>
      </w:pPr>
      <w:r w:rsidRPr="00190AE5">
        <w:rPr>
          <w:sz w:val="21"/>
          <w:szCs w:val="21"/>
        </w:rPr>
        <w:t xml:space="preserve">On the </w:t>
      </w:r>
      <w:r w:rsidRPr="00190AE5">
        <w:rPr>
          <w:b/>
          <w:sz w:val="21"/>
          <w:szCs w:val="21"/>
        </w:rPr>
        <w:t>Filters</w:t>
      </w:r>
      <w:r w:rsidRPr="00190AE5">
        <w:rPr>
          <w:sz w:val="21"/>
          <w:szCs w:val="21"/>
        </w:rPr>
        <w:t xml:space="preserve"> tab, add a rule and select “Antimicrobial Agent” as the variable. To view more than one antimicrobial in the line list use “in” as the operator. To see only one antimicrobial in the line list, use “equal” as the operator. </w:t>
      </w:r>
    </w:p>
    <w:p w14:paraId="377C4B09" w14:textId="77777777" w:rsidR="006D7240" w:rsidRPr="00190AE5" w:rsidRDefault="006D7240" w:rsidP="006D7240">
      <w:pPr>
        <w:pStyle w:val="ListParagraph"/>
        <w:numPr>
          <w:ilvl w:val="0"/>
          <w:numId w:val="6"/>
        </w:numPr>
        <w:ind w:left="810"/>
        <w:rPr>
          <w:sz w:val="21"/>
          <w:szCs w:val="21"/>
        </w:rPr>
      </w:pPr>
      <w:r w:rsidRPr="00190AE5">
        <w:rPr>
          <w:sz w:val="21"/>
          <w:szCs w:val="21"/>
        </w:rPr>
        <w:t xml:space="preserve">Click “Run” to generate the line list. The report will show one table per location. Within that table, NHSN lists each drug for all months of data reported. </w:t>
      </w:r>
    </w:p>
    <w:p w14:paraId="365757BC" w14:textId="77777777" w:rsidR="006D7240" w:rsidRPr="00190AE5" w:rsidRDefault="006D7240" w:rsidP="006D7240">
      <w:pPr>
        <w:pStyle w:val="ListParagraph"/>
        <w:ind w:left="810"/>
        <w:rPr>
          <w:sz w:val="21"/>
          <w:szCs w:val="21"/>
        </w:rPr>
      </w:pPr>
    </w:p>
    <w:p w14:paraId="4FCD9B5E" w14:textId="77777777" w:rsidR="006D7240" w:rsidRPr="00190AE5" w:rsidRDefault="006D7240" w:rsidP="006D7240">
      <w:pPr>
        <w:pStyle w:val="ListParagraph"/>
        <w:numPr>
          <w:ilvl w:val="0"/>
          <w:numId w:val="13"/>
        </w:numPr>
        <w:rPr>
          <w:sz w:val="21"/>
          <w:szCs w:val="21"/>
        </w:rPr>
      </w:pPr>
      <w:r w:rsidRPr="00190AE5">
        <w:rPr>
          <w:sz w:val="21"/>
          <w:szCs w:val="21"/>
        </w:rPr>
        <w:t>Review the data to determine which values need further investigation within the eMAR/BCMA system and/or with your vendor.</w:t>
      </w:r>
    </w:p>
    <w:p w14:paraId="1DCE3759" w14:textId="77777777" w:rsidR="006D7240" w:rsidRDefault="006D7240" w:rsidP="006D7240">
      <w:pPr>
        <w:pStyle w:val="ListParagraph"/>
      </w:pPr>
    </w:p>
    <w:p w14:paraId="0B2E0EC7" w14:textId="4EDCFDE7" w:rsidR="006D7240" w:rsidRDefault="008D2579" w:rsidP="00190AE5">
      <w:pPr>
        <w:pStyle w:val="Heading3"/>
      </w:pPr>
      <w:bookmarkStart w:id="14" w:name="DrugTrends"/>
      <w:bookmarkEnd w:id="14"/>
      <w:r>
        <w:t>Examine Drug Specific Trends</w:t>
      </w:r>
      <w:r w:rsidR="006D7240">
        <w:t xml:space="preserve"> </w:t>
      </w:r>
    </w:p>
    <w:p w14:paraId="00F999AD" w14:textId="7547E5F1" w:rsidR="006D7240" w:rsidRPr="00190AE5" w:rsidRDefault="006D7240" w:rsidP="006D7240">
      <w:pPr>
        <w:pStyle w:val="ListParagraph"/>
        <w:ind w:left="0"/>
        <w:rPr>
          <w:sz w:val="21"/>
          <w:szCs w:val="21"/>
        </w:rPr>
      </w:pPr>
      <w:r w:rsidRPr="00190AE5">
        <w:rPr>
          <w:sz w:val="21"/>
          <w:szCs w:val="21"/>
        </w:rPr>
        <w:t xml:space="preserve">Remember that drug shortages may affect drug-specific trends. Pick the </w:t>
      </w:r>
      <w:r w:rsidRPr="00190AE5">
        <w:rPr>
          <w:sz w:val="21"/>
          <w:szCs w:val="21"/>
          <w:u w:val="single"/>
        </w:rPr>
        <w:t>three</w:t>
      </w:r>
      <w:r w:rsidRPr="00190AE5">
        <w:rPr>
          <w:sz w:val="21"/>
          <w:szCs w:val="21"/>
        </w:rPr>
        <w:t xml:space="preserve"> antibacterials (for example, ceftriaxone,</w:t>
      </w:r>
      <w:r w:rsidR="00097D06">
        <w:rPr>
          <w:sz w:val="21"/>
          <w:szCs w:val="21"/>
        </w:rPr>
        <w:t xml:space="preserve"> </w:t>
      </w:r>
      <w:r w:rsidRPr="00190AE5">
        <w:rPr>
          <w:sz w:val="21"/>
          <w:szCs w:val="21"/>
        </w:rPr>
        <w:t xml:space="preserve">piperacillin/tazobactam, vancomycin), </w:t>
      </w:r>
      <w:r w:rsidRPr="00190AE5">
        <w:rPr>
          <w:sz w:val="21"/>
          <w:szCs w:val="21"/>
          <w:u w:val="single"/>
        </w:rPr>
        <w:t>one</w:t>
      </w:r>
      <w:r w:rsidRPr="00190AE5">
        <w:rPr>
          <w:sz w:val="21"/>
          <w:szCs w:val="21"/>
        </w:rPr>
        <w:t xml:space="preserve"> antifungal (for example, fluconazole), and </w:t>
      </w:r>
      <w:r w:rsidRPr="00190AE5">
        <w:rPr>
          <w:sz w:val="21"/>
          <w:szCs w:val="21"/>
          <w:u w:val="single"/>
        </w:rPr>
        <w:t>one</w:t>
      </w:r>
      <w:r w:rsidRPr="00190AE5">
        <w:rPr>
          <w:sz w:val="21"/>
          <w:szCs w:val="21"/>
        </w:rPr>
        <w:t xml:space="preserve"> anti-influenza (for example, oseltamivir) that are </w:t>
      </w:r>
      <w:r w:rsidR="00190AE5" w:rsidRPr="00190AE5">
        <w:rPr>
          <w:sz w:val="21"/>
          <w:szCs w:val="21"/>
        </w:rPr>
        <w:t>most used</w:t>
      </w:r>
      <w:r w:rsidRPr="00190AE5">
        <w:rPr>
          <w:sz w:val="21"/>
          <w:szCs w:val="21"/>
        </w:rPr>
        <w:t xml:space="preserve"> within your facility to review. </w:t>
      </w:r>
    </w:p>
    <w:p w14:paraId="028929DD" w14:textId="77777777" w:rsidR="006D7240" w:rsidRPr="00190AE5" w:rsidRDefault="006D7240" w:rsidP="006D7240">
      <w:pPr>
        <w:pStyle w:val="ListParagraph"/>
        <w:rPr>
          <w:sz w:val="21"/>
          <w:szCs w:val="21"/>
        </w:rPr>
      </w:pPr>
    </w:p>
    <w:p w14:paraId="6317B69C" w14:textId="77777777" w:rsidR="006D7240" w:rsidRPr="00190AE5" w:rsidRDefault="006D7240" w:rsidP="006D7240">
      <w:pPr>
        <w:pStyle w:val="ListParagraph"/>
        <w:ind w:left="0"/>
        <w:rPr>
          <w:sz w:val="21"/>
          <w:szCs w:val="21"/>
        </w:rPr>
      </w:pPr>
      <w:r w:rsidRPr="00190AE5">
        <w:rPr>
          <w:sz w:val="21"/>
          <w:szCs w:val="21"/>
        </w:rPr>
        <w:t xml:space="preserve">You can review trends over time within NHSN either by running rate tables or bar charts. Keep in mind that while bar charts are a more visual way to look at the data, NHSN limits them to show only 12 bars per chart. The instructions for both methods are below. </w:t>
      </w:r>
      <w:r w:rsidRPr="00190AE5">
        <w:rPr>
          <w:b/>
          <w:sz w:val="21"/>
          <w:szCs w:val="21"/>
        </w:rPr>
        <w:t>Pick the one method of your choice.</w:t>
      </w:r>
      <w:r w:rsidRPr="00190AE5">
        <w:rPr>
          <w:sz w:val="21"/>
          <w:szCs w:val="21"/>
        </w:rPr>
        <w:t xml:space="preserve"> </w:t>
      </w:r>
    </w:p>
    <w:p w14:paraId="1FC57446" w14:textId="77777777" w:rsidR="006D7240" w:rsidRPr="002059DD" w:rsidRDefault="006D7240" w:rsidP="00190AE5">
      <w:pPr>
        <w:pStyle w:val="Heading4"/>
      </w:pPr>
      <w:r w:rsidRPr="002059DD">
        <w:t>Rate Tables:</w:t>
      </w:r>
    </w:p>
    <w:p w14:paraId="750A5461" w14:textId="56252427" w:rsidR="006D7240" w:rsidRPr="00190AE5" w:rsidRDefault="006D7240" w:rsidP="006D7240">
      <w:pPr>
        <w:pStyle w:val="ListParagraph"/>
        <w:numPr>
          <w:ilvl w:val="0"/>
          <w:numId w:val="7"/>
        </w:numPr>
        <w:ind w:left="810"/>
        <w:rPr>
          <w:sz w:val="21"/>
          <w:szCs w:val="21"/>
        </w:rPr>
      </w:pPr>
      <w:r w:rsidRPr="00190AE5">
        <w:rPr>
          <w:sz w:val="21"/>
          <w:szCs w:val="21"/>
        </w:rPr>
        <w:t>Within the Antimicrobial Use Data analysis folder, select the report titled “</w:t>
      </w:r>
      <w:hyperlink r:id="rId38" w:history="1">
        <w:r w:rsidRPr="00D33B29">
          <w:rPr>
            <w:rStyle w:val="Hyperlink"/>
            <w:sz w:val="21"/>
            <w:szCs w:val="21"/>
          </w:rPr>
          <w:t>Rate Table – Selected Drugs – by Location – All Months</w:t>
        </w:r>
      </w:hyperlink>
      <w:r w:rsidRPr="00190AE5">
        <w:rPr>
          <w:sz w:val="21"/>
          <w:szCs w:val="21"/>
        </w:rPr>
        <w:t xml:space="preserve">”. Click “Modify Report”. </w:t>
      </w:r>
    </w:p>
    <w:p w14:paraId="2853FADC" w14:textId="77777777" w:rsidR="006D7240" w:rsidRPr="00190AE5" w:rsidRDefault="006D7240" w:rsidP="006D7240">
      <w:pPr>
        <w:pStyle w:val="ListParagraph"/>
        <w:numPr>
          <w:ilvl w:val="0"/>
          <w:numId w:val="7"/>
        </w:numPr>
        <w:ind w:left="810"/>
        <w:rPr>
          <w:sz w:val="21"/>
          <w:szCs w:val="21"/>
        </w:rPr>
      </w:pPr>
      <w:r w:rsidRPr="00190AE5">
        <w:rPr>
          <w:sz w:val="21"/>
          <w:szCs w:val="21"/>
        </w:rPr>
        <w:t xml:space="preserve">Check box for “Show descriptive variable names” at the top left of the modification screen. </w:t>
      </w:r>
    </w:p>
    <w:p w14:paraId="38CB99DF" w14:textId="77777777" w:rsidR="006D7240" w:rsidRPr="00190AE5" w:rsidRDefault="006D7240" w:rsidP="006D7240">
      <w:pPr>
        <w:pStyle w:val="ListParagraph"/>
        <w:numPr>
          <w:ilvl w:val="0"/>
          <w:numId w:val="7"/>
        </w:numPr>
        <w:ind w:left="810"/>
        <w:rPr>
          <w:sz w:val="21"/>
          <w:szCs w:val="21"/>
        </w:rPr>
      </w:pPr>
      <w:r w:rsidRPr="00190AE5">
        <w:rPr>
          <w:sz w:val="21"/>
          <w:szCs w:val="21"/>
        </w:rPr>
        <w:t xml:space="preserve">On the </w:t>
      </w:r>
      <w:r w:rsidRPr="00190AE5">
        <w:rPr>
          <w:b/>
          <w:sz w:val="21"/>
          <w:szCs w:val="21"/>
        </w:rPr>
        <w:t>Filters</w:t>
      </w:r>
      <w:r w:rsidRPr="00190AE5">
        <w:rPr>
          <w:sz w:val="21"/>
          <w:szCs w:val="21"/>
        </w:rPr>
        <w:t xml:space="preserve"> tab, select “Antimicrobial </w:t>
      </w:r>
      <w:proofErr w:type="spellStart"/>
      <w:r w:rsidRPr="00190AE5">
        <w:rPr>
          <w:sz w:val="21"/>
          <w:szCs w:val="21"/>
        </w:rPr>
        <w:t>Agent~Description</w:t>
      </w:r>
      <w:proofErr w:type="spellEnd"/>
      <w:r w:rsidRPr="00190AE5">
        <w:rPr>
          <w:sz w:val="21"/>
          <w:szCs w:val="21"/>
        </w:rPr>
        <w:t>” as the variable. We recommend viewing one drug at a time so use “equal” as the operator and select your antimicrobial of interest.</w:t>
      </w:r>
    </w:p>
    <w:p w14:paraId="75DAD294" w14:textId="77777777" w:rsidR="006D7240" w:rsidRPr="00190AE5" w:rsidRDefault="006D7240" w:rsidP="006D7240">
      <w:pPr>
        <w:pStyle w:val="ListParagraph"/>
        <w:numPr>
          <w:ilvl w:val="0"/>
          <w:numId w:val="7"/>
        </w:numPr>
        <w:ind w:left="810"/>
        <w:rPr>
          <w:sz w:val="21"/>
          <w:szCs w:val="21"/>
        </w:rPr>
      </w:pPr>
      <w:r w:rsidRPr="00190AE5">
        <w:rPr>
          <w:sz w:val="21"/>
          <w:szCs w:val="21"/>
        </w:rPr>
        <w:t xml:space="preserve">Click “Run” to generate the rate table. The report will show one table per location. Within that table, NHSN generates a rate per month of data submitted. </w:t>
      </w:r>
    </w:p>
    <w:p w14:paraId="66CD7E69" w14:textId="77777777" w:rsidR="006D7240" w:rsidRPr="00190AE5" w:rsidRDefault="006D7240" w:rsidP="006D7240">
      <w:pPr>
        <w:pStyle w:val="ListParagraph"/>
        <w:rPr>
          <w:sz w:val="21"/>
          <w:szCs w:val="21"/>
        </w:rPr>
      </w:pPr>
    </w:p>
    <w:p w14:paraId="74776BB7" w14:textId="77777777" w:rsidR="006D7240" w:rsidRPr="00190AE5" w:rsidRDefault="006F7673" w:rsidP="006D7240">
      <w:pPr>
        <w:pStyle w:val="ListParagraph"/>
        <w:ind w:left="810"/>
        <w:rPr>
          <w:sz w:val="21"/>
          <w:szCs w:val="21"/>
        </w:rPr>
      </w:pPr>
      <w:hyperlink w:anchor="TrendQs" w:history="1">
        <w:r w:rsidR="006D7240" w:rsidRPr="00190AE5">
          <w:rPr>
            <w:rStyle w:val="Hyperlink"/>
            <w:sz w:val="21"/>
            <w:szCs w:val="21"/>
          </w:rPr>
          <w:t>Skip down to the questions</w:t>
        </w:r>
      </w:hyperlink>
    </w:p>
    <w:p w14:paraId="246C4910" w14:textId="77777777" w:rsidR="006D7240" w:rsidRDefault="006D7240" w:rsidP="006D7240">
      <w:pPr>
        <w:pStyle w:val="ListParagraph"/>
      </w:pPr>
    </w:p>
    <w:p w14:paraId="693BAEC5" w14:textId="77777777" w:rsidR="006D7240" w:rsidRDefault="006D7240" w:rsidP="00190AE5">
      <w:pPr>
        <w:pStyle w:val="Heading4"/>
      </w:pPr>
      <w:r w:rsidRPr="00325886">
        <w:t>Bar Charts</w:t>
      </w:r>
      <w:r>
        <w:t xml:space="preserve">: </w:t>
      </w:r>
    </w:p>
    <w:p w14:paraId="31ACB21B" w14:textId="4A21291A" w:rsidR="006D7240" w:rsidRPr="00190AE5" w:rsidRDefault="006D7240" w:rsidP="006D7240">
      <w:pPr>
        <w:pStyle w:val="ListParagraph"/>
        <w:numPr>
          <w:ilvl w:val="0"/>
          <w:numId w:val="8"/>
        </w:numPr>
        <w:ind w:left="810"/>
        <w:rPr>
          <w:sz w:val="21"/>
          <w:szCs w:val="21"/>
        </w:rPr>
      </w:pPr>
      <w:r w:rsidRPr="00190AE5">
        <w:rPr>
          <w:sz w:val="21"/>
          <w:szCs w:val="21"/>
        </w:rPr>
        <w:t>Within the Antimicrobial Use Data analysis folder, select the report titled “</w:t>
      </w:r>
      <w:hyperlink r:id="rId39" w:history="1">
        <w:r w:rsidRPr="00D33B29">
          <w:rPr>
            <w:rStyle w:val="Hyperlink"/>
            <w:sz w:val="21"/>
            <w:szCs w:val="21"/>
          </w:rPr>
          <w:t>Bar Chart – All AU Data by Antibacterial Class and Location</w:t>
        </w:r>
      </w:hyperlink>
      <w:r w:rsidRPr="00190AE5">
        <w:rPr>
          <w:sz w:val="21"/>
          <w:szCs w:val="21"/>
        </w:rPr>
        <w:t xml:space="preserve">”. Click “Modify Report”. </w:t>
      </w:r>
    </w:p>
    <w:p w14:paraId="493976EC" w14:textId="77777777" w:rsidR="006D7240" w:rsidRPr="00190AE5" w:rsidRDefault="006D7240" w:rsidP="006D7240">
      <w:pPr>
        <w:pStyle w:val="ListParagraph"/>
        <w:numPr>
          <w:ilvl w:val="0"/>
          <w:numId w:val="8"/>
        </w:numPr>
        <w:ind w:left="810"/>
        <w:rPr>
          <w:sz w:val="21"/>
          <w:szCs w:val="21"/>
        </w:rPr>
      </w:pPr>
      <w:r w:rsidRPr="00190AE5">
        <w:rPr>
          <w:sz w:val="21"/>
          <w:szCs w:val="21"/>
        </w:rPr>
        <w:t>Check box for “Show descriptive variable names” at the top left of the modification screen.</w:t>
      </w:r>
    </w:p>
    <w:p w14:paraId="3C940FA8" w14:textId="685893EA" w:rsidR="006D7240" w:rsidRPr="00190AE5" w:rsidRDefault="006D7240" w:rsidP="006D7240">
      <w:pPr>
        <w:pStyle w:val="ListParagraph"/>
        <w:numPr>
          <w:ilvl w:val="0"/>
          <w:numId w:val="8"/>
        </w:numPr>
        <w:ind w:left="810"/>
        <w:rPr>
          <w:sz w:val="21"/>
          <w:szCs w:val="21"/>
        </w:rPr>
      </w:pPr>
      <w:r w:rsidRPr="00190AE5">
        <w:rPr>
          <w:sz w:val="21"/>
          <w:szCs w:val="21"/>
        </w:rPr>
        <w:t xml:space="preserve">On the </w:t>
      </w:r>
      <w:r w:rsidRPr="00190AE5">
        <w:rPr>
          <w:b/>
          <w:sz w:val="21"/>
          <w:szCs w:val="21"/>
        </w:rPr>
        <w:t>Time Period</w:t>
      </w:r>
      <w:r w:rsidRPr="00190AE5">
        <w:rPr>
          <w:sz w:val="21"/>
          <w:szCs w:val="21"/>
        </w:rPr>
        <w:t xml:space="preserve"> tab, select “Summary Year/Month” as the Date Variable and a 12-month </w:t>
      </w:r>
      <w:proofErr w:type="gramStart"/>
      <w:r w:rsidRPr="00190AE5">
        <w:rPr>
          <w:sz w:val="21"/>
          <w:szCs w:val="21"/>
        </w:rPr>
        <w:t>time period</w:t>
      </w:r>
      <w:proofErr w:type="gramEnd"/>
      <w:r w:rsidRPr="00190AE5">
        <w:rPr>
          <w:sz w:val="21"/>
          <w:szCs w:val="21"/>
        </w:rPr>
        <w:t xml:space="preserve"> for review. (The Bar Charts display best with 12 bars or less.) Enter the beginning and ending dates (for example: 07/201</w:t>
      </w:r>
      <w:r w:rsidR="00DB5D31">
        <w:rPr>
          <w:sz w:val="21"/>
          <w:szCs w:val="21"/>
        </w:rPr>
        <w:t>9</w:t>
      </w:r>
      <w:r w:rsidRPr="00190AE5">
        <w:rPr>
          <w:sz w:val="21"/>
          <w:szCs w:val="21"/>
        </w:rPr>
        <w:t xml:space="preserve"> - 07/20</w:t>
      </w:r>
      <w:r w:rsidR="00DB5D31">
        <w:rPr>
          <w:sz w:val="21"/>
          <w:szCs w:val="21"/>
        </w:rPr>
        <w:t>20</w:t>
      </w:r>
      <w:r w:rsidRPr="00190AE5">
        <w:rPr>
          <w:sz w:val="21"/>
          <w:szCs w:val="21"/>
        </w:rPr>
        <w:t>).</w:t>
      </w:r>
    </w:p>
    <w:p w14:paraId="1729644B" w14:textId="77777777" w:rsidR="006D7240" w:rsidRPr="00190AE5" w:rsidRDefault="006D7240" w:rsidP="006D7240">
      <w:pPr>
        <w:pStyle w:val="ListParagraph"/>
        <w:numPr>
          <w:ilvl w:val="0"/>
          <w:numId w:val="8"/>
        </w:numPr>
        <w:ind w:left="810"/>
        <w:rPr>
          <w:sz w:val="21"/>
          <w:szCs w:val="21"/>
        </w:rPr>
      </w:pPr>
      <w:r w:rsidRPr="00190AE5">
        <w:rPr>
          <w:sz w:val="21"/>
          <w:szCs w:val="21"/>
        </w:rPr>
        <w:t xml:space="preserve">On the </w:t>
      </w:r>
      <w:r w:rsidRPr="00190AE5">
        <w:rPr>
          <w:b/>
          <w:sz w:val="21"/>
          <w:szCs w:val="21"/>
        </w:rPr>
        <w:t>Filters</w:t>
      </w:r>
      <w:r w:rsidRPr="00190AE5">
        <w:rPr>
          <w:sz w:val="21"/>
          <w:szCs w:val="21"/>
        </w:rPr>
        <w:t xml:space="preserve"> tab, delete the existing filter for antibacterial class. Click “Add rule” and select “Antimicrobial Agent” as the variable and “in” as the operator if viewing one drug and “equal” as the operator if viewing multiple drugs. Select the specific drugs you’d like to view. (see below example) </w:t>
      </w:r>
    </w:p>
    <w:p w14:paraId="29F956EE" w14:textId="624D37AC" w:rsidR="006D7240" w:rsidRDefault="00F635E2" w:rsidP="00B45A17">
      <w:pPr>
        <w:jc w:val="center"/>
      </w:pPr>
      <w:r>
        <w:rPr>
          <w:noProof/>
        </w:rPr>
        <w:lastRenderedPageBreak/>
        <w:drawing>
          <wp:inline distT="0" distB="0" distL="0" distR="0" wp14:anchorId="42B73EEA" wp14:editId="736991D1">
            <wp:extent cx="5745192" cy="2702900"/>
            <wp:effectExtent l="19050" t="19050" r="27305" b="21590"/>
            <wp:docPr id="12" name="Picture 12" descr="Screenshot showing Filters tab for the Bar Chart for all AU data. Antimicrobial agents selected are ceftriaxone, piperacillin with tazobactam, and vancomy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56036" cy="2708002"/>
                    </a:xfrm>
                    <a:prstGeom prst="rect">
                      <a:avLst/>
                    </a:prstGeom>
                    <a:noFill/>
                    <a:ln>
                      <a:solidFill>
                        <a:schemeClr val="accent1"/>
                      </a:solidFill>
                    </a:ln>
                  </pic:spPr>
                </pic:pic>
              </a:graphicData>
            </a:graphic>
          </wp:inline>
        </w:drawing>
      </w:r>
    </w:p>
    <w:p w14:paraId="57A73C7C" w14:textId="77777777" w:rsidR="006D7240" w:rsidRPr="00190AE5" w:rsidRDefault="006D7240" w:rsidP="006D7240">
      <w:pPr>
        <w:pStyle w:val="ListParagraph"/>
        <w:numPr>
          <w:ilvl w:val="0"/>
          <w:numId w:val="9"/>
        </w:numPr>
        <w:ind w:left="810"/>
        <w:rPr>
          <w:sz w:val="21"/>
          <w:szCs w:val="21"/>
        </w:rPr>
      </w:pPr>
      <w:r w:rsidRPr="00190AE5">
        <w:rPr>
          <w:sz w:val="21"/>
          <w:szCs w:val="21"/>
        </w:rPr>
        <w:t xml:space="preserve">On the </w:t>
      </w:r>
      <w:r w:rsidRPr="00190AE5">
        <w:rPr>
          <w:b/>
          <w:sz w:val="21"/>
          <w:szCs w:val="21"/>
        </w:rPr>
        <w:t>Display Options</w:t>
      </w:r>
      <w:r w:rsidRPr="00190AE5">
        <w:rPr>
          <w:sz w:val="21"/>
          <w:szCs w:val="21"/>
        </w:rPr>
        <w:t xml:space="preserve"> tab, select the options as shown in the below screenshot:</w:t>
      </w:r>
    </w:p>
    <w:p w14:paraId="45C84766" w14:textId="475DBBB1" w:rsidR="006D7240" w:rsidRDefault="00F635E2" w:rsidP="00B45A17">
      <w:pPr>
        <w:jc w:val="center"/>
      </w:pPr>
      <w:r>
        <w:rPr>
          <w:noProof/>
        </w:rPr>
        <w:drawing>
          <wp:inline distT="0" distB="0" distL="0" distR="0" wp14:anchorId="49B3CE70" wp14:editId="1DE9236C">
            <wp:extent cx="5893375" cy="2753811"/>
            <wp:effectExtent l="19050" t="19050" r="12700" b="27940"/>
            <wp:docPr id="13" name="Picture 13" descr="Screenshot showing the Display Options tab. &#10;Chart variable: summary year/month&#10;Stratification variable: antimicrobial agent&#10;Page by: location&#10;Select numeric variable to chart: rate days pres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02958" cy="2758289"/>
                    </a:xfrm>
                    <a:prstGeom prst="rect">
                      <a:avLst/>
                    </a:prstGeom>
                    <a:noFill/>
                    <a:ln>
                      <a:solidFill>
                        <a:schemeClr val="accent1"/>
                      </a:solidFill>
                    </a:ln>
                  </pic:spPr>
                </pic:pic>
              </a:graphicData>
            </a:graphic>
          </wp:inline>
        </w:drawing>
      </w:r>
    </w:p>
    <w:p w14:paraId="2F67F28A" w14:textId="77777777" w:rsidR="006D7240" w:rsidRPr="00190AE5" w:rsidRDefault="006D7240" w:rsidP="006D7240">
      <w:pPr>
        <w:pStyle w:val="ListParagraph"/>
        <w:numPr>
          <w:ilvl w:val="0"/>
          <w:numId w:val="9"/>
        </w:numPr>
        <w:ind w:left="720"/>
        <w:rPr>
          <w:sz w:val="21"/>
          <w:szCs w:val="21"/>
        </w:rPr>
      </w:pPr>
      <w:r w:rsidRPr="00190AE5">
        <w:rPr>
          <w:sz w:val="21"/>
          <w:szCs w:val="21"/>
        </w:rPr>
        <w:t xml:space="preserve">Click “Run” to generate the bar charts. </w:t>
      </w:r>
      <w:r w:rsidRPr="00190AE5">
        <w:rPr>
          <w:b/>
          <w:sz w:val="21"/>
          <w:szCs w:val="21"/>
        </w:rPr>
        <w:t>Note</w:t>
      </w:r>
      <w:r w:rsidRPr="00190AE5">
        <w:rPr>
          <w:sz w:val="21"/>
          <w:szCs w:val="21"/>
        </w:rPr>
        <w:t xml:space="preserve">: Drugs that you included in the filter but are not showing on bar chart equal 0 antimicrobial days for that month. </w:t>
      </w:r>
    </w:p>
    <w:p w14:paraId="41D073D8" w14:textId="77777777" w:rsidR="006D7240" w:rsidRPr="00190AE5" w:rsidRDefault="006D7240" w:rsidP="006D7240">
      <w:pPr>
        <w:pStyle w:val="ListParagraph"/>
        <w:rPr>
          <w:sz w:val="21"/>
          <w:szCs w:val="21"/>
        </w:rPr>
      </w:pPr>
    </w:p>
    <w:p w14:paraId="74F90BE5" w14:textId="77777777" w:rsidR="006D7240" w:rsidRPr="00190AE5" w:rsidRDefault="006D7240" w:rsidP="006D7240">
      <w:pPr>
        <w:pStyle w:val="ListParagraph"/>
        <w:numPr>
          <w:ilvl w:val="0"/>
          <w:numId w:val="14"/>
        </w:numPr>
        <w:rPr>
          <w:sz w:val="21"/>
          <w:szCs w:val="21"/>
        </w:rPr>
      </w:pPr>
      <w:bookmarkStart w:id="15" w:name="TrendQs"/>
      <w:bookmarkEnd w:id="15"/>
      <w:r w:rsidRPr="00190AE5">
        <w:rPr>
          <w:sz w:val="21"/>
          <w:szCs w:val="21"/>
        </w:rPr>
        <w:t>Are there any drug-specific rates that are lower or higher than anticipated for a given month/location?</w:t>
      </w:r>
    </w:p>
    <w:p w14:paraId="114A35A6" w14:textId="77777777" w:rsidR="006D7240" w:rsidRPr="00190AE5" w:rsidRDefault="006D7240" w:rsidP="006D7240">
      <w:pPr>
        <w:pStyle w:val="ListParagraph"/>
        <w:numPr>
          <w:ilvl w:val="1"/>
          <w:numId w:val="14"/>
        </w:numPr>
        <w:rPr>
          <w:sz w:val="21"/>
          <w:szCs w:val="21"/>
        </w:rPr>
      </w:pPr>
      <w:r w:rsidRPr="00190AE5">
        <w:rPr>
          <w:sz w:val="21"/>
          <w:szCs w:val="21"/>
        </w:rPr>
        <w:t>If so, are these changes a result of the antimicrobial day counts, the days present counts or both?</w:t>
      </w:r>
    </w:p>
    <w:p w14:paraId="66F8D2AE" w14:textId="77777777" w:rsidR="006D7240" w:rsidRPr="00190AE5" w:rsidRDefault="006D7240" w:rsidP="006D7240">
      <w:pPr>
        <w:pStyle w:val="ListParagraph"/>
        <w:numPr>
          <w:ilvl w:val="0"/>
          <w:numId w:val="14"/>
        </w:numPr>
        <w:rPr>
          <w:sz w:val="21"/>
          <w:szCs w:val="21"/>
        </w:rPr>
      </w:pPr>
      <w:r w:rsidRPr="00190AE5">
        <w:rPr>
          <w:sz w:val="21"/>
          <w:szCs w:val="21"/>
        </w:rPr>
        <w:t xml:space="preserve">Are there any drug-specific rates that have drastic changes from month to month? </w:t>
      </w:r>
    </w:p>
    <w:p w14:paraId="72B751F2" w14:textId="77777777" w:rsidR="006D7240" w:rsidRPr="00190AE5" w:rsidRDefault="006D7240" w:rsidP="006D7240">
      <w:pPr>
        <w:pStyle w:val="ListParagraph"/>
        <w:numPr>
          <w:ilvl w:val="1"/>
          <w:numId w:val="14"/>
        </w:numPr>
        <w:rPr>
          <w:sz w:val="21"/>
          <w:szCs w:val="21"/>
        </w:rPr>
      </w:pPr>
      <w:r w:rsidRPr="00190AE5">
        <w:rPr>
          <w:sz w:val="21"/>
          <w:szCs w:val="21"/>
        </w:rPr>
        <w:t>If so, are these changes a result of the antimicrobial day counts, the days present counts or both?</w:t>
      </w:r>
    </w:p>
    <w:p w14:paraId="7DCFB0F7" w14:textId="77777777" w:rsidR="006D7240" w:rsidRPr="00190AE5" w:rsidRDefault="006D7240" w:rsidP="006D7240">
      <w:pPr>
        <w:rPr>
          <w:szCs w:val="21"/>
        </w:rPr>
      </w:pPr>
      <w:r w:rsidRPr="00190AE5">
        <w:rPr>
          <w:szCs w:val="21"/>
        </w:rPr>
        <w:t xml:space="preserve">For drugs that are lower or higher than anticipated for a given month/location, run a line list for that drug to look for trends over time. You can find instructions for running a drug-specific line list </w:t>
      </w:r>
      <w:hyperlink w:anchor="LineList" w:history="1">
        <w:r w:rsidRPr="00190AE5">
          <w:rPr>
            <w:rStyle w:val="Hyperlink"/>
            <w:szCs w:val="21"/>
          </w:rPr>
          <w:t>above</w:t>
        </w:r>
      </w:hyperlink>
      <w:r w:rsidRPr="00190AE5">
        <w:rPr>
          <w:szCs w:val="21"/>
        </w:rPr>
        <w:t>.</w:t>
      </w:r>
    </w:p>
    <w:p w14:paraId="35000DD6" w14:textId="77777777" w:rsidR="00D47CEE" w:rsidRDefault="00D47CEE">
      <w:pPr>
        <w:rPr>
          <w:rFonts w:asciiTheme="majorHAnsi" w:eastAsiaTheme="majorEastAsia" w:hAnsiTheme="majorHAnsi" w:cstheme="majorBidi"/>
          <w:color w:val="243F60" w:themeColor="accent1" w:themeShade="7F"/>
          <w:sz w:val="32"/>
          <w:szCs w:val="24"/>
        </w:rPr>
      </w:pPr>
      <w:r>
        <w:br w:type="page"/>
      </w:r>
    </w:p>
    <w:p w14:paraId="23C4DDE8" w14:textId="0C4B04B3" w:rsidR="006D7240" w:rsidRDefault="00E63593" w:rsidP="00190AE5">
      <w:pPr>
        <w:pStyle w:val="Heading3"/>
      </w:pPr>
      <w:bookmarkStart w:id="16" w:name="_Use_the_Data"/>
      <w:bookmarkEnd w:id="16"/>
      <w:r>
        <w:lastRenderedPageBreak/>
        <w:t xml:space="preserve">Use the </w:t>
      </w:r>
      <w:r w:rsidR="006D7240">
        <w:t>Data Quality Line List</w:t>
      </w:r>
    </w:p>
    <w:p w14:paraId="5281CF98" w14:textId="77777777" w:rsidR="006D7240" w:rsidRPr="00190AE5" w:rsidRDefault="006D7240" w:rsidP="006D7240">
      <w:pPr>
        <w:rPr>
          <w:szCs w:val="21"/>
        </w:rPr>
      </w:pPr>
      <w:r w:rsidRPr="00190AE5">
        <w:rPr>
          <w:szCs w:val="21"/>
        </w:rPr>
        <w:t xml:space="preserve">The AU Option Data Quality Line List provides facilities with a quick way to assess four common data quality issues. </w:t>
      </w:r>
    </w:p>
    <w:p w14:paraId="5905CA8A" w14:textId="77777777" w:rsidR="006D7240" w:rsidRPr="00190AE5" w:rsidRDefault="006D7240" w:rsidP="006D7240">
      <w:pPr>
        <w:pStyle w:val="ListParagraph"/>
        <w:numPr>
          <w:ilvl w:val="0"/>
          <w:numId w:val="27"/>
        </w:numPr>
        <w:ind w:left="720" w:hanging="360"/>
        <w:rPr>
          <w:sz w:val="21"/>
          <w:szCs w:val="21"/>
        </w:rPr>
      </w:pPr>
      <w:r w:rsidRPr="00190AE5">
        <w:rPr>
          <w:sz w:val="21"/>
          <w:szCs w:val="21"/>
        </w:rPr>
        <w:t>Zero or missing antimicrobial days</w:t>
      </w:r>
    </w:p>
    <w:p w14:paraId="4E38058B" w14:textId="77777777" w:rsidR="006D7240" w:rsidRPr="00190AE5" w:rsidRDefault="006D7240" w:rsidP="006D7240">
      <w:pPr>
        <w:pStyle w:val="ListParagraph"/>
        <w:numPr>
          <w:ilvl w:val="0"/>
          <w:numId w:val="27"/>
        </w:numPr>
        <w:ind w:left="720" w:hanging="360"/>
        <w:rPr>
          <w:sz w:val="21"/>
          <w:szCs w:val="21"/>
        </w:rPr>
      </w:pPr>
      <w:r w:rsidRPr="00190AE5">
        <w:rPr>
          <w:sz w:val="21"/>
          <w:szCs w:val="21"/>
        </w:rPr>
        <w:t>Antimicrobial days reported with patients were not present</w:t>
      </w:r>
    </w:p>
    <w:p w14:paraId="56399789" w14:textId="77777777" w:rsidR="006D7240" w:rsidRPr="00190AE5" w:rsidRDefault="006D7240" w:rsidP="006D7240">
      <w:pPr>
        <w:pStyle w:val="ListParagraph"/>
        <w:numPr>
          <w:ilvl w:val="0"/>
          <w:numId w:val="27"/>
        </w:numPr>
        <w:ind w:left="720" w:hanging="360"/>
        <w:rPr>
          <w:sz w:val="21"/>
          <w:szCs w:val="21"/>
        </w:rPr>
      </w:pPr>
      <w:r w:rsidRPr="00190AE5">
        <w:rPr>
          <w:sz w:val="21"/>
          <w:szCs w:val="21"/>
        </w:rPr>
        <w:t>Antimicrobial days ≥ Days present</w:t>
      </w:r>
    </w:p>
    <w:p w14:paraId="7A774E23" w14:textId="77777777" w:rsidR="006D7240" w:rsidRPr="00190AE5" w:rsidRDefault="006D7240" w:rsidP="006D7240">
      <w:pPr>
        <w:pStyle w:val="ListParagraph"/>
        <w:numPr>
          <w:ilvl w:val="0"/>
          <w:numId w:val="27"/>
        </w:numPr>
        <w:ind w:left="720" w:hanging="360"/>
        <w:rPr>
          <w:sz w:val="21"/>
          <w:szCs w:val="21"/>
        </w:rPr>
      </w:pPr>
      <w:r w:rsidRPr="00190AE5">
        <w:rPr>
          <w:sz w:val="21"/>
          <w:szCs w:val="21"/>
        </w:rPr>
        <w:t xml:space="preserve">Sum of routes &lt; Total Antimicrobial days </w:t>
      </w:r>
    </w:p>
    <w:p w14:paraId="4DFDA015" w14:textId="77777777" w:rsidR="006D7240" w:rsidRPr="00190AE5" w:rsidRDefault="006D7240" w:rsidP="006D7240">
      <w:pPr>
        <w:rPr>
          <w:szCs w:val="21"/>
        </w:rPr>
      </w:pPr>
      <w:r w:rsidRPr="00190AE5">
        <w:rPr>
          <w:szCs w:val="21"/>
        </w:rPr>
        <w:t xml:space="preserve">Run the </w:t>
      </w:r>
      <w:hyperlink r:id="rId42" w:history="1">
        <w:r w:rsidRPr="00190AE5">
          <w:rPr>
            <w:rStyle w:val="Hyperlink"/>
            <w:szCs w:val="21"/>
          </w:rPr>
          <w:t>Data Quality Line List</w:t>
        </w:r>
      </w:hyperlink>
      <w:r w:rsidRPr="00190AE5">
        <w:rPr>
          <w:szCs w:val="21"/>
        </w:rPr>
        <w:t xml:space="preserve"> within NHSN to check if these common issues are present in your data. Within the document, you’ll also find guidance for interpreting your output and next steps for how to address the data quality issue(s).</w:t>
      </w:r>
    </w:p>
    <w:p w14:paraId="15F319C7" w14:textId="6CD15658" w:rsidR="006D7240" w:rsidRDefault="00E63593" w:rsidP="00190AE5">
      <w:pPr>
        <w:pStyle w:val="Heading3"/>
      </w:pPr>
      <w:bookmarkStart w:id="17" w:name="SpotCheck"/>
      <w:bookmarkEnd w:id="17"/>
      <w:r>
        <w:t>Perform a S</w:t>
      </w:r>
      <w:r w:rsidR="006D7240">
        <w:t>pot Check of the Data</w:t>
      </w:r>
    </w:p>
    <w:p w14:paraId="2A309A19" w14:textId="22462288" w:rsidR="006D7240" w:rsidRPr="00190AE5" w:rsidRDefault="006D7240" w:rsidP="006D7240">
      <w:pPr>
        <w:rPr>
          <w:szCs w:val="21"/>
        </w:rPr>
      </w:pPr>
      <w:r w:rsidRPr="00190AE5">
        <w:rPr>
          <w:szCs w:val="21"/>
        </w:rPr>
        <w:t>You can use line lists to spot check specific items such as the routes of administration and drug-specific trends or general items such as numerator and denominator aggregations. For each item below, use the report titled “</w:t>
      </w:r>
      <w:hyperlink r:id="rId43" w:history="1">
        <w:r w:rsidRPr="00394A98">
          <w:rPr>
            <w:rStyle w:val="Hyperlink"/>
            <w:szCs w:val="21"/>
          </w:rPr>
          <w:t>Line List – All Submitted AU Data by Location</w:t>
        </w:r>
      </w:hyperlink>
      <w:r w:rsidRPr="00190AE5">
        <w:rPr>
          <w:szCs w:val="21"/>
        </w:rPr>
        <w:t>”. Click “Modify Report” to make the necessary modifications.</w:t>
      </w:r>
    </w:p>
    <w:p w14:paraId="25946A67" w14:textId="77777777" w:rsidR="006D7240" w:rsidRPr="00190AE5" w:rsidRDefault="006D7240" w:rsidP="006D7240">
      <w:pPr>
        <w:pStyle w:val="ListParagraph"/>
        <w:numPr>
          <w:ilvl w:val="0"/>
          <w:numId w:val="9"/>
        </w:numPr>
        <w:ind w:left="720"/>
        <w:rPr>
          <w:sz w:val="21"/>
          <w:szCs w:val="21"/>
        </w:rPr>
      </w:pPr>
      <w:r w:rsidRPr="00190AE5">
        <w:rPr>
          <w:sz w:val="21"/>
          <w:szCs w:val="21"/>
        </w:rPr>
        <w:t xml:space="preserve">Check box for “Show descriptive variable names” at the top left of the modification screen. </w:t>
      </w:r>
    </w:p>
    <w:p w14:paraId="49C2C989" w14:textId="77777777" w:rsidR="006D7240" w:rsidRPr="00190AE5" w:rsidRDefault="006D7240" w:rsidP="006D7240">
      <w:pPr>
        <w:pStyle w:val="ListParagraph"/>
        <w:numPr>
          <w:ilvl w:val="0"/>
          <w:numId w:val="9"/>
        </w:numPr>
        <w:ind w:left="720"/>
        <w:rPr>
          <w:sz w:val="21"/>
          <w:szCs w:val="21"/>
        </w:rPr>
      </w:pPr>
      <w:r w:rsidRPr="00190AE5">
        <w:rPr>
          <w:sz w:val="21"/>
          <w:szCs w:val="21"/>
        </w:rPr>
        <w:t xml:space="preserve">On the </w:t>
      </w:r>
      <w:r w:rsidRPr="00190AE5">
        <w:rPr>
          <w:b/>
          <w:sz w:val="21"/>
          <w:szCs w:val="21"/>
        </w:rPr>
        <w:t>Filters</w:t>
      </w:r>
      <w:r w:rsidRPr="00190AE5">
        <w:rPr>
          <w:sz w:val="21"/>
          <w:szCs w:val="21"/>
        </w:rPr>
        <w:t xml:space="preserve"> tab, make the modifications as outlined in each scenario below. Delete the existing filter for location “not equal” to FacWideIN. For filters that require more than one variable, make sure to click “Add Rule” for each new filter you apply.</w:t>
      </w:r>
    </w:p>
    <w:p w14:paraId="50BA579F" w14:textId="6D308A86" w:rsidR="006D7240" w:rsidRPr="00190AE5" w:rsidRDefault="006D7240" w:rsidP="006D7240">
      <w:pPr>
        <w:pStyle w:val="ListParagraph"/>
        <w:numPr>
          <w:ilvl w:val="0"/>
          <w:numId w:val="9"/>
        </w:numPr>
        <w:ind w:left="720"/>
        <w:rPr>
          <w:sz w:val="21"/>
          <w:szCs w:val="21"/>
        </w:rPr>
      </w:pPr>
      <w:r w:rsidRPr="00190AE5">
        <w:rPr>
          <w:sz w:val="21"/>
          <w:szCs w:val="21"/>
        </w:rPr>
        <w:t xml:space="preserve">On the </w:t>
      </w:r>
      <w:r w:rsidRPr="00190AE5">
        <w:rPr>
          <w:b/>
          <w:sz w:val="21"/>
          <w:szCs w:val="21"/>
        </w:rPr>
        <w:t>Sort</w:t>
      </w:r>
      <w:r w:rsidRPr="00190AE5">
        <w:rPr>
          <w:sz w:val="21"/>
          <w:szCs w:val="21"/>
        </w:rPr>
        <w:t xml:space="preserve"> tab, make the modifications as outlined in each scenario below</w:t>
      </w:r>
      <w:r w:rsidR="00DB5D31">
        <w:rPr>
          <w:sz w:val="21"/>
          <w:szCs w:val="21"/>
        </w:rPr>
        <w:t xml:space="preserve"> (if applicable)</w:t>
      </w:r>
      <w:r w:rsidRPr="00190AE5">
        <w:rPr>
          <w:sz w:val="21"/>
          <w:szCs w:val="21"/>
        </w:rPr>
        <w:t>.</w:t>
      </w:r>
    </w:p>
    <w:p w14:paraId="17C05A36" w14:textId="77777777" w:rsidR="006D7240" w:rsidRPr="00190AE5" w:rsidRDefault="006D7240" w:rsidP="006D7240">
      <w:pPr>
        <w:pStyle w:val="ListParagraph"/>
        <w:numPr>
          <w:ilvl w:val="0"/>
          <w:numId w:val="9"/>
        </w:numPr>
        <w:ind w:left="720"/>
        <w:rPr>
          <w:sz w:val="21"/>
          <w:szCs w:val="21"/>
        </w:rPr>
      </w:pPr>
      <w:r w:rsidRPr="00190AE5">
        <w:rPr>
          <w:sz w:val="21"/>
          <w:szCs w:val="21"/>
        </w:rPr>
        <w:t xml:space="preserve">After you’ve selected all filters, click “Run” to generate the line list. </w:t>
      </w:r>
    </w:p>
    <w:p w14:paraId="49518F3A" w14:textId="77777777" w:rsidR="006D7240" w:rsidRPr="00AB7DFC" w:rsidRDefault="006D7240" w:rsidP="00190AE5">
      <w:pPr>
        <w:pStyle w:val="Heading4"/>
      </w:pPr>
      <w:r w:rsidRPr="00AB7DFC">
        <w:t>R</w:t>
      </w:r>
      <w:r>
        <w:t>outes of A</w:t>
      </w:r>
      <w:r w:rsidRPr="00AB7DFC">
        <w:t>dministration</w:t>
      </w:r>
    </w:p>
    <w:p w14:paraId="58F07418" w14:textId="77777777" w:rsidR="006D7240" w:rsidRPr="00190AE5" w:rsidRDefault="006D7240" w:rsidP="006D7240">
      <w:pPr>
        <w:pStyle w:val="ListParagraph"/>
        <w:numPr>
          <w:ilvl w:val="0"/>
          <w:numId w:val="10"/>
        </w:numPr>
        <w:rPr>
          <w:sz w:val="21"/>
          <w:szCs w:val="21"/>
        </w:rPr>
      </w:pPr>
      <w:r w:rsidRPr="00190AE5">
        <w:rPr>
          <w:sz w:val="21"/>
          <w:szCs w:val="21"/>
        </w:rPr>
        <w:t xml:space="preserve">Intramuscular (IM) administrations </w:t>
      </w:r>
    </w:p>
    <w:p w14:paraId="1BA29643" w14:textId="79B279E8" w:rsidR="006D7240" w:rsidRPr="00190AE5" w:rsidRDefault="006D7240" w:rsidP="006D7240">
      <w:pPr>
        <w:pStyle w:val="ListParagraph"/>
        <w:numPr>
          <w:ilvl w:val="1"/>
          <w:numId w:val="10"/>
        </w:numPr>
        <w:ind w:left="1080"/>
        <w:rPr>
          <w:sz w:val="21"/>
          <w:szCs w:val="21"/>
        </w:rPr>
      </w:pPr>
      <w:r w:rsidRPr="00190AE5">
        <w:rPr>
          <w:sz w:val="21"/>
          <w:szCs w:val="21"/>
        </w:rPr>
        <w:t xml:space="preserve">Look for IM administrations in ED location (if applicable). </w:t>
      </w:r>
      <w:proofErr w:type="gramStart"/>
      <w:r w:rsidRPr="00190AE5">
        <w:rPr>
          <w:sz w:val="21"/>
          <w:szCs w:val="21"/>
        </w:rPr>
        <w:t>Is</w:t>
      </w:r>
      <w:proofErr w:type="gramEnd"/>
      <w:r w:rsidRPr="00190AE5">
        <w:rPr>
          <w:sz w:val="21"/>
          <w:szCs w:val="21"/>
        </w:rPr>
        <w:t xml:space="preserve"> the vendor system appropriately capturing/reporting IM ED administrations</w:t>
      </w:r>
      <w:r w:rsidR="000B20F0">
        <w:rPr>
          <w:sz w:val="21"/>
          <w:szCs w:val="21"/>
        </w:rPr>
        <w:t xml:space="preserve"> (for example, ceftriaxone)</w:t>
      </w:r>
      <w:r w:rsidRPr="00190AE5">
        <w:rPr>
          <w:sz w:val="21"/>
          <w:szCs w:val="21"/>
        </w:rPr>
        <w:t>?</w:t>
      </w:r>
    </w:p>
    <w:p w14:paraId="476B3E23" w14:textId="77777777" w:rsidR="006D7240" w:rsidRPr="00190AE5" w:rsidRDefault="006D7240" w:rsidP="006D7240">
      <w:pPr>
        <w:pStyle w:val="ListParagraph"/>
        <w:numPr>
          <w:ilvl w:val="2"/>
          <w:numId w:val="10"/>
        </w:numPr>
        <w:ind w:left="1620"/>
        <w:rPr>
          <w:sz w:val="21"/>
          <w:szCs w:val="21"/>
        </w:rPr>
      </w:pPr>
      <w:r w:rsidRPr="00190AE5">
        <w:rPr>
          <w:b/>
          <w:sz w:val="21"/>
          <w:szCs w:val="21"/>
        </w:rPr>
        <w:t>Filters</w:t>
      </w:r>
      <w:r w:rsidRPr="00190AE5">
        <w:rPr>
          <w:sz w:val="21"/>
          <w:szCs w:val="21"/>
        </w:rPr>
        <w:t xml:space="preserve">: CDC Location “equal” to Emergency Department; </w:t>
      </w:r>
      <w:proofErr w:type="spellStart"/>
      <w:r w:rsidRPr="00190AE5">
        <w:rPr>
          <w:sz w:val="21"/>
          <w:szCs w:val="21"/>
        </w:rPr>
        <w:t>Route:IM</w:t>
      </w:r>
      <w:proofErr w:type="spellEnd"/>
      <w:r w:rsidRPr="00190AE5">
        <w:rPr>
          <w:sz w:val="21"/>
          <w:szCs w:val="21"/>
        </w:rPr>
        <w:t xml:space="preserve"> “greater” than 0 </w:t>
      </w:r>
    </w:p>
    <w:p w14:paraId="783BAE96" w14:textId="77777777" w:rsidR="006D7240" w:rsidRPr="00190AE5" w:rsidRDefault="006D7240" w:rsidP="006D7240">
      <w:pPr>
        <w:pStyle w:val="ListParagraph"/>
        <w:numPr>
          <w:ilvl w:val="2"/>
          <w:numId w:val="10"/>
        </w:numPr>
        <w:ind w:left="1620"/>
        <w:rPr>
          <w:sz w:val="21"/>
          <w:szCs w:val="21"/>
        </w:rPr>
      </w:pPr>
      <w:r w:rsidRPr="00190AE5">
        <w:rPr>
          <w:b/>
          <w:sz w:val="21"/>
          <w:szCs w:val="21"/>
        </w:rPr>
        <w:t>Sort</w:t>
      </w:r>
      <w:r w:rsidRPr="00190AE5">
        <w:rPr>
          <w:sz w:val="21"/>
          <w:szCs w:val="21"/>
        </w:rPr>
        <w:t xml:space="preserve">: Antimicrobial </w:t>
      </w:r>
      <w:proofErr w:type="spellStart"/>
      <w:r w:rsidRPr="00190AE5">
        <w:rPr>
          <w:sz w:val="21"/>
          <w:szCs w:val="21"/>
        </w:rPr>
        <w:t>Agent~Description</w:t>
      </w:r>
      <w:proofErr w:type="spellEnd"/>
      <w:r w:rsidRPr="00190AE5">
        <w:rPr>
          <w:sz w:val="21"/>
          <w:szCs w:val="21"/>
        </w:rPr>
        <w:t xml:space="preserve"> or Summary Year/Month</w:t>
      </w:r>
    </w:p>
    <w:p w14:paraId="24A5A396" w14:textId="77777777" w:rsidR="006D7240" w:rsidRPr="00190AE5" w:rsidRDefault="006D7240" w:rsidP="006D7240">
      <w:pPr>
        <w:pStyle w:val="ListParagraph"/>
        <w:numPr>
          <w:ilvl w:val="1"/>
          <w:numId w:val="10"/>
        </w:numPr>
        <w:ind w:left="1080"/>
        <w:rPr>
          <w:sz w:val="21"/>
          <w:szCs w:val="21"/>
        </w:rPr>
      </w:pPr>
      <w:r w:rsidRPr="00190AE5">
        <w:rPr>
          <w:sz w:val="21"/>
          <w:szCs w:val="21"/>
        </w:rPr>
        <w:t>Confirm IM use is rarely occurring in inpatient locations.</w:t>
      </w:r>
    </w:p>
    <w:p w14:paraId="018164F9" w14:textId="77777777" w:rsidR="006D7240" w:rsidRPr="00190AE5" w:rsidRDefault="006D7240" w:rsidP="006D7240">
      <w:pPr>
        <w:pStyle w:val="ListParagraph"/>
        <w:numPr>
          <w:ilvl w:val="2"/>
          <w:numId w:val="10"/>
        </w:numPr>
        <w:ind w:left="1620"/>
        <w:rPr>
          <w:sz w:val="21"/>
          <w:szCs w:val="21"/>
        </w:rPr>
      </w:pPr>
      <w:r w:rsidRPr="00190AE5">
        <w:rPr>
          <w:b/>
          <w:sz w:val="21"/>
          <w:szCs w:val="21"/>
        </w:rPr>
        <w:t>Filters</w:t>
      </w:r>
      <w:r w:rsidRPr="00190AE5">
        <w:rPr>
          <w:sz w:val="21"/>
          <w:szCs w:val="21"/>
        </w:rPr>
        <w:t xml:space="preserve">: CDC Location “not in” Emergency Department and 24-hour Observation Area; </w:t>
      </w:r>
      <w:proofErr w:type="spellStart"/>
      <w:r w:rsidRPr="00190AE5">
        <w:rPr>
          <w:sz w:val="21"/>
          <w:szCs w:val="21"/>
        </w:rPr>
        <w:t>Route:IM</w:t>
      </w:r>
      <w:proofErr w:type="spellEnd"/>
      <w:r w:rsidRPr="00190AE5">
        <w:rPr>
          <w:sz w:val="21"/>
          <w:szCs w:val="21"/>
        </w:rPr>
        <w:t xml:space="preserve"> “greater” than 0</w:t>
      </w:r>
    </w:p>
    <w:p w14:paraId="5C0B4FC4" w14:textId="77777777" w:rsidR="006D7240" w:rsidRPr="00190AE5" w:rsidRDefault="006D7240" w:rsidP="006D7240">
      <w:pPr>
        <w:pStyle w:val="ListParagraph"/>
        <w:numPr>
          <w:ilvl w:val="2"/>
          <w:numId w:val="10"/>
        </w:numPr>
        <w:ind w:left="1620"/>
        <w:rPr>
          <w:sz w:val="21"/>
          <w:szCs w:val="21"/>
        </w:rPr>
      </w:pPr>
      <w:r w:rsidRPr="00190AE5">
        <w:rPr>
          <w:b/>
          <w:sz w:val="21"/>
          <w:szCs w:val="21"/>
        </w:rPr>
        <w:t>Sort</w:t>
      </w:r>
      <w:r w:rsidRPr="00190AE5">
        <w:rPr>
          <w:sz w:val="21"/>
          <w:szCs w:val="21"/>
        </w:rPr>
        <w:t xml:space="preserve">: Antimicrobial </w:t>
      </w:r>
      <w:proofErr w:type="spellStart"/>
      <w:r w:rsidRPr="00190AE5">
        <w:rPr>
          <w:sz w:val="21"/>
          <w:szCs w:val="21"/>
        </w:rPr>
        <w:t>Agent~Description</w:t>
      </w:r>
      <w:proofErr w:type="spellEnd"/>
      <w:r w:rsidRPr="00190AE5">
        <w:rPr>
          <w:sz w:val="21"/>
          <w:szCs w:val="21"/>
        </w:rPr>
        <w:t xml:space="preserve"> or Summary Year/Month</w:t>
      </w:r>
    </w:p>
    <w:p w14:paraId="38FFEB98" w14:textId="77777777" w:rsidR="006D7240" w:rsidRPr="00190AE5" w:rsidRDefault="006D7240" w:rsidP="006D7240">
      <w:pPr>
        <w:pStyle w:val="ListParagraph"/>
        <w:ind w:left="1620"/>
        <w:rPr>
          <w:sz w:val="21"/>
          <w:szCs w:val="21"/>
        </w:rPr>
      </w:pPr>
    </w:p>
    <w:p w14:paraId="4CFDFFE8" w14:textId="77777777" w:rsidR="006D7240" w:rsidRPr="00190AE5" w:rsidRDefault="006D7240" w:rsidP="006D7240">
      <w:pPr>
        <w:pStyle w:val="ListParagraph"/>
        <w:numPr>
          <w:ilvl w:val="0"/>
          <w:numId w:val="10"/>
        </w:numPr>
        <w:rPr>
          <w:sz w:val="21"/>
          <w:szCs w:val="21"/>
        </w:rPr>
      </w:pPr>
      <w:r w:rsidRPr="00190AE5">
        <w:rPr>
          <w:sz w:val="21"/>
          <w:szCs w:val="21"/>
        </w:rPr>
        <w:t xml:space="preserve">Intravenous (IV) administrations </w:t>
      </w:r>
    </w:p>
    <w:p w14:paraId="474F5161" w14:textId="7088A8C2" w:rsidR="006D7240" w:rsidRPr="00190AE5" w:rsidRDefault="006D7240" w:rsidP="006D7240">
      <w:pPr>
        <w:pStyle w:val="ListParagraph"/>
        <w:numPr>
          <w:ilvl w:val="1"/>
          <w:numId w:val="10"/>
        </w:numPr>
        <w:ind w:left="1080"/>
        <w:rPr>
          <w:sz w:val="21"/>
          <w:szCs w:val="21"/>
        </w:rPr>
      </w:pPr>
      <w:r w:rsidRPr="00190AE5">
        <w:rPr>
          <w:sz w:val="21"/>
          <w:szCs w:val="21"/>
        </w:rPr>
        <w:t>If using continuous or extended infusion</w:t>
      </w:r>
      <w:r w:rsidR="000B20F0">
        <w:rPr>
          <w:sz w:val="21"/>
          <w:szCs w:val="21"/>
        </w:rPr>
        <w:t xml:space="preserve"> (for example, of piperacillin-tazobactam)</w:t>
      </w:r>
      <w:r w:rsidRPr="00190AE5">
        <w:rPr>
          <w:sz w:val="21"/>
          <w:szCs w:val="21"/>
        </w:rPr>
        <w:t>, confirm usage in those specific locations.</w:t>
      </w:r>
    </w:p>
    <w:p w14:paraId="48F1D7DF" w14:textId="6BB4A9C9" w:rsidR="006D7240" w:rsidRPr="00190AE5" w:rsidRDefault="006D7240" w:rsidP="006D7240">
      <w:pPr>
        <w:pStyle w:val="ListParagraph"/>
        <w:numPr>
          <w:ilvl w:val="2"/>
          <w:numId w:val="10"/>
        </w:numPr>
        <w:ind w:left="1620"/>
        <w:rPr>
          <w:sz w:val="21"/>
          <w:szCs w:val="21"/>
        </w:rPr>
      </w:pPr>
      <w:r w:rsidRPr="00190AE5">
        <w:rPr>
          <w:b/>
          <w:sz w:val="21"/>
          <w:szCs w:val="21"/>
        </w:rPr>
        <w:t>Filter</w:t>
      </w:r>
      <w:r w:rsidRPr="00190AE5">
        <w:rPr>
          <w:sz w:val="21"/>
          <w:szCs w:val="21"/>
        </w:rPr>
        <w:t>: Location “in” (</w:t>
      </w:r>
      <w:r w:rsidR="00841874">
        <w:rPr>
          <w:sz w:val="21"/>
          <w:szCs w:val="21"/>
        </w:rPr>
        <w:t xml:space="preserve">select </w:t>
      </w:r>
      <w:r w:rsidRPr="00190AE5">
        <w:rPr>
          <w:sz w:val="21"/>
          <w:szCs w:val="21"/>
        </w:rPr>
        <w:t xml:space="preserve">specific locations with continuous or extended infusion); </w:t>
      </w:r>
      <w:proofErr w:type="spellStart"/>
      <w:proofErr w:type="gramStart"/>
      <w:r w:rsidRPr="00190AE5">
        <w:rPr>
          <w:sz w:val="21"/>
          <w:szCs w:val="21"/>
        </w:rPr>
        <w:t>Route:IV</w:t>
      </w:r>
      <w:proofErr w:type="spellEnd"/>
      <w:proofErr w:type="gramEnd"/>
      <w:r w:rsidRPr="00190AE5">
        <w:rPr>
          <w:sz w:val="21"/>
          <w:szCs w:val="21"/>
        </w:rPr>
        <w:t xml:space="preserve"> “greater” than 0</w:t>
      </w:r>
    </w:p>
    <w:p w14:paraId="00F3537E" w14:textId="77777777" w:rsidR="006D7240" w:rsidRPr="00190AE5" w:rsidRDefault="006D7240" w:rsidP="006D7240">
      <w:pPr>
        <w:pStyle w:val="ListParagraph"/>
        <w:numPr>
          <w:ilvl w:val="2"/>
          <w:numId w:val="10"/>
        </w:numPr>
        <w:ind w:left="1620"/>
        <w:rPr>
          <w:sz w:val="21"/>
          <w:szCs w:val="21"/>
        </w:rPr>
      </w:pPr>
      <w:r w:rsidRPr="00190AE5">
        <w:rPr>
          <w:b/>
          <w:sz w:val="21"/>
          <w:szCs w:val="21"/>
        </w:rPr>
        <w:t>Sort</w:t>
      </w:r>
      <w:r w:rsidRPr="00190AE5">
        <w:rPr>
          <w:sz w:val="21"/>
          <w:szCs w:val="21"/>
        </w:rPr>
        <w:t xml:space="preserve">: Antimicrobial </w:t>
      </w:r>
      <w:proofErr w:type="spellStart"/>
      <w:r w:rsidRPr="00190AE5">
        <w:rPr>
          <w:sz w:val="21"/>
          <w:szCs w:val="21"/>
        </w:rPr>
        <w:t>Agent~Description</w:t>
      </w:r>
      <w:proofErr w:type="spellEnd"/>
      <w:r w:rsidRPr="00190AE5">
        <w:rPr>
          <w:sz w:val="21"/>
          <w:szCs w:val="21"/>
        </w:rPr>
        <w:t xml:space="preserve"> or Summary Year/Month</w:t>
      </w:r>
    </w:p>
    <w:p w14:paraId="11D6B536" w14:textId="77777777" w:rsidR="006D7240" w:rsidRPr="00190AE5" w:rsidRDefault="006D7240" w:rsidP="006D7240">
      <w:pPr>
        <w:pStyle w:val="ListParagraph"/>
        <w:ind w:left="1620"/>
        <w:rPr>
          <w:sz w:val="21"/>
          <w:szCs w:val="21"/>
        </w:rPr>
      </w:pPr>
    </w:p>
    <w:p w14:paraId="74F28114" w14:textId="77777777" w:rsidR="006D7240" w:rsidRPr="00190AE5" w:rsidRDefault="006D7240" w:rsidP="006D7240">
      <w:pPr>
        <w:pStyle w:val="ListParagraph"/>
        <w:numPr>
          <w:ilvl w:val="0"/>
          <w:numId w:val="10"/>
        </w:numPr>
        <w:rPr>
          <w:sz w:val="21"/>
          <w:szCs w:val="21"/>
        </w:rPr>
      </w:pPr>
      <w:r w:rsidRPr="00190AE5">
        <w:rPr>
          <w:sz w:val="21"/>
          <w:szCs w:val="21"/>
        </w:rPr>
        <w:t>Digestive tract administrations</w:t>
      </w:r>
    </w:p>
    <w:p w14:paraId="164EC4E8" w14:textId="77777777" w:rsidR="006D7240" w:rsidRPr="00190AE5" w:rsidRDefault="006D7240" w:rsidP="006D7240">
      <w:pPr>
        <w:pStyle w:val="ListParagraph"/>
        <w:numPr>
          <w:ilvl w:val="1"/>
          <w:numId w:val="10"/>
        </w:numPr>
        <w:ind w:left="1080"/>
        <w:rPr>
          <w:sz w:val="21"/>
          <w:szCs w:val="21"/>
        </w:rPr>
      </w:pPr>
      <w:r w:rsidRPr="00190AE5">
        <w:rPr>
          <w:sz w:val="21"/>
          <w:szCs w:val="21"/>
        </w:rPr>
        <w:t>If using IV formulation of vancomycin for oral or rectal administrations, confirm usage in those specific locations.</w:t>
      </w:r>
    </w:p>
    <w:p w14:paraId="66E4B20D" w14:textId="2D273886" w:rsidR="006D7240" w:rsidRPr="00190AE5" w:rsidRDefault="006D7240" w:rsidP="006D7240">
      <w:pPr>
        <w:pStyle w:val="ListParagraph"/>
        <w:numPr>
          <w:ilvl w:val="2"/>
          <w:numId w:val="10"/>
        </w:numPr>
        <w:ind w:left="1620"/>
        <w:rPr>
          <w:sz w:val="21"/>
          <w:szCs w:val="21"/>
        </w:rPr>
      </w:pPr>
      <w:r w:rsidRPr="00190AE5">
        <w:rPr>
          <w:b/>
          <w:sz w:val="21"/>
          <w:szCs w:val="21"/>
        </w:rPr>
        <w:t>Filter</w:t>
      </w:r>
      <w:r w:rsidRPr="00190AE5">
        <w:rPr>
          <w:sz w:val="21"/>
          <w:szCs w:val="21"/>
        </w:rPr>
        <w:t>: Location “in” (</w:t>
      </w:r>
      <w:r w:rsidR="00841874">
        <w:rPr>
          <w:sz w:val="21"/>
          <w:szCs w:val="21"/>
        </w:rPr>
        <w:t xml:space="preserve">select </w:t>
      </w:r>
      <w:r w:rsidRPr="00190AE5">
        <w:rPr>
          <w:sz w:val="21"/>
          <w:szCs w:val="21"/>
        </w:rPr>
        <w:t xml:space="preserve">oral or rectal vancomycin administration locations); </w:t>
      </w:r>
      <w:proofErr w:type="spellStart"/>
      <w:proofErr w:type="gramStart"/>
      <w:r w:rsidRPr="00190AE5">
        <w:rPr>
          <w:sz w:val="21"/>
          <w:szCs w:val="21"/>
        </w:rPr>
        <w:t>Route:Digestive</w:t>
      </w:r>
      <w:proofErr w:type="spellEnd"/>
      <w:proofErr w:type="gramEnd"/>
      <w:r w:rsidRPr="00190AE5">
        <w:rPr>
          <w:sz w:val="21"/>
          <w:szCs w:val="21"/>
        </w:rPr>
        <w:t xml:space="preserve"> “greater” than 0; Antimicrobial </w:t>
      </w:r>
      <w:proofErr w:type="spellStart"/>
      <w:r w:rsidRPr="00190AE5">
        <w:rPr>
          <w:sz w:val="21"/>
          <w:szCs w:val="21"/>
        </w:rPr>
        <w:t>Agent~Description</w:t>
      </w:r>
      <w:proofErr w:type="spellEnd"/>
      <w:r w:rsidRPr="00190AE5">
        <w:rPr>
          <w:sz w:val="21"/>
          <w:szCs w:val="21"/>
        </w:rPr>
        <w:t xml:space="preserve"> “equal” to vancomycin</w:t>
      </w:r>
    </w:p>
    <w:p w14:paraId="6E8F7848" w14:textId="77777777" w:rsidR="006D7240" w:rsidRPr="00190AE5" w:rsidRDefault="006D7240" w:rsidP="006D7240">
      <w:pPr>
        <w:pStyle w:val="ListParagraph"/>
        <w:numPr>
          <w:ilvl w:val="2"/>
          <w:numId w:val="10"/>
        </w:numPr>
        <w:ind w:left="1620"/>
        <w:rPr>
          <w:sz w:val="21"/>
          <w:szCs w:val="21"/>
        </w:rPr>
      </w:pPr>
      <w:r w:rsidRPr="00190AE5">
        <w:rPr>
          <w:b/>
          <w:sz w:val="21"/>
          <w:szCs w:val="21"/>
        </w:rPr>
        <w:t>Sort</w:t>
      </w:r>
      <w:r w:rsidRPr="00190AE5">
        <w:rPr>
          <w:sz w:val="21"/>
          <w:szCs w:val="21"/>
        </w:rPr>
        <w:t xml:space="preserve">: Antimicrobial </w:t>
      </w:r>
      <w:proofErr w:type="spellStart"/>
      <w:r w:rsidRPr="00190AE5">
        <w:rPr>
          <w:sz w:val="21"/>
          <w:szCs w:val="21"/>
        </w:rPr>
        <w:t>Agent~Description</w:t>
      </w:r>
      <w:proofErr w:type="spellEnd"/>
      <w:r w:rsidRPr="00190AE5">
        <w:rPr>
          <w:sz w:val="21"/>
          <w:szCs w:val="21"/>
        </w:rPr>
        <w:t xml:space="preserve"> or Summary Year/Month</w:t>
      </w:r>
    </w:p>
    <w:p w14:paraId="11066103" w14:textId="77777777" w:rsidR="006D7240" w:rsidRPr="00190AE5" w:rsidRDefault="006D7240" w:rsidP="006D7240">
      <w:pPr>
        <w:pStyle w:val="ListParagraph"/>
        <w:ind w:left="1620"/>
        <w:rPr>
          <w:sz w:val="21"/>
          <w:szCs w:val="21"/>
        </w:rPr>
      </w:pPr>
    </w:p>
    <w:p w14:paraId="3CC4777F" w14:textId="77777777" w:rsidR="006D7240" w:rsidRPr="00190AE5" w:rsidRDefault="006D7240" w:rsidP="006D7240">
      <w:pPr>
        <w:pStyle w:val="ListParagraph"/>
        <w:numPr>
          <w:ilvl w:val="0"/>
          <w:numId w:val="10"/>
        </w:numPr>
        <w:rPr>
          <w:sz w:val="21"/>
          <w:szCs w:val="21"/>
        </w:rPr>
      </w:pPr>
      <w:r w:rsidRPr="00190AE5">
        <w:rPr>
          <w:sz w:val="21"/>
          <w:szCs w:val="21"/>
        </w:rPr>
        <w:t>Respiratory tract administrations</w:t>
      </w:r>
    </w:p>
    <w:p w14:paraId="582920F2" w14:textId="618B991E" w:rsidR="006D7240" w:rsidRPr="00190AE5" w:rsidRDefault="006D7240" w:rsidP="006D7240">
      <w:pPr>
        <w:pStyle w:val="ListParagraph"/>
        <w:numPr>
          <w:ilvl w:val="1"/>
          <w:numId w:val="10"/>
        </w:numPr>
        <w:ind w:left="1080"/>
        <w:rPr>
          <w:sz w:val="21"/>
          <w:szCs w:val="21"/>
        </w:rPr>
      </w:pPr>
      <w:r w:rsidRPr="00190AE5">
        <w:rPr>
          <w:sz w:val="21"/>
          <w:szCs w:val="21"/>
        </w:rPr>
        <w:t>If using inhaled drugs</w:t>
      </w:r>
      <w:r w:rsidR="000B20F0">
        <w:rPr>
          <w:sz w:val="21"/>
          <w:szCs w:val="21"/>
        </w:rPr>
        <w:t xml:space="preserve"> (for example, aztreonam, tobramycin, amikacin, gentamicin, zanamivir)</w:t>
      </w:r>
      <w:r w:rsidRPr="00190AE5">
        <w:rPr>
          <w:sz w:val="21"/>
          <w:szCs w:val="21"/>
        </w:rPr>
        <w:t>, confirm usage in those specific locations.</w:t>
      </w:r>
    </w:p>
    <w:p w14:paraId="3CE1CDA3" w14:textId="56CB0690" w:rsidR="006D7240" w:rsidRPr="00190AE5" w:rsidRDefault="006D7240" w:rsidP="006D7240">
      <w:pPr>
        <w:pStyle w:val="ListParagraph"/>
        <w:numPr>
          <w:ilvl w:val="2"/>
          <w:numId w:val="10"/>
        </w:numPr>
        <w:ind w:left="1620"/>
        <w:rPr>
          <w:sz w:val="21"/>
          <w:szCs w:val="21"/>
        </w:rPr>
      </w:pPr>
      <w:r w:rsidRPr="00190AE5">
        <w:rPr>
          <w:b/>
          <w:sz w:val="21"/>
          <w:szCs w:val="21"/>
        </w:rPr>
        <w:t>Filter</w:t>
      </w:r>
      <w:r w:rsidRPr="00190AE5">
        <w:rPr>
          <w:sz w:val="21"/>
          <w:szCs w:val="21"/>
        </w:rPr>
        <w:t>: Location “in” (</w:t>
      </w:r>
      <w:r w:rsidR="00841874">
        <w:rPr>
          <w:sz w:val="21"/>
          <w:szCs w:val="21"/>
        </w:rPr>
        <w:t xml:space="preserve">select </w:t>
      </w:r>
      <w:r w:rsidRPr="00190AE5">
        <w:rPr>
          <w:sz w:val="21"/>
          <w:szCs w:val="21"/>
        </w:rPr>
        <w:t xml:space="preserve">inhaled administration locations); </w:t>
      </w:r>
      <w:proofErr w:type="spellStart"/>
      <w:proofErr w:type="gramStart"/>
      <w:r w:rsidRPr="00190AE5">
        <w:rPr>
          <w:sz w:val="21"/>
          <w:szCs w:val="21"/>
        </w:rPr>
        <w:t>Route:Respiratory</w:t>
      </w:r>
      <w:proofErr w:type="spellEnd"/>
      <w:proofErr w:type="gramEnd"/>
      <w:r w:rsidRPr="00190AE5">
        <w:rPr>
          <w:sz w:val="21"/>
          <w:szCs w:val="21"/>
        </w:rPr>
        <w:t xml:space="preserve"> “greater” than 0</w:t>
      </w:r>
    </w:p>
    <w:p w14:paraId="3D9ACB5E" w14:textId="77777777" w:rsidR="006D7240" w:rsidRDefault="006D7240" w:rsidP="006D7240">
      <w:pPr>
        <w:pStyle w:val="ListParagraph"/>
        <w:numPr>
          <w:ilvl w:val="2"/>
          <w:numId w:val="10"/>
        </w:numPr>
        <w:ind w:left="1620"/>
      </w:pPr>
      <w:r w:rsidRPr="00190AE5">
        <w:rPr>
          <w:b/>
          <w:sz w:val="21"/>
          <w:szCs w:val="21"/>
        </w:rPr>
        <w:t>Sort</w:t>
      </w:r>
      <w:r w:rsidRPr="00190AE5">
        <w:rPr>
          <w:sz w:val="21"/>
          <w:szCs w:val="21"/>
        </w:rPr>
        <w:t xml:space="preserve">: Antimicrobial </w:t>
      </w:r>
      <w:proofErr w:type="spellStart"/>
      <w:r w:rsidRPr="00190AE5">
        <w:rPr>
          <w:sz w:val="21"/>
          <w:szCs w:val="21"/>
        </w:rPr>
        <w:t>Agent~Description</w:t>
      </w:r>
      <w:proofErr w:type="spellEnd"/>
      <w:r w:rsidRPr="00190AE5">
        <w:rPr>
          <w:sz w:val="21"/>
          <w:szCs w:val="21"/>
        </w:rPr>
        <w:t xml:space="preserve"> or Summary Year/Month</w:t>
      </w:r>
    </w:p>
    <w:p w14:paraId="101A235C" w14:textId="77777777" w:rsidR="006D7240" w:rsidRPr="005D2C27" w:rsidRDefault="006D7240" w:rsidP="00190AE5">
      <w:pPr>
        <w:pStyle w:val="Heading4"/>
      </w:pPr>
      <w:r w:rsidRPr="005D2C27">
        <w:t>Drug-</w:t>
      </w:r>
      <w:r>
        <w:t>Specific T</w:t>
      </w:r>
      <w:r w:rsidRPr="005D2C27">
        <w:t>rends</w:t>
      </w:r>
    </w:p>
    <w:p w14:paraId="55CB3A7E" w14:textId="77777777" w:rsidR="006D7240" w:rsidRPr="00190AE5" w:rsidRDefault="006D7240" w:rsidP="006D7240">
      <w:pPr>
        <w:pStyle w:val="ListParagraph"/>
        <w:numPr>
          <w:ilvl w:val="0"/>
          <w:numId w:val="15"/>
        </w:numPr>
        <w:ind w:left="720"/>
        <w:rPr>
          <w:sz w:val="21"/>
          <w:szCs w:val="21"/>
        </w:rPr>
      </w:pPr>
      <w:r w:rsidRPr="00190AE5">
        <w:rPr>
          <w:sz w:val="21"/>
          <w:szCs w:val="21"/>
        </w:rPr>
        <w:t>Confirm that there are higher antimicrobial days for commonly used drugs within your facility (for example, ceftriaxone, piperacillin/tazobactam, vancomycin).</w:t>
      </w:r>
    </w:p>
    <w:p w14:paraId="708FC4D8" w14:textId="3202963A" w:rsidR="006D7240" w:rsidRPr="00190AE5" w:rsidRDefault="006D7240" w:rsidP="006D7240">
      <w:pPr>
        <w:pStyle w:val="ListParagraph"/>
        <w:numPr>
          <w:ilvl w:val="1"/>
          <w:numId w:val="15"/>
        </w:numPr>
        <w:ind w:left="1080"/>
        <w:rPr>
          <w:sz w:val="21"/>
          <w:szCs w:val="21"/>
        </w:rPr>
      </w:pPr>
      <w:r w:rsidRPr="00190AE5">
        <w:rPr>
          <w:b/>
          <w:sz w:val="21"/>
          <w:szCs w:val="21"/>
        </w:rPr>
        <w:t>Filter</w:t>
      </w:r>
      <w:r w:rsidRPr="00190AE5">
        <w:rPr>
          <w:sz w:val="21"/>
          <w:szCs w:val="21"/>
        </w:rPr>
        <w:t xml:space="preserve">: Antimicrobial </w:t>
      </w:r>
      <w:proofErr w:type="spellStart"/>
      <w:r w:rsidRPr="00190AE5">
        <w:rPr>
          <w:sz w:val="21"/>
          <w:szCs w:val="21"/>
        </w:rPr>
        <w:t>Agent~Description</w:t>
      </w:r>
      <w:proofErr w:type="spellEnd"/>
      <w:r w:rsidRPr="00190AE5">
        <w:rPr>
          <w:sz w:val="21"/>
          <w:szCs w:val="21"/>
        </w:rPr>
        <w:t xml:space="preserve"> “in” (</w:t>
      </w:r>
      <w:r w:rsidR="004D3AE6">
        <w:rPr>
          <w:sz w:val="21"/>
          <w:szCs w:val="21"/>
        </w:rPr>
        <w:t>select</w:t>
      </w:r>
      <w:r w:rsidR="00750228">
        <w:rPr>
          <w:sz w:val="21"/>
          <w:szCs w:val="21"/>
        </w:rPr>
        <w:t xml:space="preserve"> </w:t>
      </w:r>
      <w:r w:rsidRPr="00190AE5">
        <w:rPr>
          <w:sz w:val="21"/>
          <w:szCs w:val="21"/>
        </w:rPr>
        <w:t>commonly used drugs</w:t>
      </w:r>
      <w:r w:rsidR="00750228" w:rsidRPr="00750228">
        <w:rPr>
          <w:sz w:val="21"/>
          <w:szCs w:val="21"/>
        </w:rPr>
        <w:t xml:space="preserve"> </w:t>
      </w:r>
      <w:r w:rsidR="00750228">
        <w:rPr>
          <w:sz w:val="21"/>
          <w:szCs w:val="21"/>
        </w:rPr>
        <w:t xml:space="preserve">in individual </w:t>
      </w:r>
      <w:r w:rsidR="004D3AE6">
        <w:rPr>
          <w:sz w:val="21"/>
          <w:szCs w:val="21"/>
        </w:rPr>
        <w:t>drop-down</w:t>
      </w:r>
      <w:r w:rsidR="00750228">
        <w:rPr>
          <w:sz w:val="21"/>
          <w:szCs w:val="21"/>
        </w:rPr>
        <w:t xml:space="preserve"> boxes</w:t>
      </w:r>
      <w:r w:rsidRPr="00190AE5">
        <w:rPr>
          <w:sz w:val="21"/>
          <w:szCs w:val="21"/>
        </w:rPr>
        <w:t>)</w:t>
      </w:r>
    </w:p>
    <w:p w14:paraId="567F80D6" w14:textId="77777777" w:rsidR="006D7240" w:rsidRPr="00190AE5" w:rsidRDefault="006D7240" w:rsidP="006D7240">
      <w:pPr>
        <w:pStyle w:val="ListParagraph"/>
        <w:numPr>
          <w:ilvl w:val="0"/>
          <w:numId w:val="15"/>
        </w:numPr>
        <w:ind w:left="720"/>
        <w:rPr>
          <w:sz w:val="21"/>
          <w:szCs w:val="21"/>
        </w:rPr>
      </w:pPr>
      <w:r w:rsidRPr="00190AE5">
        <w:rPr>
          <w:sz w:val="21"/>
          <w:szCs w:val="21"/>
        </w:rPr>
        <w:t>Confirm that there are lower antimicrobial days for less commonly used drugs within your facility (for example, oral cephalosporins, nafcillin).</w:t>
      </w:r>
    </w:p>
    <w:p w14:paraId="747E8102" w14:textId="23AF90BF" w:rsidR="006D7240" w:rsidRPr="00190AE5" w:rsidRDefault="006D7240" w:rsidP="006D7240">
      <w:pPr>
        <w:pStyle w:val="ListParagraph"/>
        <w:numPr>
          <w:ilvl w:val="1"/>
          <w:numId w:val="15"/>
        </w:numPr>
        <w:ind w:left="1080"/>
        <w:rPr>
          <w:sz w:val="21"/>
          <w:szCs w:val="21"/>
        </w:rPr>
      </w:pPr>
      <w:r w:rsidRPr="00190AE5">
        <w:rPr>
          <w:b/>
          <w:sz w:val="21"/>
          <w:szCs w:val="21"/>
        </w:rPr>
        <w:t>Filter</w:t>
      </w:r>
      <w:r w:rsidRPr="00190AE5">
        <w:rPr>
          <w:sz w:val="21"/>
          <w:szCs w:val="21"/>
        </w:rPr>
        <w:t xml:space="preserve">: Antimicrobial </w:t>
      </w:r>
      <w:proofErr w:type="spellStart"/>
      <w:r w:rsidRPr="00190AE5">
        <w:rPr>
          <w:sz w:val="21"/>
          <w:szCs w:val="21"/>
        </w:rPr>
        <w:t>Agent~Description</w:t>
      </w:r>
      <w:proofErr w:type="spellEnd"/>
      <w:r w:rsidRPr="00190AE5">
        <w:rPr>
          <w:sz w:val="21"/>
          <w:szCs w:val="21"/>
        </w:rPr>
        <w:t xml:space="preserve"> “in” (</w:t>
      </w:r>
      <w:r w:rsidR="004D3AE6">
        <w:rPr>
          <w:sz w:val="21"/>
          <w:szCs w:val="21"/>
        </w:rPr>
        <w:t xml:space="preserve">select </w:t>
      </w:r>
      <w:r w:rsidRPr="00190AE5">
        <w:rPr>
          <w:sz w:val="21"/>
          <w:szCs w:val="21"/>
        </w:rPr>
        <w:t>less commonly used drugs)</w:t>
      </w:r>
    </w:p>
    <w:p w14:paraId="34281FD1" w14:textId="77777777" w:rsidR="006D7240" w:rsidRPr="00190AE5" w:rsidRDefault="006D7240" w:rsidP="006D7240">
      <w:pPr>
        <w:pStyle w:val="ListParagraph"/>
        <w:numPr>
          <w:ilvl w:val="0"/>
          <w:numId w:val="15"/>
        </w:numPr>
        <w:ind w:left="720"/>
        <w:rPr>
          <w:sz w:val="21"/>
          <w:szCs w:val="21"/>
        </w:rPr>
      </w:pPr>
      <w:r w:rsidRPr="00190AE5">
        <w:rPr>
          <w:sz w:val="21"/>
          <w:szCs w:val="21"/>
        </w:rPr>
        <w:t>Confirm higher usage of beta-lactams such as ampicillin and penicillin G in mother/baby locations (for example, Labor &amp; Delivery Ward, Postpartum Ward, Labor/Delivery/Recovery/Postpartum Suite [LDRP], and/or Nursery).</w:t>
      </w:r>
    </w:p>
    <w:p w14:paraId="02595299" w14:textId="5E27B88B" w:rsidR="006D7240" w:rsidRDefault="006D7240" w:rsidP="006D7240">
      <w:pPr>
        <w:pStyle w:val="ListParagraph"/>
        <w:numPr>
          <w:ilvl w:val="1"/>
          <w:numId w:val="15"/>
        </w:numPr>
        <w:ind w:left="1080"/>
        <w:rPr>
          <w:sz w:val="21"/>
          <w:szCs w:val="21"/>
        </w:rPr>
      </w:pPr>
      <w:r w:rsidRPr="00190AE5">
        <w:rPr>
          <w:b/>
          <w:sz w:val="21"/>
          <w:szCs w:val="21"/>
        </w:rPr>
        <w:t>Filter</w:t>
      </w:r>
      <w:r w:rsidRPr="00190AE5">
        <w:rPr>
          <w:sz w:val="21"/>
          <w:szCs w:val="21"/>
        </w:rPr>
        <w:t xml:space="preserve">: Antimicrobial </w:t>
      </w:r>
      <w:proofErr w:type="spellStart"/>
      <w:r w:rsidRPr="00190AE5">
        <w:rPr>
          <w:sz w:val="21"/>
          <w:szCs w:val="21"/>
        </w:rPr>
        <w:t>Agent~Description</w:t>
      </w:r>
      <w:proofErr w:type="spellEnd"/>
      <w:r w:rsidRPr="00190AE5">
        <w:rPr>
          <w:sz w:val="21"/>
          <w:szCs w:val="21"/>
        </w:rPr>
        <w:t xml:space="preserve"> “in” ampicillin and penicillin G; Location “in” (</w:t>
      </w:r>
      <w:r w:rsidR="004D3AE6">
        <w:rPr>
          <w:sz w:val="21"/>
          <w:szCs w:val="21"/>
        </w:rPr>
        <w:t>select</w:t>
      </w:r>
      <w:r w:rsidR="00750228">
        <w:rPr>
          <w:sz w:val="21"/>
          <w:szCs w:val="21"/>
        </w:rPr>
        <w:t xml:space="preserve"> </w:t>
      </w:r>
      <w:r w:rsidRPr="00190AE5">
        <w:rPr>
          <w:sz w:val="21"/>
          <w:szCs w:val="21"/>
        </w:rPr>
        <w:t>mother/baby locations)</w:t>
      </w:r>
    </w:p>
    <w:p w14:paraId="37C25781" w14:textId="1D05E5E6" w:rsidR="006D7240" w:rsidRPr="00190AE5" w:rsidRDefault="006D7240" w:rsidP="006D7240">
      <w:pPr>
        <w:pStyle w:val="ListParagraph"/>
        <w:numPr>
          <w:ilvl w:val="0"/>
          <w:numId w:val="15"/>
        </w:numPr>
        <w:ind w:left="720"/>
        <w:rPr>
          <w:sz w:val="21"/>
          <w:szCs w:val="21"/>
        </w:rPr>
      </w:pPr>
      <w:r w:rsidRPr="00190AE5">
        <w:rPr>
          <w:sz w:val="21"/>
          <w:szCs w:val="21"/>
        </w:rPr>
        <w:t>Confirm the vendor system is correctly capturing single and combination drugs such as amoxicillin and amoxicillin/clavulanate, ampicillin and ampicillin/sulbactam, ceftazidime and ceftazidime/avibactam,</w:t>
      </w:r>
      <w:r w:rsidR="00A948C4">
        <w:rPr>
          <w:sz w:val="21"/>
          <w:szCs w:val="21"/>
        </w:rPr>
        <w:t xml:space="preserve"> and</w:t>
      </w:r>
      <w:r w:rsidRPr="00190AE5">
        <w:rPr>
          <w:sz w:val="21"/>
          <w:szCs w:val="21"/>
        </w:rPr>
        <w:t xml:space="preserve"> meropenem and meropenem/vaborbactam. For example, the vendor system is not mapping and aggregating ceftazidime/avibactam to ceftazidime.</w:t>
      </w:r>
    </w:p>
    <w:p w14:paraId="35A3B1E1" w14:textId="07A443FA" w:rsidR="006D7240" w:rsidRPr="00190AE5" w:rsidRDefault="006D7240" w:rsidP="006D7240">
      <w:pPr>
        <w:pStyle w:val="ListParagraph"/>
        <w:numPr>
          <w:ilvl w:val="1"/>
          <w:numId w:val="15"/>
        </w:numPr>
        <w:ind w:left="1080"/>
        <w:rPr>
          <w:sz w:val="21"/>
          <w:szCs w:val="21"/>
        </w:rPr>
      </w:pPr>
      <w:r w:rsidRPr="00190AE5">
        <w:rPr>
          <w:b/>
          <w:bCs/>
          <w:sz w:val="21"/>
          <w:szCs w:val="21"/>
        </w:rPr>
        <w:t>Filter:</w:t>
      </w:r>
      <w:r w:rsidRPr="00190AE5">
        <w:rPr>
          <w:sz w:val="21"/>
          <w:szCs w:val="21"/>
        </w:rPr>
        <w:t xml:space="preserve"> Antimicrobial </w:t>
      </w:r>
      <w:proofErr w:type="spellStart"/>
      <w:r w:rsidRPr="00190AE5">
        <w:rPr>
          <w:sz w:val="21"/>
          <w:szCs w:val="21"/>
        </w:rPr>
        <w:t>Agent~Description</w:t>
      </w:r>
      <w:proofErr w:type="spellEnd"/>
      <w:r w:rsidRPr="00190AE5">
        <w:rPr>
          <w:sz w:val="21"/>
          <w:szCs w:val="21"/>
        </w:rPr>
        <w:t xml:space="preserve"> “in” amoxicillin</w:t>
      </w:r>
      <w:r w:rsidR="004D3AE6">
        <w:rPr>
          <w:sz w:val="21"/>
          <w:szCs w:val="21"/>
        </w:rPr>
        <w:t>,</w:t>
      </w:r>
      <w:r w:rsidRPr="00190AE5">
        <w:rPr>
          <w:sz w:val="21"/>
          <w:szCs w:val="21"/>
        </w:rPr>
        <w:t xml:space="preserve"> amoxicillin/clavulanate, ampicillin</w:t>
      </w:r>
      <w:r w:rsidR="004D3AE6">
        <w:rPr>
          <w:sz w:val="21"/>
          <w:szCs w:val="21"/>
        </w:rPr>
        <w:t>,</w:t>
      </w:r>
      <w:r w:rsidRPr="00190AE5">
        <w:rPr>
          <w:sz w:val="21"/>
          <w:szCs w:val="21"/>
        </w:rPr>
        <w:t xml:space="preserve"> ampicillin/sulbactam, ceftazidime</w:t>
      </w:r>
      <w:r w:rsidR="004D3AE6">
        <w:rPr>
          <w:sz w:val="21"/>
          <w:szCs w:val="21"/>
        </w:rPr>
        <w:t>,</w:t>
      </w:r>
      <w:r w:rsidRPr="00190AE5">
        <w:rPr>
          <w:sz w:val="21"/>
          <w:szCs w:val="21"/>
        </w:rPr>
        <w:t xml:space="preserve"> ceftazidime/avibactam,</w:t>
      </w:r>
      <w:r w:rsidR="00A948C4">
        <w:rPr>
          <w:sz w:val="21"/>
          <w:szCs w:val="21"/>
        </w:rPr>
        <w:t xml:space="preserve"> </w:t>
      </w:r>
      <w:r w:rsidRPr="00190AE5">
        <w:rPr>
          <w:sz w:val="21"/>
          <w:szCs w:val="21"/>
        </w:rPr>
        <w:t>meropenem</w:t>
      </w:r>
      <w:r w:rsidR="004D3AE6">
        <w:rPr>
          <w:sz w:val="21"/>
          <w:szCs w:val="21"/>
        </w:rPr>
        <w:t>,</w:t>
      </w:r>
      <w:r w:rsidRPr="00190AE5">
        <w:rPr>
          <w:sz w:val="21"/>
          <w:szCs w:val="21"/>
        </w:rPr>
        <w:t xml:space="preserve"> and meropenem/vaborbactam</w:t>
      </w:r>
    </w:p>
    <w:p w14:paraId="689EBE44" w14:textId="77777777" w:rsidR="006D7240" w:rsidRPr="00493AE7" w:rsidRDefault="006D7240" w:rsidP="00190AE5">
      <w:pPr>
        <w:pStyle w:val="Heading4"/>
      </w:pPr>
      <w:r w:rsidRPr="00493AE7">
        <w:t xml:space="preserve">FacWideIN versus </w:t>
      </w:r>
      <w:r>
        <w:t>Sum of L</w:t>
      </w:r>
      <w:r w:rsidRPr="00493AE7">
        <w:t>ocations</w:t>
      </w:r>
    </w:p>
    <w:p w14:paraId="2CF62812" w14:textId="6D570651" w:rsidR="006D7240" w:rsidRPr="00190AE5" w:rsidRDefault="006D7240" w:rsidP="006D7240">
      <w:pPr>
        <w:rPr>
          <w:szCs w:val="21"/>
        </w:rPr>
      </w:pPr>
      <w:r w:rsidRPr="00190AE5">
        <w:rPr>
          <w:b/>
          <w:szCs w:val="21"/>
        </w:rPr>
        <w:t>Note:</w:t>
      </w:r>
      <w:r w:rsidRPr="00190AE5">
        <w:rPr>
          <w:szCs w:val="21"/>
        </w:rPr>
        <w:t xml:space="preserve"> For location specific reporting, the vendor system should count administrations in each location where the patient was physically located at the time of administration. However, when calculating FacWideIN, the patient can only attribute one total antimicrobial day per drug, regardless of how many different patient care locations they received the drug that calendar day. For example, the location specific piperacillin/tazobactam antimicrobial days may add up to be higher than the FacWideIN piperacillin/tazobactam antimicrobial days because piperacillin/tazobactam</w:t>
      </w:r>
      <w:r w:rsidR="00A86622">
        <w:rPr>
          <w:szCs w:val="21"/>
        </w:rPr>
        <w:t xml:space="preserve"> can </w:t>
      </w:r>
      <w:proofErr w:type="gramStart"/>
      <w:r w:rsidR="00A86622">
        <w:rPr>
          <w:szCs w:val="21"/>
        </w:rPr>
        <w:t>be administered</w:t>
      </w:r>
      <w:proofErr w:type="gramEnd"/>
      <w:r w:rsidRPr="00190AE5">
        <w:rPr>
          <w:szCs w:val="21"/>
        </w:rPr>
        <w:t xml:space="preserve"> more than once daily. Therefore, if a patient received piperacillin/tazobactam once in the medical ward in the morning then was transferred and received the remaining doses in the medical ICU, that patient would attribute 1 total piperacillin/tazobactam antimicrobial day to both the medical ward and the medical ICU but could still only attribute 1 total piperacillin/tazobactam for the FacWideIN count.</w:t>
      </w:r>
    </w:p>
    <w:p w14:paraId="7A6C0D8E" w14:textId="3E9A3648" w:rsidR="006D7240" w:rsidRPr="00190AE5" w:rsidRDefault="006D7240" w:rsidP="006D7240">
      <w:pPr>
        <w:pStyle w:val="ListParagraph"/>
        <w:numPr>
          <w:ilvl w:val="0"/>
          <w:numId w:val="18"/>
        </w:numPr>
        <w:ind w:left="720"/>
        <w:rPr>
          <w:sz w:val="21"/>
          <w:szCs w:val="21"/>
        </w:rPr>
      </w:pPr>
      <w:r w:rsidRPr="00190AE5">
        <w:rPr>
          <w:sz w:val="21"/>
          <w:szCs w:val="21"/>
        </w:rPr>
        <w:t>For drugs administer</w:t>
      </w:r>
      <w:r w:rsidR="00A86622">
        <w:rPr>
          <w:sz w:val="21"/>
          <w:szCs w:val="21"/>
        </w:rPr>
        <w:t>ed</w:t>
      </w:r>
      <w:r w:rsidRPr="00190AE5">
        <w:rPr>
          <w:sz w:val="21"/>
          <w:szCs w:val="21"/>
        </w:rPr>
        <w:t xml:space="preserve"> </w:t>
      </w:r>
      <w:r w:rsidRPr="00190AE5">
        <w:rPr>
          <w:sz w:val="21"/>
          <w:szCs w:val="21"/>
          <w:u w:val="single"/>
        </w:rPr>
        <w:t>more than once daily</w:t>
      </w:r>
      <w:r w:rsidRPr="00190AE5">
        <w:rPr>
          <w:sz w:val="21"/>
          <w:szCs w:val="21"/>
        </w:rPr>
        <w:t xml:space="preserve"> (for example, piperacillin/tazobactam, cefazolin, meropenem, imipenem), confirm that the sum of the location-specific antimicrobial days for a given drug is </w:t>
      </w:r>
      <w:r w:rsidRPr="00190AE5">
        <w:rPr>
          <w:sz w:val="21"/>
          <w:szCs w:val="21"/>
          <w:u w:val="single"/>
        </w:rPr>
        <w:t>higher</w:t>
      </w:r>
      <w:r w:rsidRPr="00190AE5">
        <w:rPr>
          <w:sz w:val="21"/>
          <w:szCs w:val="21"/>
        </w:rPr>
        <w:t xml:space="preserve"> than the FacWideIN antimicrobial days for that drug for same month. </w:t>
      </w:r>
    </w:p>
    <w:p w14:paraId="1E510AAE" w14:textId="303A2454" w:rsidR="006D7240" w:rsidRPr="00190AE5" w:rsidRDefault="006D7240" w:rsidP="006D7240">
      <w:pPr>
        <w:pStyle w:val="ListParagraph"/>
        <w:numPr>
          <w:ilvl w:val="1"/>
          <w:numId w:val="18"/>
        </w:numPr>
        <w:ind w:left="1080"/>
        <w:rPr>
          <w:sz w:val="21"/>
          <w:szCs w:val="21"/>
        </w:rPr>
      </w:pPr>
      <w:r w:rsidRPr="00190AE5">
        <w:rPr>
          <w:b/>
          <w:sz w:val="21"/>
          <w:szCs w:val="21"/>
        </w:rPr>
        <w:t>Filter:</w:t>
      </w:r>
      <w:r w:rsidRPr="00190AE5">
        <w:rPr>
          <w:sz w:val="21"/>
          <w:szCs w:val="21"/>
        </w:rPr>
        <w:t xml:space="preserve"> Antimicrobial </w:t>
      </w:r>
      <w:proofErr w:type="spellStart"/>
      <w:r w:rsidRPr="00190AE5">
        <w:rPr>
          <w:sz w:val="21"/>
          <w:szCs w:val="21"/>
        </w:rPr>
        <w:t>Agent~Description</w:t>
      </w:r>
      <w:proofErr w:type="spellEnd"/>
      <w:r w:rsidRPr="00190AE5">
        <w:rPr>
          <w:sz w:val="21"/>
          <w:szCs w:val="21"/>
        </w:rPr>
        <w:t xml:space="preserve"> “in” (</w:t>
      </w:r>
      <w:r w:rsidR="004D3AE6">
        <w:rPr>
          <w:sz w:val="21"/>
          <w:szCs w:val="21"/>
        </w:rPr>
        <w:t xml:space="preserve">select </w:t>
      </w:r>
      <w:r w:rsidRPr="00190AE5">
        <w:rPr>
          <w:sz w:val="21"/>
          <w:szCs w:val="21"/>
        </w:rPr>
        <w:t>drugs administered more than once daily)</w:t>
      </w:r>
    </w:p>
    <w:p w14:paraId="2613860F" w14:textId="77777777" w:rsidR="006D7240" w:rsidRPr="00190AE5" w:rsidRDefault="006D7240" w:rsidP="006D7240">
      <w:pPr>
        <w:pStyle w:val="ListParagraph"/>
        <w:numPr>
          <w:ilvl w:val="1"/>
          <w:numId w:val="18"/>
        </w:numPr>
        <w:ind w:left="1080"/>
        <w:rPr>
          <w:sz w:val="21"/>
          <w:szCs w:val="21"/>
        </w:rPr>
      </w:pPr>
      <w:r w:rsidRPr="00190AE5">
        <w:rPr>
          <w:b/>
          <w:sz w:val="21"/>
          <w:szCs w:val="21"/>
        </w:rPr>
        <w:t xml:space="preserve">Sort: </w:t>
      </w:r>
      <w:r w:rsidRPr="00190AE5">
        <w:rPr>
          <w:sz w:val="21"/>
          <w:szCs w:val="21"/>
        </w:rPr>
        <w:t xml:space="preserve">Antimicrobial </w:t>
      </w:r>
      <w:proofErr w:type="spellStart"/>
      <w:r w:rsidRPr="00190AE5">
        <w:rPr>
          <w:sz w:val="21"/>
          <w:szCs w:val="21"/>
        </w:rPr>
        <w:t>Agent~Description</w:t>
      </w:r>
      <w:proofErr w:type="spellEnd"/>
      <w:r w:rsidRPr="00190AE5">
        <w:rPr>
          <w:sz w:val="21"/>
          <w:szCs w:val="21"/>
        </w:rPr>
        <w:t>, Location</w:t>
      </w:r>
    </w:p>
    <w:p w14:paraId="560AC6EA" w14:textId="77777777" w:rsidR="006D7240" w:rsidRPr="00190AE5" w:rsidRDefault="006D7240" w:rsidP="006D7240">
      <w:pPr>
        <w:pStyle w:val="ListParagraph"/>
        <w:numPr>
          <w:ilvl w:val="1"/>
          <w:numId w:val="18"/>
        </w:numPr>
        <w:ind w:left="1080"/>
        <w:rPr>
          <w:sz w:val="21"/>
          <w:szCs w:val="21"/>
        </w:rPr>
      </w:pPr>
      <w:r w:rsidRPr="00190AE5">
        <w:rPr>
          <w:b/>
          <w:sz w:val="21"/>
          <w:szCs w:val="21"/>
        </w:rPr>
        <w:t>Display:</w:t>
      </w:r>
      <w:r w:rsidRPr="00190AE5">
        <w:rPr>
          <w:sz w:val="21"/>
          <w:szCs w:val="21"/>
        </w:rPr>
        <w:t xml:space="preserve"> Summary Year/Month</w:t>
      </w:r>
    </w:p>
    <w:p w14:paraId="767DD433" w14:textId="3D212E84" w:rsidR="006D7240" w:rsidRPr="00190AE5" w:rsidRDefault="006D7240" w:rsidP="006D7240">
      <w:pPr>
        <w:pStyle w:val="ListParagraph"/>
        <w:numPr>
          <w:ilvl w:val="0"/>
          <w:numId w:val="18"/>
        </w:numPr>
        <w:ind w:left="720"/>
        <w:rPr>
          <w:sz w:val="21"/>
          <w:szCs w:val="21"/>
        </w:rPr>
      </w:pPr>
      <w:r w:rsidRPr="00190AE5">
        <w:rPr>
          <w:sz w:val="21"/>
          <w:szCs w:val="21"/>
        </w:rPr>
        <w:t>For drugs administer</w:t>
      </w:r>
      <w:r w:rsidR="00A86622">
        <w:rPr>
          <w:sz w:val="21"/>
          <w:szCs w:val="21"/>
        </w:rPr>
        <w:t>ed</w:t>
      </w:r>
      <w:r w:rsidRPr="00190AE5">
        <w:rPr>
          <w:sz w:val="21"/>
          <w:szCs w:val="21"/>
        </w:rPr>
        <w:t xml:space="preserve"> </w:t>
      </w:r>
      <w:r w:rsidRPr="00190AE5">
        <w:rPr>
          <w:sz w:val="21"/>
          <w:szCs w:val="21"/>
          <w:u w:val="single"/>
        </w:rPr>
        <w:t>once daily</w:t>
      </w:r>
      <w:r w:rsidRPr="00190AE5">
        <w:rPr>
          <w:sz w:val="21"/>
          <w:szCs w:val="21"/>
        </w:rPr>
        <w:t xml:space="preserve"> (for example, azithromycin, levofloxacin, moxifloxacin), confirm that the sum of the location-specific antimicrobial days for a given drug is </w:t>
      </w:r>
      <w:r w:rsidRPr="00190AE5">
        <w:rPr>
          <w:sz w:val="21"/>
          <w:szCs w:val="21"/>
          <w:u w:val="single"/>
        </w:rPr>
        <w:t>equal</w:t>
      </w:r>
      <w:r w:rsidRPr="00190AE5">
        <w:rPr>
          <w:sz w:val="21"/>
          <w:szCs w:val="21"/>
        </w:rPr>
        <w:t xml:space="preserve"> to the FacWideIN antimicrobial days for that drug for the same month. </w:t>
      </w:r>
    </w:p>
    <w:p w14:paraId="54429685" w14:textId="554355A8" w:rsidR="006D7240" w:rsidRPr="00190AE5" w:rsidRDefault="006D7240" w:rsidP="006D7240">
      <w:pPr>
        <w:pStyle w:val="ListParagraph"/>
        <w:numPr>
          <w:ilvl w:val="1"/>
          <w:numId w:val="18"/>
        </w:numPr>
        <w:ind w:left="1080"/>
        <w:rPr>
          <w:sz w:val="21"/>
          <w:szCs w:val="21"/>
        </w:rPr>
      </w:pPr>
      <w:r w:rsidRPr="00190AE5">
        <w:rPr>
          <w:b/>
          <w:sz w:val="21"/>
          <w:szCs w:val="21"/>
        </w:rPr>
        <w:t>Filter:</w:t>
      </w:r>
      <w:r w:rsidRPr="00190AE5">
        <w:rPr>
          <w:sz w:val="21"/>
          <w:szCs w:val="21"/>
        </w:rPr>
        <w:t xml:space="preserve"> Antimicrobial </w:t>
      </w:r>
      <w:proofErr w:type="spellStart"/>
      <w:r w:rsidRPr="00190AE5">
        <w:rPr>
          <w:sz w:val="21"/>
          <w:szCs w:val="21"/>
        </w:rPr>
        <w:t>Agent~Description</w:t>
      </w:r>
      <w:proofErr w:type="spellEnd"/>
      <w:r w:rsidRPr="00190AE5">
        <w:rPr>
          <w:sz w:val="21"/>
          <w:szCs w:val="21"/>
        </w:rPr>
        <w:t xml:space="preserve"> “in” (</w:t>
      </w:r>
      <w:r w:rsidR="004D3AE6">
        <w:rPr>
          <w:sz w:val="21"/>
          <w:szCs w:val="21"/>
        </w:rPr>
        <w:t xml:space="preserve">select </w:t>
      </w:r>
      <w:r w:rsidRPr="00190AE5">
        <w:rPr>
          <w:sz w:val="21"/>
          <w:szCs w:val="21"/>
        </w:rPr>
        <w:t xml:space="preserve">drugs administered once daily) </w:t>
      </w:r>
    </w:p>
    <w:p w14:paraId="19955F09" w14:textId="77777777" w:rsidR="006D7240" w:rsidRPr="00190AE5" w:rsidRDefault="006D7240" w:rsidP="006D7240">
      <w:pPr>
        <w:pStyle w:val="ListParagraph"/>
        <w:numPr>
          <w:ilvl w:val="1"/>
          <w:numId w:val="18"/>
        </w:numPr>
        <w:ind w:left="1080"/>
        <w:rPr>
          <w:sz w:val="21"/>
          <w:szCs w:val="21"/>
        </w:rPr>
      </w:pPr>
      <w:r w:rsidRPr="00190AE5">
        <w:rPr>
          <w:b/>
          <w:sz w:val="21"/>
          <w:szCs w:val="21"/>
        </w:rPr>
        <w:lastRenderedPageBreak/>
        <w:t xml:space="preserve">Sort: </w:t>
      </w:r>
      <w:r w:rsidRPr="00190AE5">
        <w:rPr>
          <w:sz w:val="21"/>
          <w:szCs w:val="21"/>
        </w:rPr>
        <w:t xml:space="preserve">Antimicrobial </w:t>
      </w:r>
      <w:proofErr w:type="spellStart"/>
      <w:r w:rsidRPr="00190AE5">
        <w:rPr>
          <w:sz w:val="21"/>
          <w:szCs w:val="21"/>
        </w:rPr>
        <w:t>Agent~Description</w:t>
      </w:r>
      <w:proofErr w:type="spellEnd"/>
      <w:r w:rsidRPr="00190AE5">
        <w:rPr>
          <w:sz w:val="21"/>
          <w:szCs w:val="21"/>
        </w:rPr>
        <w:t>, Location</w:t>
      </w:r>
    </w:p>
    <w:p w14:paraId="126B9345" w14:textId="77777777" w:rsidR="006D7240" w:rsidRPr="00190AE5" w:rsidRDefault="006D7240" w:rsidP="006D7240">
      <w:pPr>
        <w:pStyle w:val="ListParagraph"/>
        <w:numPr>
          <w:ilvl w:val="1"/>
          <w:numId w:val="18"/>
        </w:numPr>
        <w:ind w:left="1080"/>
        <w:rPr>
          <w:sz w:val="21"/>
          <w:szCs w:val="21"/>
        </w:rPr>
      </w:pPr>
      <w:r w:rsidRPr="00190AE5">
        <w:rPr>
          <w:b/>
          <w:sz w:val="21"/>
          <w:szCs w:val="21"/>
        </w:rPr>
        <w:t>Display:</w:t>
      </w:r>
      <w:r w:rsidRPr="00190AE5">
        <w:rPr>
          <w:sz w:val="21"/>
          <w:szCs w:val="21"/>
        </w:rPr>
        <w:t xml:space="preserve"> Summary Year/Month</w:t>
      </w:r>
    </w:p>
    <w:p w14:paraId="43FD7DFB" w14:textId="77777777" w:rsidR="006D7240" w:rsidRPr="008F4967" w:rsidRDefault="006D7240" w:rsidP="00190AE5">
      <w:pPr>
        <w:pStyle w:val="Heading4"/>
      </w:pPr>
      <w:r w:rsidRPr="008F4967">
        <w:t xml:space="preserve">Zero versus N/A </w:t>
      </w:r>
      <w:r>
        <w:t>U</w:t>
      </w:r>
      <w:r w:rsidRPr="008F4967">
        <w:t>sage</w:t>
      </w:r>
    </w:p>
    <w:p w14:paraId="6ED6DDB3" w14:textId="795E7335" w:rsidR="006D7240" w:rsidRPr="00190AE5" w:rsidRDefault="006D7240" w:rsidP="006D7240">
      <w:pPr>
        <w:rPr>
          <w:szCs w:val="21"/>
        </w:rPr>
      </w:pPr>
      <w:r w:rsidRPr="00190AE5">
        <w:rPr>
          <w:b/>
          <w:szCs w:val="21"/>
        </w:rPr>
        <w:t>Note:</w:t>
      </w:r>
      <w:r w:rsidRPr="00190AE5">
        <w:rPr>
          <w:szCs w:val="21"/>
        </w:rPr>
        <w:t xml:space="preserve"> According to the </w:t>
      </w:r>
      <w:hyperlink r:id="rId44" w:history="1">
        <w:r w:rsidRPr="00190AE5">
          <w:rPr>
            <w:rStyle w:val="Hyperlink"/>
            <w:szCs w:val="21"/>
          </w:rPr>
          <w:t>AU Option Protocol</w:t>
        </w:r>
      </w:hyperlink>
      <w:r w:rsidRPr="00190AE5">
        <w:rPr>
          <w:szCs w:val="21"/>
        </w:rPr>
        <w:t xml:space="preserve"> “Not applicable (N/A)” is used when antimicrobial can’t be electronically captured from eMAR/BCMA. “N/A” will display in the NHSN AU report as “.”. Facilities should use “Zero” when they had no patients administered the drug and/or route during the given month. “Zero” will display in the NHSN AU report as “0”.</w:t>
      </w:r>
    </w:p>
    <w:p w14:paraId="4403FBDC" w14:textId="799BB568" w:rsidR="006D7240" w:rsidRDefault="006D7240" w:rsidP="006D7240">
      <w:pPr>
        <w:pStyle w:val="ListParagraph"/>
        <w:numPr>
          <w:ilvl w:val="0"/>
          <w:numId w:val="19"/>
        </w:numPr>
        <w:ind w:left="720"/>
        <w:rPr>
          <w:sz w:val="21"/>
          <w:szCs w:val="21"/>
        </w:rPr>
      </w:pPr>
      <w:r w:rsidRPr="00190AE5">
        <w:rPr>
          <w:sz w:val="21"/>
          <w:szCs w:val="21"/>
        </w:rPr>
        <w:t xml:space="preserve">Are there any drugs that would require reporting N/A because the vendor system cannot accurately electronically capture them? </w:t>
      </w:r>
    </w:p>
    <w:p w14:paraId="151CF4C6" w14:textId="20299999" w:rsidR="009565D8" w:rsidRDefault="006B7977" w:rsidP="009565D8">
      <w:pPr>
        <w:pStyle w:val="ListParagraph"/>
        <w:numPr>
          <w:ilvl w:val="1"/>
          <w:numId w:val="19"/>
        </w:numPr>
        <w:ind w:left="1080"/>
        <w:rPr>
          <w:sz w:val="21"/>
          <w:szCs w:val="21"/>
        </w:rPr>
      </w:pPr>
      <w:r w:rsidRPr="00190AE5">
        <w:rPr>
          <w:b/>
          <w:sz w:val="21"/>
          <w:szCs w:val="21"/>
        </w:rPr>
        <w:t>Filter:</w:t>
      </w:r>
      <w:r w:rsidRPr="00190AE5">
        <w:rPr>
          <w:sz w:val="21"/>
          <w:szCs w:val="21"/>
        </w:rPr>
        <w:t xml:space="preserve"> Antimicrobial </w:t>
      </w:r>
      <w:proofErr w:type="spellStart"/>
      <w:r w:rsidRPr="00190AE5">
        <w:rPr>
          <w:sz w:val="21"/>
          <w:szCs w:val="21"/>
        </w:rPr>
        <w:t>Agent~Description</w:t>
      </w:r>
      <w:proofErr w:type="spellEnd"/>
      <w:r w:rsidRPr="00190AE5">
        <w:rPr>
          <w:sz w:val="21"/>
          <w:szCs w:val="21"/>
        </w:rPr>
        <w:t xml:space="preserve"> “in” (</w:t>
      </w:r>
      <w:r>
        <w:rPr>
          <w:sz w:val="21"/>
          <w:szCs w:val="21"/>
        </w:rPr>
        <w:t xml:space="preserve">insert </w:t>
      </w:r>
      <w:r w:rsidRPr="00190AE5">
        <w:rPr>
          <w:sz w:val="21"/>
          <w:szCs w:val="21"/>
        </w:rPr>
        <w:t xml:space="preserve">drugs not captured in eMAR/BCMA) </w:t>
      </w:r>
    </w:p>
    <w:p w14:paraId="76F64CFC" w14:textId="77777777" w:rsidR="009565D8" w:rsidRPr="009565D8" w:rsidRDefault="009565D8" w:rsidP="009565D8">
      <w:pPr>
        <w:pStyle w:val="ListParagraph"/>
        <w:ind w:left="1080"/>
        <w:rPr>
          <w:sz w:val="21"/>
          <w:szCs w:val="21"/>
        </w:rPr>
      </w:pPr>
    </w:p>
    <w:p w14:paraId="3A386436" w14:textId="26C5ECB0" w:rsidR="006B7977" w:rsidRDefault="006B7977" w:rsidP="006D7240">
      <w:pPr>
        <w:pStyle w:val="ListParagraph"/>
        <w:numPr>
          <w:ilvl w:val="0"/>
          <w:numId w:val="19"/>
        </w:numPr>
        <w:ind w:left="720"/>
        <w:rPr>
          <w:sz w:val="21"/>
          <w:szCs w:val="21"/>
        </w:rPr>
      </w:pPr>
      <w:r>
        <w:rPr>
          <w:sz w:val="21"/>
          <w:szCs w:val="21"/>
        </w:rPr>
        <w:t>Are there any drugs reported as “</w:t>
      </w:r>
      <w:r w:rsidR="009565D8">
        <w:rPr>
          <w:sz w:val="21"/>
          <w:szCs w:val="21"/>
        </w:rPr>
        <w:t>N</w:t>
      </w:r>
      <w:r>
        <w:rPr>
          <w:sz w:val="21"/>
          <w:szCs w:val="21"/>
        </w:rPr>
        <w:t xml:space="preserve">ot </w:t>
      </w:r>
      <w:r w:rsidR="009565D8">
        <w:rPr>
          <w:sz w:val="21"/>
          <w:szCs w:val="21"/>
        </w:rPr>
        <w:t>a</w:t>
      </w:r>
      <w:r>
        <w:rPr>
          <w:sz w:val="21"/>
          <w:szCs w:val="21"/>
        </w:rPr>
        <w:t>pplicable (N/A)</w:t>
      </w:r>
      <w:r w:rsidR="009565D8">
        <w:rPr>
          <w:sz w:val="21"/>
          <w:szCs w:val="21"/>
        </w:rPr>
        <w:t>”</w:t>
      </w:r>
      <w:r>
        <w:rPr>
          <w:sz w:val="21"/>
          <w:szCs w:val="21"/>
        </w:rPr>
        <w:t xml:space="preserve"> that </w:t>
      </w:r>
      <w:r w:rsidR="009565D8">
        <w:rPr>
          <w:sz w:val="21"/>
          <w:szCs w:val="21"/>
        </w:rPr>
        <w:t>can</w:t>
      </w:r>
      <w:r>
        <w:rPr>
          <w:sz w:val="21"/>
          <w:szCs w:val="21"/>
        </w:rPr>
        <w:t xml:space="preserve"> </w:t>
      </w:r>
      <w:proofErr w:type="gramStart"/>
      <w:r>
        <w:rPr>
          <w:sz w:val="21"/>
          <w:szCs w:val="21"/>
        </w:rPr>
        <w:t>be electronically captured</w:t>
      </w:r>
      <w:proofErr w:type="gramEnd"/>
      <w:r>
        <w:rPr>
          <w:sz w:val="21"/>
          <w:szCs w:val="21"/>
        </w:rPr>
        <w:t xml:space="preserve"> from eMAR/BCMA? </w:t>
      </w:r>
    </w:p>
    <w:p w14:paraId="40552FCE" w14:textId="13C0DC88" w:rsidR="006B7977" w:rsidRPr="00190AE5" w:rsidRDefault="006B7977" w:rsidP="009565D8">
      <w:pPr>
        <w:pStyle w:val="ListParagraph"/>
        <w:numPr>
          <w:ilvl w:val="1"/>
          <w:numId w:val="19"/>
        </w:numPr>
        <w:ind w:left="1080"/>
        <w:rPr>
          <w:sz w:val="21"/>
          <w:szCs w:val="21"/>
        </w:rPr>
      </w:pPr>
      <w:r w:rsidRPr="00BE63EF">
        <w:rPr>
          <w:b/>
          <w:bCs/>
          <w:sz w:val="21"/>
          <w:szCs w:val="21"/>
        </w:rPr>
        <w:t>Filter</w:t>
      </w:r>
      <w:r>
        <w:rPr>
          <w:sz w:val="21"/>
          <w:szCs w:val="21"/>
        </w:rPr>
        <w:t>: Antimicrobial</w:t>
      </w:r>
      <w:r w:rsidR="009565D8">
        <w:rPr>
          <w:sz w:val="21"/>
          <w:szCs w:val="21"/>
        </w:rPr>
        <w:t xml:space="preserve"> D</w:t>
      </w:r>
      <w:r>
        <w:rPr>
          <w:sz w:val="21"/>
          <w:szCs w:val="21"/>
        </w:rPr>
        <w:t>ays “less” “0”</w:t>
      </w:r>
    </w:p>
    <w:p w14:paraId="466FF30C" w14:textId="6D001B60" w:rsidR="006D7240" w:rsidRDefault="00E63593" w:rsidP="00190AE5">
      <w:pPr>
        <w:pStyle w:val="Heading3"/>
      </w:pPr>
      <w:bookmarkStart w:id="18" w:name="_Denominator_review"/>
      <w:bookmarkEnd w:id="18"/>
      <w:r>
        <w:t>Check and Compare Denominators</w:t>
      </w:r>
    </w:p>
    <w:p w14:paraId="4FCBF8A9" w14:textId="69F19032" w:rsidR="006D7240" w:rsidRPr="00190AE5" w:rsidRDefault="006D7240" w:rsidP="006D7240">
      <w:pPr>
        <w:rPr>
          <w:szCs w:val="21"/>
        </w:rPr>
      </w:pPr>
      <w:r w:rsidRPr="00190AE5">
        <w:rPr>
          <w:szCs w:val="21"/>
        </w:rPr>
        <w:t xml:space="preserve">The days present denominator is an important part of the SAAR models and therefore </w:t>
      </w:r>
      <w:r w:rsidR="007A3B5D">
        <w:rPr>
          <w:szCs w:val="21"/>
        </w:rPr>
        <w:t xml:space="preserve">you </w:t>
      </w:r>
      <w:r w:rsidRPr="00190AE5">
        <w:rPr>
          <w:szCs w:val="21"/>
        </w:rPr>
        <w:t>should also validate it. For the items below, use the report titled “</w:t>
      </w:r>
      <w:hyperlink r:id="rId45" w:history="1">
        <w:r w:rsidRPr="006F7673">
          <w:rPr>
            <w:rStyle w:val="Hyperlink"/>
            <w:szCs w:val="21"/>
          </w:rPr>
          <w:t>Line List – All Submitted AU Data by Location</w:t>
        </w:r>
      </w:hyperlink>
      <w:r w:rsidRPr="00190AE5">
        <w:rPr>
          <w:szCs w:val="21"/>
        </w:rPr>
        <w:t>”. Click “Modify Report” to make the necessary modifications.</w:t>
      </w:r>
    </w:p>
    <w:p w14:paraId="5F0F5B69" w14:textId="77777777" w:rsidR="006D7240" w:rsidRPr="00190AE5" w:rsidRDefault="006D7240" w:rsidP="006D7240">
      <w:pPr>
        <w:pStyle w:val="ListParagraph"/>
        <w:numPr>
          <w:ilvl w:val="0"/>
          <w:numId w:val="11"/>
        </w:numPr>
        <w:rPr>
          <w:sz w:val="21"/>
          <w:szCs w:val="21"/>
        </w:rPr>
      </w:pPr>
      <w:r w:rsidRPr="00190AE5">
        <w:rPr>
          <w:sz w:val="21"/>
          <w:szCs w:val="21"/>
        </w:rPr>
        <w:t xml:space="preserve">Check the box “Show descriptive variable names” at the top left of the modification screen. </w:t>
      </w:r>
    </w:p>
    <w:p w14:paraId="6B32BA30" w14:textId="77777777" w:rsidR="006D7240" w:rsidRPr="00190AE5" w:rsidRDefault="006D7240" w:rsidP="006D7240">
      <w:pPr>
        <w:pStyle w:val="ListParagraph"/>
        <w:numPr>
          <w:ilvl w:val="0"/>
          <w:numId w:val="11"/>
        </w:numPr>
        <w:rPr>
          <w:sz w:val="21"/>
          <w:szCs w:val="21"/>
        </w:rPr>
      </w:pPr>
      <w:r w:rsidRPr="00190AE5">
        <w:rPr>
          <w:sz w:val="21"/>
          <w:szCs w:val="21"/>
        </w:rPr>
        <w:t xml:space="preserve">On the </w:t>
      </w:r>
      <w:r w:rsidRPr="00190AE5">
        <w:rPr>
          <w:b/>
          <w:sz w:val="21"/>
          <w:szCs w:val="21"/>
        </w:rPr>
        <w:t>Filters</w:t>
      </w:r>
      <w:r w:rsidRPr="00190AE5">
        <w:rPr>
          <w:sz w:val="21"/>
          <w:szCs w:val="21"/>
        </w:rPr>
        <w:t xml:space="preserve"> tab, make the modifications as outlined in each scenario below. For filters that require more than one variable, make sure to click “Add Rule” for each filter you apply. Because the report lists the same denominator for all drugs for a given location/month, include a filter to view only one drug.</w:t>
      </w:r>
    </w:p>
    <w:p w14:paraId="141DA49F" w14:textId="77777777" w:rsidR="006D7240" w:rsidRPr="00190AE5" w:rsidRDefault="006D7240" w:rsidP="006D7240">
      <w:pPr>
        <w:pStyle w:val="ListParagraph"/>
        <w:numPr>
          <w:ilvl w:val="0"/>
          <w:numId w:val="11"/>
        </w:numPr>
        <w:rPr>
          <w:sz w:val="21"/>
          <w:szCs w:val="21"/>
        </w:rPr>
      </w:pPr>
      <w:r w:rsidRPr="00190AE5">
        <w:rPr>
          <w:sz w:val="21"/>
          <w:szCs w:val="21"/>
        </w:rPr>
        <w:t xml:space="preserve">On the </w:t>
      </w:r>
      <w:r w:rsidRPr="00190AE5">
        <w:rPr>
          <w:b/>
          <w:sz w:val="21"/>
          <w:szCs w:val="21"/>
        </w:rPr>
        <w:t>Sort</w:t>
      </w:r>
      <w:r w:rsidRPr="00190AE5">
        <w:rPr>
          <w:sz w:val="21"/>
          <w:szCs w:val="21"/>
        </w:rPr>
        <w:t xml:space="preserve"> tab, make the modifications as outlined in each scenario below.</w:t>
      </w:r>
    </w:p>
    <w:p w14:paraId="504131DD" w14:textId="77777777" w:rsidR="006D7240" w:rsidRPr="00190AE5" w:rsidRDefault="006D7240" w:rsidP="006D7240">
      <w:pPr>
        <w:pStyle w:val="ListParagraph"/>
        <w:numPr>
          <w:ilvl w:val="0"/>
          <w:numId w:val="11"/>
        </w:numPr>
        <w:rPr>
          <w:sz w:val="21"/>
          <w:szCs w:val="21"/>
        </w:rPr>
      </w:pPr>
      <w:r w:rsidRPr="00190AE5">
        <w:rPr>
          <w:sz w:val="21"/>
          <w:szCs w:val="21"/>
        </w:rPr>
        <w:t xml:space="preserve">After you’ve selected all filters, click “Run” to generate the line list. </w:t>
      </w:r>
    </w:p>
    <w:p w14:paraId="7022DDC6" w14:textId="77777777" w:rsidR="006D7240" w:rsidRPr="00A73678" w:rsidRDefault="006D7240" w:rsidP="00190AE5">
      <w:pPr>
        <w:pStyle w:val="Heading4"/>
      </w:pPr>
      <w:r w:rsidRPr="00A73678">
        <w:t>Reviewing AU Days Present</w:t>
      </w:r>
    </w:p>
    <w:p w14:paraId="04A2E3C1" w14:textId="77777777" w:rsidR="006D7240" w:rsidRPr="00190AE5" w:rsidRDefault="006D7240" w:rsidP="006D7240">
      <w:pPr>
        <w:pStyle w:val="ListParagraph"/>
        <w:numPr>
          <w:ilvl w:val="0"/>
          <w:numId w:val="20"/>
        </w:numPr>
        <w:ind w:left="720"/>
        <w:rPr>
          <w:sz w:val="21"/>
          <w:szCs w:val="21"/>
        </w:rPr>
      </w:pPr>
      <w:r w:rsidRPr="00190AE5">
        <w:rPr>
          <w:sz w:val="21"/>
          <w:szCs w:val="21"/>
        </w:rPr>
        <w:t>Examine the days present for trends within specific locations. Double check steep increases or drop offs to confirm validity. Double check locations reporting zero days present for a given month to confirm that the location was in fact closed or did not house patients during that month.</w:t>
      </w:r>
    </w:p>
    <w:p w14:paraId="78080919" w14:textId="77777777" w:rsidR="006D7240" w:rsidRPr="00190AE5" w:rsidRDefault="006D7240" w:rsidP="006D7240">
      <w:pPr>
        <w:pStyle w:val="ListParagraph"/>
        <w:numPr>
          <w:ilvl w:val="1"/>
          <w:numId w:val="20"/>
        </w:numPr>
        <w:ind w:left="1080"/>
        <w:rPr>
          <w:sz w:val="21"/>
          <w:szCs w:val="21"/>
        </w:rPr>
      </w:pPr>
      <w:r w:rsidRPr="00190AE5">
        <w:rPr>
          <w:b/>
          <w:sz w:val="21"/>
          <w:szCs w:val="21"/>
        </w:rPr>
        <w:t>Filter:</w:t>
      </w:r>
      <w:r w:rsidRPr="00190AE5">
        <w:rPr>
          <w:sz w:val="21"/>
          <w:szCs w:val="21"/>
        </w:rPr>
        <w:t xml:space="preserve"> Antimicrobial </w:t>
      </w:r>
      <w:proofErr w:type="spellStart"/>
      <w:r w:rsidRPr="00190AE5">
        <w:rPr>
          <w:sz w:val="21"/>
          <w:szCs w:val="21"/>
        </w:rPr>
        <w:t>Agent~Description</w:t>
      </w:r>
      <w:proofErr w:type="spellEnd"/>
      <w:r w:rsidRPr="00190AE5">
        <w:rPr>
          <w:sz w:val="21"/>
          <w:szCs w:val="21"/>
        </w:rPr>
        <w:t xml:space="preserve"> “equal” to vancomycin</w:t>
      </w:r>
    </w:p>
    <w:p w14:paraId="675207CE" w14:textId="74D7F19F" w:rsidR="006D7240" w:rsidRPr="00190AE5" w:rsidRDefault="006D7240" w:rsidP="006D7240">
      <w:pPr>
        <w:pStyle w:val="ListParagraph"/>
        <w:numPr>
          <w:ilvl w:val="0"/>
          <w:numId w:val="20"/>
        </w:numPr>
        <w:ind w:left="720"/>
        <w:rPr>
          <w:sz w:val="21"/>
          <w:szCs w:val="21"/>
        </w:rPr>
      </w:pPr>
      <w:r w:rsidRPr="00190AE5">
        <w:rPr>
          <w:sz w:val="21"/>
          <w:szCs w:val="21"/>
        </w:rPr>
        <w:t xml:space="preserve">For a given month, confirm that the sum </w:t>
      </w:r>
      <w:r w:rsidR="006F7673">
        <w:rPr>
          <w:sz w:val="21"/>
          <w:szCs w:val="21"/>
        </w:rPr>
        <w:t xml:space="preserve">of </w:t>
      </w:r>
      <w:r w:rsidRPr="00190AE5">
        <w:rPr>
          <w:sz w:val="21"/>
          <w:szCs w:val="21"/>
        </w:rPr>
        <w:t xml:space="preserve">location-specific days present </w:t>
      </w:r>
      <w:proofErr w:type="gramStart"/>
      <w:r w:rsidRPr="00190AE5">
        <w:rPr>
          <w:sz w:val="21"/>
          <w:szCs w:val="21"/>
        </w:rPr>
        <w:t>are</w:t>
      </w:r>
      <w:proofErr w:type="gramEnd"/>
      <w:r w:rsidRPr="00190AE5">
        <w:rPr>
          <w:sz w:val="21"/>
          <w:szCs w:val="21"/>
        </w:rPr>
        <w:t xml:space="preserve"> </w:t>
      </w:r>
      <w:r w:rsidRPr="00190AE5">
        <w:rPr>
          <w:sz w:val="21"/>
          <w:szCs w:val="21"/>
          <w:u w:val="single"/>
        </w:rPr>
        <w:t>higher</w:t>
      </w:r>
      <w:r w:rsidRPr="00190AE5">
        <w:rPr>
          <w:sz w:val="21"/>
          <w:szCs w:val="21"/>
        </w:rPr>
        <w:t xml:space="preserve"> than the FacWideIN days present count for same month.</w:t>
      </w:r>
    </w:p>
    <w:p w14:paraId="51025043" w14:textId="77777777" w:rsidR="006D7240" w:rsidRPr="00190AE5" w:rsidRDefault="006D7240" w:rsidP="006D7240">
      <w:pPr>
        <w:pStyle w:val="ListParagraph"/>
        <w:numPr>
          <w:ilvl w:val="1"/>
          <w:numId w:val="20"/>
        </w:numPr>
        <w:ind w:left="1080"/>
        <w:rPr>
          <w:sz w:val="21"/>
          <w:szCs w:val="21"/>
        </w:rPr>
      </w:pPr>
      <w:r w:rsidRPr="00190AE5">
        <w:rPr>
          <w:b/>
          <w:sz w:val="21"/>
          <w:szCs w:val="21"/>
        </w:rPr>
        <w:t>Filter:</w:t>
      </w:r>
      <w:r w:rsidRPr="00190AE5">
        <w:rPr>
          <w:sz w:val="21"/>
          <w:szCs w:val="21"/>
        </w:rPr>
        <w:t xml:space="preserve"> Antimicrobial </w:t>
      </w:r>
      <w:proofErr w:type="spellStart"/>
      <w:r w:rsidRPr="00190AE5">
        <w:rPr>
          <w:sz w:val="21"/>
          <w:szCs w:val="21"/>
        </w:rPr>
        <w:t>Agent~Description</w:t>
      </w:r>
      <w:proofErr w:type="spellEnd"/>
      <w:r w:rsidRPr="00190AE5">
        <w:rPr>
          <w:sz w:val="21"/>
          <w:szCs w:val="21"/>
        </w:rPr>
        <w:t xml:space="preserve"> “equal” to vancomycin</w:t>
      </w:r>
    </w:p>
    <w:p w14:paraId="60CDFFCB" w14:textId="77777777" w:rsidR="006D7240" w:rsidRPr="00190AE5" w:rsidRDefault="006D7240" w:rsidP="006D7240">
      <w:pPr>
        <w:pStyle w:val="ListParagraph"/>
        <w:numPr>
          <w:ilvl w:val="1"/>
          <w:numId w:val="20"/>
        </w:numPr>
        <w:ind w:left="1080"/>
        <w:rPr>
          <w:sz w:val="21"/>
          <w:szCs w:val="21"/>
        </w:rPr>
      </w:pPr>
      <w:r w:rsidRPr="00190AE5">
        <w:rPr>
          <w:b/>
          <w:sz w:val="21"/>
          <w:szCs w:val="21"/>
        </w:rPr>
        <w:t>Display:</w:t>
      </w:r>
      <w:r w:rsidRPr="00190AE5">
        <w:rPr>
          <w:sz w:val="21"/>
          <w:szCs w:val="21"/>
        </w:rPr>
        <w:t xml:space="preserve"> Summary Year/Month</w:t>
      </w:r>
    </w:p>
    <w:p w14:paraId="59DAE656" w14:textId="7AB9B625" w:rsidR="006D7240" w:rsidRPr="00A73678" w:rsidRDefault="006D7240" w:rsidP="00190AE5">
      <w:pPr>
        <w:pStyle w:val="Heading4"/>
      </w:pPr>
      <w:r w:rsidRPr="00A73678">
        <w:t>Comparing AU</w:t>
      </w:r>
      <w:r w:rsidR="006F7673">
        <w:t xml:space="preserve">, </w:t>
      </w:r>
      <w:proofErr w:type="gramStart"/>
      <w:r w:rsidR="006F7673">
        <w:t>AR</w:t>
      </w:r>
      <w:proofErr w:type="gramEnd"/>
      <w:r w:rsidRPr="00A73678">
        <w:t xml:space="preserve"> </w:t>
      </w:r>
      <w:r>
        <w:t>and</w:t>
      </w:r>
      <w:r w:rsidRPr="00A73678">
        <w:t xml:space="preserve"> HAI </w:t>
      </w:r>
      <w:r>
        <w:t>Denominators</w:t>
      </w:r>
    </w:p>
    <w:p w14:paraId="3DC3580B" w14:textId="77777777" w:rsidR="006D7240" w:rsidRPr="00190AE5" w:rsidRDefault="006D7240" w:rsidP="006D7240">
      <w:pPr>
        <w:rPr>
          <w:szCs w:val="21"/>
        </w:rPr>
      </w:pPr>
      <w:r w:rsidRPr="00190AE5">
        <w:rPr>
          <w:szCs w:val="21"/>
        </w:rPr>
        <w:t>If submitting data into other NHSN Modules (specifically, Device-associated, MDRO/CDI), you can compare those denominator data to the AU Option denominator data with help of NHSN Facility Administrator or IP staff. Facilities participating in CMS reporting will report:</w:t>
      </w:r>
    </w:p>
    <w:p w14:paraId="0A157FEE" w14:textId="1B681585" w:rsidR="006D7240" w:rsidRPr="00190AE5" w:rsidRDefault="006D7240" w:rsidP="006D7240">
      <w:pPr>
        <w:pStyle w:val="ListParagraph"/>
        <w:numPr>
          <w:ilvl w:val="0"/>
          <w:numId w:val="28"/>
        </w:numPr>
        <w:rPr>
          <w:sz w:val="21"/>
          <w:szCs w:val="21"/>
        </w:rPr>
      </w:pPr>
      <w:r w:rsidRPr="00190AE5">
        <w:rPr>
          <w:sz w:val="21"/>
          <w:szCs w:val="21"/>
        </w:rPr>
        <w:t>Location-specific HAI patient days within Device-associated summary records for all adult, pediatric, and neonatal ICU locations along with adult and pediatric medical, surgical, and medical/surgical ward locations</w:t>
      </w:r>
    </w:p>
    <w:p w14:paraId="75D99072" w14:textId="77777777" w:rsidR="006D7240" w:rsidRPr="00190AE5" w:rsidRDefault="006D7240" w:rsidP="006D7240">
      <w:pPr>
        <w:pStyle w:val="ListParagraph"/>
        <w:numPr>
          <w:ilvl w:val="0"/>
          <w:numId w:val="28"/>
        </w:numPr>
        <w:rPr>
          <w:sz w:val="21"/>
          <w:szCs w:val="21"/>
        </w:rPr>
      </w:pPr>
      <w:r w:rsidRPr="00190AE5">
        <w:rPr>
          <w:sz w:val="21"/>
          <w:szCs w:val="21"/>
        </w:rPr>
        <w:t>FacWideIN patient days and admissions within the monthly MDRO/CDI summary record</w:t>
      </w:r>
    </w:p>
    <w:p w14:paraId="36874E17" w14:textId="030E48DE" w:rsidR="006D7240" w:rsidRPr="00190AE5" w:rsidRDefault="006D7240" w:rsidP="006D7240">
      <w:pPr>
        <w:pStyle w:val="ListParagraph"/>
        <w:numPr>
          <w:ilvl w:val="0"/>
          <w:numId w:val="28"/>
        </w:numPr>
        <w:rPr>
          <w:sz w:val="21"/>
          <w:szCs w:val="21"/>
        </w:rPr>
      </w:pPr>
      <w:r w:rsidRPr="00190AE5">
        <w:rPr>
          <w:sz w:val="21"/>
          <w:szCs w:val="21"/>
        </w:rPr>
        <w:t xml:space="preserve">ED and/or 24-hour observation location encounters within the monthly MDRO/CDI summary record </w:t>
      </w:r>
    </w:p>
    <w:p w14:paraId="40AFFA22" w14:textId="6E751725" w:rsidR="006D7240" w:rsidRPr="00190AE5" w:rsidRDefault="006D7240" w:rsidP="006D7240">
      <w:pPr>
        <w:rPr>
          <w:szCs w:val="21"/>
        </w:rPr>
      </w:pPr>
      <w:r w:rsidRPr="00190AE5">
        <w:rPr>
          <w:b/>
          <w:bCs/>
          <w:szCs w:val="21"/>
        </w:rPr>
        <w:lastRenderedPageBreak/>
        <w:t>Please ask your NHSN Facility Administrator or IP staff to provide these numbers.</w:t>
      </w:r>
      <w:r w:rsidR="00BE63EF">
        <w:rPr>
          <w:b/>
          <w:bCs/>
          <w:szCs w:val="21"/>
        </w:rPr>
        <w:t xml:space="preserve"> </w:t>
      </w:r>
      <w:r w:rsidRPr="00190AE5">
        <w:rPr>
          <w:szCs w:val="21"/>
        </w:rPr>
        <w:t>Here are a few key definitions:</w:t>
      </w:r>
    </w:p>
    <w:p w14:paraId="3A1BB1E9" w14:textId="1547DBF8" w:rsidR="006D7240" w:rsidRPr="00190AE5" w:rsidRDefault="006D7240" w:rsidP="006D7240">
      <w:pPr>
        <w:ind w:left="450"/>
        <w:rPr>
          <w:szCs w:val="21"/>
        </w:rPr>
      </w:pPr>
      <w:r w:rsidRPr="00190AE5">
        <w:rPr>
          <w:b/>
          <w:szCs w:val="21"/>
        </w:rPr>
        <w:t>Days Present in AU Option</w:t>
      </w:r>
      <w:r w:rsidRPr="00190AE5">
        <w:rPr>
          <w:szCs w:val="21"/>
        </w:rPr>
        <w:t xml:space="preserve">: The system should count a patient in a location if they are there at </w:t>
      </w:r>
      <w:r w:rsidRPr="00190AE5">
        <w:rPr>
          <w:szCs w:val="21"/>
          <w:u w:val="single"/>
        </w:rPr>
        <w:t>any time</w:t>
      </w:r>
      <w:r w:rsidRPr="00190AE5">
        <w:rPr>
          <w:szCs w:val="21"/>
        </w:rPr>
        <w:t xml:space="preserve"> during the calendar day. The system should not count a patient more than once in a specific location during a single calendar day (specifically,</w:t>
      </w:r>
      <w:r w:rsidR="00BA6725">
        <w:rPr>
          <w:szCs w:val="21"/>
        </w:rPr>
        <w:t xml:space="preserve"> </w:t>
      </w:r>
      <w:r w:rsidR="006F7673">
        <w:rPr>
          <w:szCs w:val="21"/>
        </w:rPr>
        <w:t xml:space="preserve">a patient </w:t>
      </w:r>
      <w:r w:rsidR="00BA6725">
        <w:rPr>
          <w:szCs w:val="21"/>
        </w:rPr>
        <w:t>transferred</w:t>
      </w:r>
      <w:r w:rsidRPr="00190AE5">
        <w:rPr>
          <w:szCs w:val="21"/>
        </w:rPr>
        <w:t xml:space="preserve"> out and back into the location is still only counted </w:t>
      </w:r>
      <w:r w:rsidR="00BA6725">
        <w:rPr>
          <w:szCs w:val="21"/>
        </w:rPr>
        <w:t xml:space="preserve">by the vendor system </w:t>
      </w:r>
      <w:r w:rsidRPr="00190AE5">
        <w:rPr>
          <w:szCs w:val="21"/>
        </w:rPr>
        <w:t>as 1-day present in that location).</w:t>
      </w:r>
    </w:p>
    <w:p w14:paraId="5384FD07" w14:textId="0930B9D6" w:rsidR="006D7240" w:rsidRPr="00190AE5" w:rsidRDefault="006D7240" w:rsidP="006D7240">
      <w:pPr>
        <w:ind w:left="450"/>
        <w:rPr>
          <w:szCs w:val="21"/>
        </w:rPr>
      </w:pPr>
      <w:r w:rsidRPr="00190AE5">
        <w:rPr>
          <w:b/>
          <w:szCs w:val="21"/>
        </w:rPr>
        <w:t>Patient Days in other NHSN Modules</w:t>
      </w:r>
      <w:r w:rsidRPr="00190AE5">
        <w:rPr>
          <w:szCs w:val="21"/>
        </w:rPr>
        <w:t xml:space="preserve">: The system should count a patient in a location only if they are in that location at the time of the </w:t>
      </w:r>
      <w:r w:rsidRPr="00190AE5">
        <w:rPr>
          <w:szCs w:val="21"/>
          <w:u w:val="single"/>
        </w:rPr>
        <w:t>once daily</w:t>
      </w:r>
      <w:r w:rsidRPr="00190AE5">
        <w:rPr>
          <w:szCs w:val="21"/>
        </w:rPr>
        <w:t xml:space="preserve"> census count (</w:t>
      </w:r>
      <w:proofErr w:type="gramStart"/>
      <w:r w:rsidRPr="00190AE5">
        <w:rPr>
          <w:szCs w:val="21"/>
        </w:rPr>
        <w:t>generally done</w:t>
      </w:r>
      <w:proofErr w:type="gramEnd"/>
      <w:r w:rsidRPr="00190AE5">
        <w:rPr>
          <w:szCs w:val="21"/>
        </w:rPr>
        <w:t xml:space="preserve"> around midnight). </w:t>
      </w:r>
    </w:p>
    <w:p w14:paraId="2FEBD707" w14:textId="205E0588" w:rsidR="006D7240" w:rsidRDefault="009F0B54" w:rsidP="006D7240">
      <w:pPr>
        <w:ind w:left="450"/>
        <w:rPr>
          <w:szCs w:val="21"/>
        </w:rPr>
      </w:pPr>
      <w:r>
        <w:rPr>
          <w:b/>
          <w:szCs w:val="21"/>
        </w:rPr>
        <w:t>AU</w:t>
      </w:r>
      <w:r w:rsidR="00F32F02">
        <w:rPr>
          <w:b/>
          <w:szCs w:val="21"/>
        </w:rPr>
        <w:t xml:space="preserve"> &amp; AR</w:t>
      </w:r>
      <w:r>
        <w:rPr>
          <w:b/>
          <w:szCs w:val="21"/>
        </w:rPr>
        <w:t xml:space="preserve"> </w:t>
      </w:r>
      <w:r w:rsidR="006D7240" w:rsidRPr="00190AE5">
        <w:rPr>
          <w:b/>
          <w:szCs w:val="21"/>
        </w:rPr>
        <w:t>Admission</w:t>
      </w:r>
      <w:r w:rsidR="006D7240" w:rsidRPr="00190AE5">
        <w:rPr>
          <w:szCs w:val="21"/>
        </w:rPr>
        <w:t>: The system should count a patient as an admission if the facility admits the patient to an inpatient location within the facility starting on the first day of each calendar month.</w:t>
      </w:r>
      <w:r w:rsidR="00F32F02">
        <w:rPr>
          <w:szCs w:val="21"/>
        </w:rPr>
        <w:t xml:space="preserve"> </w:t>
      </w:r>
      <w:r w:rsidR="00F32F02">
        <w:t xml:space="preserve">A patient </w:t>
      </w:r>
      <w:proofErr w:type="gramStart"/>
      <w:r w:rsidR="00F32F02">
        <w:t>is counted</w:t>
      </w:r>
      <w:proofErr w:type="gramEnd"/>
      <w:r w:rsidR="00F32F02">
        <w:t xml:space="preserve"> as an admission when they arrive in an NHSN designated inpatient location regardless of patient status (for example, inpatient, observation).</w:t>
      </w:r>
      <w:r w:rsidR="006D7240" w:rsidRPr="00190AE5">
        <w:rPr>
          <w:szCs w:val="21"/>
        </w:rPr>
        <w:t xml:space="preserve"> </w:t>
      </w:r>
      <w:r w:rsidR="001F0419">
        <w:rPr>
          <w:szCs w:val="21"/>
        </w:rPr>
        <w:t xml:space="preserve">A patient admitted to an inpatient unit would </w:t>
      </w:r>
      <w:proofErr w:type="gramStart"/>
      <w:r w:rsidR="001F0419">
        <w:rPr>
          <w:szCs w:val="21"/>
        </w:rPr>
        <w:t>be counted</w:t>
      </w:r>
      <w:proofErr w:type="gramEnd"/>
      <w:r w:rsidR="001F0419">
        <w:rPr>
          <w:szCs w:val="21"/>
        </w:rPr>
        <w:t xml:space="preserve"> as an admission even if they were discharged that same calendar day.</w:t>
      </w:r>
    </w:p>
    <w:p w14:paraId="5D69B6BE" w14:textId="297A924F" w:rsidR="001F0419" w:rsidRDefault="009F0B54">
      <w:pPr>
        <w:ind w:left="450"/>
        <w:rPr>
          <w:b/>
          <w:szCs w:val="21"/>
        </w:rPr>
      </w:pPr>
      <w:r>
        <w:rPr>
          <w:b/>
          <w:szCs w:val="21"/>
        </w:rPr>
        <w:t>MDRO Admission</w:t>
      </w:r>
      <w:r w:rsidRPr="00B45A17">
        <w:rPr>
          <w:szCs w:val="21"/>
        </w:rPr>
        <w:t>:</w:t>
      </w:r>
      <w:r>
        <w:rPr>
          <w:b/>
          <w:bCs/>
          <w:szCs w:val="21"/>
        </w:rPr>
        <w:t xml:space="preserve"> </w:t>
      </w:r>
      <w:r w:rsidR="00F32F02">
        <w:t xml:space="preserve">A patient </w:t>
      </w:r>
      <w:proofErr w:type="gramStart"/>
      <w:r w:rsidR="00F32F02">
        <w:t>is counted</w:t>
      </w:r>
      <w:proofErr w:type="gramEnd"/>
      <w:r w:rsidR="00F32F02">
        <w:t xml:space="preserve"> as an admission when they arrive in an NHSN designated inpatient location regardless of patient status (for example, inpatient, observation). </w:t>
      </w:r>
      <w:r>
        <w:rPr>
          <w:szCs w:val="21"/>
        </w:rPr>
        <w:t>The system should count a patient as an admission</w:t>
      </w:r>
      <w:r w:rsidR="001F0419">
        <w:rPr>
          <w:szCs w:val="21"/>
        </w:rPr>
        <w:t xml:space="preserve"> if the admission date and discharge dates are </w:t>
      </w:r>
      <w:r w:rsidR="001F0419" w:rsidRPr="00B45A17">
        <w:rPr>
          <w:szCs w:val="21"/>
          <w:u w:val="single"/>
        </w:rPr>
        <w:t>different</w:t>
      </w:r>
      <w:r w:rsidR="001F0419">
        <w:rPr>
          <w:szCs w:val="21"/>
        </w:rPr>
        <w:t xml:space="preserve"> calendar days. </w:t>
      </w:r>
    </w:p>
    <w:p w14:paraId="05A4E716" w14:textId="53689CDE" w:rsidR="006D7240" w:rsidRPr="00190AE5" w:rsidRDefault="006D7240" w:rsidP="006D7240">
      <w:pPr>
        <w:ind w:left="450"/>
        <w:rPr>
          <w:szCs w:val="21"/>
        </w:rPr>
      </w:pPr>
      <w:r w:rsidRPr="00190AE5">
        <w:rPr>
          <w:b/>
          <w:szCs w:val="21"/>
        </w:rPr>
        <w:t>MDRO Outpatient Encounter</w:t>
      </w:r>
      <w:r w:rsidRPr="00190AE5">
        <w:rPr>
          <w:szCs w:val="21"/>
        </w:rPr>
        <w:t xml:space="preserve">: The system should count a patient if they visit the outpatient location at </w:t>
      </w:r>
      <w:r w:rsidRPr="00190AE5">
        <w:rPr>
          <w:szCs w:val="21"/>
          <w:u w:val="single"/>
        </w:rPr>
        <w:t>any time</w:t>
      </w:r>
      <w:r w:rsidRPr="00190AE5">
        <w:rPr>
          <w:szCs w:val="21"/>
        </w:rPr>
        <w:t xml:space="preserve"> during the calendar day.</w:t>
      </w:r>
      <w:r w:rsidR="001F0419">
        <w:rPr>
          <w:szCs w:val="21"/>
        </w:rPr>
        <w:t xml:space="preserve"> If a patient’s visit extends into another calendar day, the patient </w:t>
      </w:r>
      <w:proofErr w:type="gramStart"/>
      <w:r w:rsidR="001F0419">
        <w:rPr>
          <w:szCs w:val="21"/>
        </w:rPr>
        <w:t>is still only attributed</w:t>
      </w:r>
      <w:proofErr w:type="gramEnd"/>
      <w:r w:rsidR="001F0419">
        <w:rPr>
          <w:szCs w:val="21"/>
        </w:rPr>
        <w:t xml:space="preserve"> 1 encounter per visit. </w:t>
      </w:r>
    </w:p>
    <w:p w14:paraId="2241EBAB" w14:textId="77777777" w:rsidR="006D7240" w:rsidRDefault="006D7240" w:rsidP="00190AE5">
      <w:pPr>
        <w:pStyle w:val="Heading5"/>
      </w:pPr>
      <w:r>
        <w:t>Location-S</w:t>
      </w:r>
      <w:r w:rsidRPr="0085511F">
        <w:t>pecific AU Days Present versus HAI Patient Days</w:t>
      </w:r>
    </w:p>
    <w:p w14:paraId="55FACD32" w14:textId="77777777" w:rsidR="006D7240" w:rsidRPr="00190AE5" w:rsidRDefault="006D7240" w:rsidP="006D7240">
      <w:pPr>
        <w:rPr>
          <w:szCs w:val="21"/>
        </w:rPr>
      </w:pPr>
      <w:r w:rsidRPr="00190AE5">
        <w:rPr>
          <w:szCs w:val="21"/>
        </w:rPr>
        <w:t>Populate the table below using data from the AU and HAI submissions and calculate the percent difference. The HAI patient days will come from the NHSN Device-associated summary records used for CLABSI/CAUTI reporting. We recommend checking at least two ICU locations, two ward locations, and one NICU location (if applicable).</w:t>
      </w:r>
    </w:p>
    <w:p w14:paraId="119EDB59" w14:textId="261998FE" w:rsidR="006D7240" w:rsidRPr="00190AE5" w:rsidRDefault="006D7240" w:rsidP="006D7240">
      <w:pPr>
        <w:rPr>
          <w:szCs w:val="21"/>
        </w:rPr>
      </w:pPr>
      <w:r w:rsidRPr="00190AE5">
        <w:rPr>
          <w:b/>
          <w:szCs w:val="21"/>
        </w:rPr>
        <w:t>Note</w:t>
      </w:r>
      <w:r w:rsidRPr="00190AE5">
        <w:rPr>
          <w:szCs w:val="21"/>
        </w:rPr>
        <w:t xml:space="preserve">: Based on internal NHSN analysis of AU and HAI data, on average, the AU days present are 24% higher than the HAI patient days for the same location. The full breakdown of median percent difference by location type can be found in the </w:t>
      </w:r>
      <w:hyperlink r:id="rId46" w:history="1">
        <w:r w:rsidRPr="00190AE5">
          <w:rPr>
            <w:rStyle w:val="Hyperlink"/>
            <w:szCs w:val="21"/>
          </w:rPr>
          <w:t>AU FAQs</w:t>
        </w:r>
      </w:hyperlink>
      <w:r w:rsidRPr="00190AE5">
        <w:rPr>
          <w:szCs w:val="21"/>
        </w:rPr>
        <w:t xml:space="preserve"> (</w:t>
      </w:r>
      <w:r w:rsidR="00826322">
        <w:rPr>
          <w:szCs w:val="21"/>
        </w:rPr>
        <w:t>Days Present section</w:t>
      </w:r>
      <w:r w:rsidRPr="00190AE5">
        <w:rPr>
          <w:szCs w:val="21"/>
        </w:rPr>
        <w:t xml:space="preserve">). </w:t>
      </w:r>
    </w:p>
    <w:p w14:paraId="16519331" w14:textId="77777777" w:rsidR="006D7240" w:rsidRPr="0085511F" w:rsidRDefault="006D7240" w:rsidP="006D7240">
      <w:r>
        <w:t xml:space="preserve">Percent Difference:  </w:t>
      </w:r>
      <m:oMath>
        <m:f>
          <m:fPr>
            <m:ctrlPr>
              <w:rPr>
                <w:rFonts w:ascii="Cambria Math" w:hAnsi="Cambria Math"/>
                <w:i/>
                <w:sz w:val="28"/>
                <w:szCs w:val="28"/>
              </w:rPr>
            </m:ctrlPr>
          </m:fPr>
          <m:num>
            <m:r>
              <w:rPr>
                <w:rFonts w:ascii="Cambria Math" w:hAnsi="Cambria Math"/>
                <w:sz w:val="28"/>
                <w:szCs w:val="28"/>
              </w:rPr>
              <m:t>(AU Days Present-HAI Patient Days)</m:t>
            </m:r>
          </m:num>
          <m:den>
            <m:r>
              <w:rPr>
                <w:rFonts w:ascii="Cambria Math" w:hAnsi="Cambria Math"/>
                <w:sz w:val="28"/>
                <w:szCs w:val="28"/>
              </w:rPr>
              <m:t>AU Days Present</m:t>
            </m:r>
          </m:den>
        </m:f>
        <m:r>
          <w:rPr>
            <w:rFonts w:ascii="Cambria Math" w:hAnsi="Cambria Math"/>
            <w:sz w:val="28"/>
            <w:szCs w:val="28"/>
          </w:rPr>
          <m:t xml:space="preserve"> ×100</m:t>
        </m:r>
      </m:oMath>
    </w:p>
    <w:tbl>
      <w:tblPr>
        <w:tblStyle w:val="TableGrid"/>
        <w:tblW w:w="9810" w:type="dxa"/>
        <w:tblInd w:w="355" w:type="dxa"/>
        <w:tblLook w:val="04A0" w:firstRow="1" w:lastRow="0" w:firstColumn="1" w:lastColumn="0" w:noHBand="0" w:noVBand="1"/>
        <w:tblCaption w:val="Percent difference table"/>
        <w:tblDescription w:val="Table for inputting and calculating percent difference"/>
      </w:tblPr>
      <w:tblGrid>
        <w:gridCol w:w="1846"/>
        <w:gridCol w:w="2726"/>
        <w:gridCol w:w="1759"/>
        <w:gridCol w:w="1757"/>
        <w:gridCol w:w="1722"/>
      </w:tblGrid>
      <w:tr w:rsidR="006D7240" w:rsidRPr="00F05312" w14:paraId="6DB1EE27" w14:textId="77777777" w:rsidTr="00ED081D">
        <w:trPr>
          <w:cantSplit/>
          <w:trHeight w:val="432"/>
          <w:tblHeader/>
        </w:trPr>
        <w:tc>
          <w:tcPr>
            <w:tcW w:w="1846" w:type="dxa"/>
            <w:tcBorders>
              <w:top w:val="single" w:sz="4" w:space="0" w:color="auto"/>
              <w:bottom w:val="single" w:sz="4" w:space="0" w:color="auto"/>
            </w:tcBorders>
            <w:vAlign w:val="center"/>
          </w:tcPr>
          <w:p w14:paraId="52887892" w14:textId="77777777" w:rsidR="006D7240" w:rsidRPr="00190AE5" w:rsidRDefault="006D7240" w:rsidP="006D7240">
            <w:pPr>
              <w:jc w:val="center"/>
              <w:rPr>
                <w:rFonts w:cstheme="minorHAnsi"/>
                <w:b/>
                <w:szCs w:val="21"/>
              </w:rPr>
            </w:pPr>
            <w:r w:rsidRPr="00190AE5">
              <w:rPr>
                <w:rFonts w:cstheme="minorHAnsi"/>
                <w:b/>
                <w:szCs w:val="21"/>
              </w:rPr>
              <w:t>Month/Year</w:t>
            </w:r>
          </w:p>
        </w:tc>
        <w:tc>
          <w:tcPr>
            <w:tcW w:w="2726" w:type="dxa"/>
            <w:tcBorders>
              <w:top w:val="single" w:sz="4" w:space="0" w:color="auto"/>
              <w:bottom w:val="single" w:sz="4" w:space="0" w:color="auto"/>
            </w:tcBorders>
            <w:vAlign w:val="center"/>
          </w:tcPr>
          <w:p w14:paraId="5886549A" w14:textId="77777777" w:rsidR="006D7240" w:rsidRPr="00190AE5" w:rsidRDefault="006D7240" w:rsidP="006D7240">
            <w:pPr>
              <w:jc w:val="center"/>
              <w:rPr>
                <w:rFonts w:cstheme="minorHAnsi"/>
                <w:b/>
                <w:szCs w:val="21"/>
              </w:rPr>
            </w:pPr>
            <w:r w:rsidRPr="00190AE5">
              <w:rPr>
                <w:rFonts w:cstheme="minorHAnsi"/>
                <w:b/>
                <w:szCs w:val="21"/>
              </w:rPr>
              <w:t>Location Name</w:t>
            </w:r>
          </w:p>
        </w:tc>
        <w:tc>
          <w:tcPr>
            <w:tcW w:w="1759" w:type="dxa"/>
            <w:tcBorders>
              <w:top w:val="single" w:sz="4" w:space="0" w:color="auto"/>
              <w:bottom w:val="single" w:sz="4" w:space="0" w:color="auto"/>
            </w:tcBorders>
            <w:vAlign w:val="center"/>
          </w:tcPr>
          <w:p w14:paraId="34687070" w14:textId="77777777" w:rsidR="006D7240" w:rsidRPr="00190AE5" w:rsidRDefault="006D7240" w:rsidP="006D7240">
            <w:pPr>
              <w:jc w:val="center"/>
              <w:rPr>
                <w:rFonts w:cstheme="minorHAnsi"/>
                <w:b/>
                <w:szCs w:val="21"/>
              </w:rPr>
            </w:pPr>
            <w:r w:rsidRPr="00190AE5">
              <w:rPr>
                <w:rFonts w:cstheme="minorHAnsi"/>
                <w:b/>
                <w:szCs w:val="21"/>
              </w:rPr>
              <w:t xml:space="preserve">Total AU </w:t>
            </w:r>
          </w:p>
          <w:p w14:paraId="25AE4005" w14:textId="77777777" w:rsidR="006D7240" w:rsidRPr="00190AE5" w:rsidRDefault="006D7240" w:rsidP="006D7240">
            <w:pPr>
              <w:jc w:val="center"/>
              <w:rPr>
                <w:rFonts w:cstheme="minorHAnsi"/>
                <w:b/>
                <w:szCs w:val="21"/>
              </w:rPr>
            </w:pPr>
            <w:r w:rsidRPr="00190AE5">
              <w:rPr>
                <w:rFonts w:cstheme="minorHAnsi"/>
                <w:b/>
                <w:szCs w:val="21"/>
              </w:rPr>
              <w:t>Days Present</w:t>
            </w:r>
          </w:p>
        </w:tc>
        <w:tc>
          <w:tcPr>
            <w:tcW w:w="1757" w:type="dxa"/>
            <w:tcBorders>
              <w:top w:val="single" w:sz="4" w:space="0" w:color="auto"/>
              <w:bottom w:val="single" w:sz="4" w:space="0" w:color="auto"/>
            </w:tcBorders>
            <w:vAlign w:val="center"/>
          </w:tcPr>
          <w:p w14:paraId="28DAD6A9" w14:textId="77777777" w:rsidR="006D7240" w:rsidRPr="00190AE5" w:rsidRDefault="006D7240" w:rsidP="006D7240">
            <w:pPr>
              <w:jc w:val="center"/>
              <w:rPr>
                <w:rFonts w:cstheme="minorHAnsi"/>
                <w:b/>
                <w:szCs w:val="21"/>
              </w:rPr>
            </w:pPr>
            <w:r w:rsidRPr="00190AE5">
              <w:rPr>
                <w:rFonts w:cstheme="minorHAnsi"/>
                <w:b/>
                <w:szCs w:val="21"/>
              </w:rPr>
              <w:t>Total HAI Patient Days</w:t>
            </w:r>
          </w:p>
        </w:tc>
        <w:tc>
          <w:tcPr>
            <w:tcW w:w="1722" w:type="dxa"/>
            <w:tcBorders>
              <w:top w:val="single" w:sz="4" w:space="0" w:color="auto"/>
              <w:bottom w:val="single" w:sz="4" w:space="0" w:color="auto"/>
            </w:tcBorders>
            <w:vAlign w:val="center"/>
          </w:tcPr>
          <w:p w14:paraId="6E69D8E0" w14:textId="77777777" w:rsidR="006D7240" w:rsidRPr="00190AE5" w:rsidRDefault="006D7240" w:rsidP="006D7240">
            <w:pPr>
              <w:jc w:val="center"/>
              <w:rPr>
                <w:rFonts w:cstheme="minorHAnsi"/>
                <w:b/>
                <w:szCs w:val="21"/>
              </w:rPr>
            </w:pPr>
            <w:r w:rsidRPr="00190AE5">
              <w:rPr>
                <w:rFonts w:cstheme="minorHAnsi"/>
                <w:b/>
                <w:szCs w:val="21"/>
              </w:rPr>
              <w:t>Percent Difference</w:t>
            </w:r>
          </w:p>
        </w:tc>
      </w:tr>
      <w:tr w:rsidR="006D7240" w14:paraId="4B3E9971" w14:textId="77777777" w:rsidTr="00ED081D">
        <w:trPr>
          <w:cantSplit/>
          <w:trHeight w:val="432"/>
        </w:trPr>
        <w:tc>
          <w:tcPr>
            <w:tcW w:w="1846" w:type="dxa"/>
            <w:tcBorders>
              <w:top w:val="single" w:sz="4" w:space="0" w:color="auto"/>
              <w:bottom w:val="single" w:sz="4" w:space="0" w:color="auto"/>
            </w:tcBorders>
          </w:tcPr>
          <w:p w14:paraId="5E0A33D8" w14:textId="77777777" w:rsidR="006D7240" w:rsidRPr="00190AE5" w:rsidRDefault="006D7240" w:rsidP="006D7240">
            <w:pPr>
              <w:rPr>
                <w:rFonts w:cstheme="minorHAnsi"/>
                <w:b/>
                <w:szCs w:val="21"/>
              </w:rPr>
            </w:pPr>
          </w:p>
        </w:tc>
        <w:tc>
          <w:tcPr>
            <w:tcW w:w="2726" w:type="dxa"/>
            <w:tcBorders>
              <w:top w:val="single" w:sz="4" w:space="0" w:color="auto"/>
              <w:bottom w:val="single" w:sz="4" w:space="0" w:color="auto"/>
            </w:tcBorders>
          </w:tcPr>
          <w:p w14:paraId="4873D20A" w14:textId="77777777" w:rsidR="006D7240" w:rsidRPr="00190AE5" w:rsidRDefault="006D7240" w:rsidP="006D7240">
            <w:pPr>
              <w:rPr>
                <w:rFonts w:cstheme="minorHAnsi"/>
                <w:b/>
                <w:szCs w:val="21"/>
              </w:rPr>
            </w:pPr>
          </w:p>
        </w:tc>
        <w:tc>
          <w:tcPr>
            <w:tcW w:w="1759" w:type="dxa"/>
            <w:tcBorders>
              <w:top w:val="single" w:sz="4" w:space="0" w:color="auto"/>
              <w:bottom w:val="single" w:sz="4" w:space="0" w:color="auto"/>
            </w:tcBorders>
          </w:tcPr>
          <w:p w14:paraId="1E4DAB0B" w14:textId="77777777" w:rsidR="006D7240" w:rsidRPr="00190AE5" w:rsidRDefault="006D7240" w:rsidP="006D7240">
            <w:pPr>
              <w:rPr>
                <w:rFonts w:cstheme="minorHAnsi"/>
                <w:b/>
                <w:szCs w:val="21"/>
              </w:rPr>
            </w:pPr>
          </w:p>
        </w:tc>
        <w:tc>
          <w:tcPr>
            <w:tcW w:w="1757" w:type="dxa"/>
            <w:tcBorders>
              <w:top w:val="single" w:sz="4" w:space="0" w:color="auto"/>
              <w:bottom w:val="single" w:sz="4" w:space="0" w:color="auto"/>
            </w:tcBorders>
          </w:tcPr>
          <w:p w14:paraId="24A77D92" w14:textId="77777777" w:rsidR="006D7240" w:rsidRPr="00190AE5" w:rsidRDefault="006D7240" w:rsidP="006D7240">
            <w:pPr>
              <w:rPr>
                <w:rFonts w:cstheme="minorHAnsi"/>
                <w:b/>
                <w:szCs w:val="21"/>
              </w:rPr>
            </w:pPr>
          </w:p>
        </w:tc>
        <w:tc>
          <w:tcPr>
            <w:tcW w:w="1722" w:type="dxa"/>
            <w:tcBorders>
              <w:top w:val="single" w:sz="4" w:space="0" w:color="auto"/>
              <w:bottom w:val="single" w:sz="4" w:space="0" w:color="auto"/>
            </w:tcBorders>
          </w:tcPr>
          <w:p w14:paraId="488902D6" w14:textId="77777777" w:rsidR="006D7240" w:rsidRPr="00190AE5" w:rsidRDefault="006D7240" w:rsidP="006D7240">
            <w:pPr>
              <w:rPr>
                <w:rFonts w:cstheme="minorHAnsi"/>
                <w:b/>
                <w:szCs w:val="21"/>
              </w:rPr>
            </w:pPr>
          </w:p>
        </w:tc>
      </w:tr>
      <w:tr w:rsidR="006D7240" w14:paraId="4AC1AAC6" w14:textId="77777777" w:rsidTr="00ED081D">
        <w:trPr>
          <w:cantSplit/>
          <w:trHeight w:val="432"/>
        </w:trPr>
        <w:tc>
          <w:tcPr>
            <w:tcW w:w="1846" w:type="dxa"/>
            <w:tcBorders>
              <w:top w:val="single" w:sz="4" w:space="0" w:color="auto"/>
              <w:bottom w:val="single" w:sz="4" w:space="0" w:color="auto"/>
            </w:tcBorders>
          </w:tcPr>
          <w:p w14:paraId="3B916BC1" w14:textId="77777777" w:rsidR="006D7240" w:rsidRPr="00190AE5" w:rsidRDefault="006D7240" w:rsidP="006D7240">
            <w:pPr>
              <w:rPr>
                <w:rFonts w:cstheme="minorHAnsi"/>
                <w:b/>
                <w:szCs w:val="21"/>
              </w:rPr>
            </w:pPr>
          </w:p>
        </w:tc>
        <w:tc>
          <w:tcPr>
            <w:tcW w:w="2726" w:type="dxa"/>
            <w:tcBorders>
              <w:top w:val="single" w:sz="4" w:space="0" w:color="auto"/>
              <w:bottom w:val="single" w:sz="4" w:space="0" w:color="auto"/>
            </w:tcBorders>
          </w:tcPr>
          <w:p w14:paraId="54DF8D93" w14:textId="77777777" w:rsidR="006D7240" w:rsidRPr="00190AE5" w:rsidRDefault="006D7240" w:rsidP="006D7240">
            <w:pPr>
              <w:rPr>
                <w:rFonts w:cstheme="minorHAnsi"/>
                <w:b/>
                <w:szCs w:val="21"/>
              </w:rPr>
            </w:pPr>
          </w:p>
        </w:tc>
        <w:tc>
          <w:tcPr>
            <w:tcW w:w="1759" w:type="dxa"/>
            <w:tcBorders>
              <w:top w:val="single" w:sz="4" w:space="0" w:color="auto"/>
              <w:bottom w:val="single" w:sz="4" w:space="0" w:color="auto"/>
            </w:tcBorders>
          </w:tcPr>
          <w:p w14:paraId="1F471EAA" w14:textId="77777777" w:rsidR="006D7240" w:rsidRPr="00190AE5" w:rsidRDefault="006D7240" w:rsidP="006D7240">
            <w:pPr>
              <w:rPr>
                <w:rFonts w:cstheme="minorHAnsi"/>
                <w:b/>
                <w:szCs w:val="21"/>
              </w:rPr>
            </w:pPr>
          </w:p>
        </w:tc>
        <w:tc>
          <w:tcPr>
            <w:tcW w:w="1757" w:type="dxa"/>
            <w:tcBorders>
              <w:top w:val="single" w:sz="4" w:space="0" w:color="auto"/>
              <w:bottom w:val="single" w:sz="4" w:space="0" w:color="auto"/>
            </w:tcBorders>
          </w:tcPr>
          <w:p w14:paraId="06702692" w14:textId="77777777" w:rsidR="006D7240" w:rsidRPr="00190AE5" w:rsidRDefault="006D7240" w:rsidP="006D7240">
            <w:pPr>
              <w:rPr>
                <w:rFonts w:cstheme="minorHAnsi"/>
                <w:b/>
                <w:szCs w:val="21"/>
              </w:rPr>
            </w:pPr>
          </w:p>
        </w:tc>
        <w:tc>
          <w:tcPr>
            <w:tcW w:w="1722" w:type="dxa"/>
            <w:tcBorders>
              <w:top w:val="single" w:sz="4" w:space="0" w:color="auto"/>
              <w:bottom w:val="single" w:sz="4" w:space="0" w:color="auto"/>
            </w:tcBorders>
          </w:tcPr>
          <w:p w14:paraId="1784551B" w14:textId="77777777" w:rsidR="006D7240" w:rsidRPr="00190AE5" w:rsidRDefault="006D7240" w:rsidP="006D7240">
            <w:pPr>
              <w:rPr>
                <w:rFonts w:cstheme="minorHAnsi"/>
                <w:b/>
                <w:szCs w:val="21"/>
              </w:rPr>
            </w:pPr>
          </w:p>
        </w:tc>
      </w:tr>
      <w:tr w:rsidR="006D7240" w14:paraId="4AAE116F" w14:textId="77777777" w:rsidTr="00ED081D">
        <w:trPr>
          <w:cantSplit/>
          <w:trHeight w:val="432"/>
        </w:trPr>
        <w:tc>
          <w:tcPr>
            <w:tcW w:w="1846" w:type="dxa"/>
            <w:tcBorders>
              <w:top w:val="single" w:sz="4" w:space="0" w:color="auto"/>
              <w:bottom w:val="single" w:sz="4" w:space="0" w:color="auto"/>
            </w:tcBorders>
          </w:tcPr>
          <w:p w14:paraId="02C15017" w14:textId="77777777" w:rsidR="006D7240" w:rsidRPr="00190AE5" w:rsidRDefault="006D7240" w:rsidP="006D7240">
            <w:pPr>
              <w:rPr>
                <w:rFonts w:cstheme="minorHAnsi"/>
                <w:b/>
                <w:szCs w:val="21"/>
              </w:rPr>
            </w:pPr>
          </w:p>
        </w:tc>
        <w:tc>
          <w:tcPr>
            <w:tcW w:w="2726" w:type="dxa"/>
            <w:tcBorders>
              <w:top w:val="single" w:sz="4" w:space="0" w:color="auto"/>
              <w:bottom w:val="single" w:sz="4" w:space="0" w:color="auto"/>
            </w:tcBorders>
          </w:tcPr>
          <w:p w14:paraId="4D2A33E2" w14:textId="77777777" w:rsidR="006D7240" w:rsidRPr="00190AE5" w:rsidRDefault="006D7240" w:rsidP="006D7240">
            <w:pPr>
              <w:rPr>
                <w:rFonts w:cstheme="minorHAnsi"/>
                <w:b/>
                <w:szCs w:val="21"/>
              </w:rPr>
            </w:pPr>
          </w:p>
        </w:tc>
        <w:tc>
          <w:tcPr>
            <w:tcW w:w="1759" w:type="dxa"/>
            <w:tcBorders>
              <w:top w:val="single" w:sz="4" w:space="0" w:color="auto"/>
              <w:bottom w:val="single" w:sz="4" w:space="0" w:color="auto"/>
            </w:tcBorders>
          </w:tcPr>
          <w:p w14:paraId="6715416A" w14:textId="77777777" w:rsidR="006D7240" w:rsidRPr="00190AE5" w:rsidRDefault="006D7240" w:rsidP="006D7240">
            <w:pPr>
              <w:rPr>
                <w:rFonts w:cstheme="minorHAnsi"/>
                <w:b/>
                <w:szCs w:val="21"/>
              </w:rPr>
            </w:pPr>
          </w:p>
        </w:tc>
        <w:tc>
          <w:tcPr>
            <w:tcW w:w="1757" w:type="dxa"/>
            <w:tcBorders>
              <w:top w:val="single" w:sz="4" w:space="0" w:color="auto"/>
              <w:bottom w:val="single" w:sz="4" w:space="0" w:color="auto"/>
            </w:tcBorders>
          </w:tcPr>
          <w:p w14:paraId="357B67F5" w14:textId="77777777" w:rsidR="006D7240" w:rsidRPr="00190AE5" w:rsidRDefault="006D7240" w:rsidP="006D7240">
            <w:pPr>
              <w:rPr>
                <w:rFonts w:cstheme="minorHAnsi"/>
                <w:b/>
                <w:szCs w:val="21"/>
              </w:rPr>
            </w:pPr>
          </w:p>
        </w:tc>
        <w:tc>
          <w:tcPr>
            <w:tcW w:w="1722" w:type="dxa"/>
            <w:tcBorders>
              <w:top w:val="single" w:sz="4" w:space="0" w:color="auto"/>
              <w:bottom w:val="single" w:sz="4" w:space="0" w:color="auto"/>
            </w:tcBorders>
          </w:tcPr>
          <w:p w14:paraId="5A5003C9" w14:textId="77777777" w:rsidR="006D7240" w:rsidRPr="00190AE5" w:rsidRDefault="006D7240" w:rsidP="006D7240">
            <w:pPr>
              <w:rPr>
                <w:rFonts w:cstheme="minorHAnsi"/>
                <w:b/>
                <w:szCs w:val="21"/>
              </w:rPr>
            </w:pPr>
          </w:p>
        </w:tc>
      </w:tr>
      <w:tr w:rsidR="006D7240" w14:paraId="09B517FA" w14:textId="77777777" w:rsidTr="00ED081D">
        <w:trPr>
          <w:cantSplit/>
          <w:trHeight w:val="432"/>
        </w:trPr>
        <w:tc>
          <w:tcPr>
            <w:tcW w:w="1846" w:type="dxa"/>
            <w:tcBorders>
              <w:top w:val="single" w:sz="4" w:space="0" w:color="auto"/>
              <w:bottom w:val="single" w:sz="4" w:space="0" w:color="auto"/>
            </w:tcBorders>
          </w:tcPr>
          <w:p w14:paraId="12DF99E2" w14:textId="77777777" w:rsidR="006D7240" w:rsidRPr="00190AE5" w:rsidRDefault="006D7240" w:rsidP="006D7240">
            <w:pPr>
              <w:rPr>
                <w:rFonts w:cstheme="minorHAnsi"/>
                <w:b/>
                <w:szCs w:val="21"/>
              </w:rPr>
            </w:pPr>
          </w:p>
        </w:tc>
        <w:tc>
          <w:tcPr>
            <w:tcW w:w="2726" w:type="dxa"/>
            <w:tcBorders>
              <w:top w:val="single" w:sz="4" w:space="0" w:color="auto"/>
              <w:bottom w:val="single" w:sz="4" w:space="0" w:color="auto"/>
            </w:tcBorders>
          </w:tcPr>
          <w:p w14:paraId="271F1C50" w14:textId="77777777" w:rsidR="006D7240" w:rsidRPr="00190AE5" w:rsidRDefault="006D7240" w:rsidP="006D7240">
            <w:pPr>
              <w:rPr>
                <w:rFonts w:cstheme="minorHAnsi"/>
                <w:b/>
                <w:szCs w:val="21"/>
              </w:rPr>
            </w:pPr>
          </w:p>
        </w:tc>
        <w:tc>
          <w:tcPr>
            <w:tcW w:w="1759" w:type="dxa"/>
            <w:tcBorders>
              <w:top w:val="single" w:sz="4" w:space="0" w:color="auto"/>
              <w:bottom w:val="single" w:sz="4" w:space="0" w:color="auto"/>
            </w:tcBorders>
          </w:tcPr>
          <w:p w14:paraId="6F8DFF27" w14:textId="77777777" w:rsidR="006D7240" w:rsidRPr="00190AE5" w:rsidRDefault="006D7240" w:rsidP="006D7240">
            <w:pPr>
              <w:rPr>
                <w:rFonts w:cstheme="minorHAnsi"/>
                <w:b/>
                <w:szCs w:val="21"/>
              </w:rPr>
            </w:pPr>
          </w:p>
        </w:tc>
        <w:tc>
          <w:tcPr>
            <w:tcW w:w="1757" w:type="dxa"/>
            <w:tcBorders>
              <w:top w:val="single" w:sz="4" w:space="0" w:color="auto"/>
              <w:bottom w:val="single" w:sz="4" w:space="0" w:color="auto"/>
            </w:tcBorders>
          </w:tcPr>
          <w:p w14:paraId="3582700F" w14:textId="77777777" w:rsidR="006D7240" w:rsidRPr="00190AE5" w:rsidRDefault="006D7240" w:rsidP="006D7240">
            <w:pPr>
              <w:rPr>
                <w:rFonts w:cstheme="minorHAnsi"/>
                <w:b/>
                <w:szCs w:val="21"/>
              </w:rPr>
            </w:pPr>
          </w:p>
        </w:tc>
        <w:tc>
          <w:tcPr>
            <w:tcW w:w="1722" w:type="dxa"/>
            <w:tcBorders>
              <w:top w:val="single" w:sz="4" w:space="0" w:color="auto"/>
              <w:bottom w:val="single" w:sz="4" w:space="0" w:color="auto"/>
            </w:tcBorders>
          </w:tcPr>
          <w:p w14:paraId="6811B0B6" w14:textId="77777777" w:rsidR="006D7240" w:rsidRPr="00190AE5" w:rsidRDefault="006D7240" w:rsidP="006D7240">
            <w:pPr>
              <w:rPr>
                <w:rFonts w:cstheme="minorHAnsi"/>
                <w:b/>
                <w:szCs w:val="21"/>
              </w:rPr>
            </w:pPr>
          </w:p>
        </w:tc>
      </w:tr>
      <w:tr w:rsidR="006D7240" w14:paraId="3373B771" w14:textId="77777777" w:rsidTr="00ED081D">
        <w:trPr>
          <w:cantSplit/>
          <w:trHeight w:val="432"/>
        </w:trPr>
        <w:tc>
          <w:tcPr>
            <w:tcW w:w="1846" w:type="dxa"/>
            <w:tcBorders>
              <w:top w:val="single" w:sz="4" w:space="0" w:color="auto"/>
              <w:bottom w:val="single" w:sz="4" w:space="0" w:color="auto"/>
            </w:tcBorders>
          </w:tcPr>
          <w:p w14:paraId="03658DD8" w14:textId="77777777" w:rsidR="006D7240" w:rsidRPr="00190AE5" w:rsidRDefault="006D7240" w:rsidP="006D7240">
            <w:pPr>
              <w:rPr>
                <w:rFonts w:cstheme="minorHAnsi"/>
                <w:b/>
                <w:szCs w:val="21"/>
              </w:rPr>
            </w:pPr>
          </w:p>
        </w:tc>
        <w:tc>
          <w:tcPr>
            <w:tcW w:w="2726" w:type="dxa"/>
            <w:tcBorders>
              <w:top w:val="single" w:sz="4" w:space="0" w:color="auto"/>
              <w:bottom w:val="single" w:sz="4" w:space="0" w:color="auto"/>
            </w:tcBorders>
          </w:tcPr>
          <w:p w14:paraId="69FF3789" w14:textId="77777777" w:rsidR="006D7240" w:rsidRPr="00190AE5" w:rsidRDefault="006D7240" w:rsidP="006D7240">
            <w:pPr>
              <w:rPr>
                <w:rFonts w:cstheme="minorHAnsi"/>
                <w:b/>
                <w:szCs w:val="21"/>
              </w:rPr>
            </w:pPr>
          </w:p>
        </w:tc>
        <w:tc>
          <w:tcPr>
            <w:tcW w:w="1759" w:type="dxa"/>
            <w:tcBorders>
              <w:top w:val="single" w:sz="4" w:space="0" w:color="auto"/>
              <w:bottom w:val="single" w:sz="4" w:space="0" w:color="auto"/>
            </w:tcBorders>
          </w:tcPr>
          <w:p w14:paraId="7F027914" w14:textId="77777777" w:rsidR="006D7240" w:rsidRPr="00190AE5" w:rsidRDefault="006D7240" w:rsidP="006D7240">
            <w:pPr>
              <w:rPr>
                <w:rFonts w:cstheme="minorHAnsi"/>
                <w:b/>
                <w:szCs w:val="21"/>
              </w:rPr>
            </w:pPr>
          </w:p>
        </w:tc>
        <w:tc>
          <w:tcPr>
            <w:tcW w:w="1757" w:type="dxa"/>
            <w:tcBorders>
              <w:top w:val="single" w:sz="4" w:space="0" w:color="auto"/>
              <w:bottom w:val="single" w:sz="4" w:space="0" w:color="auto"/>
            </w:tcBorders>
          </w:tcPr>
          <w:p w14:paraId="1CEBED34" w14:textId="77777777" w:rsidR="006D7240" w:rsidRPr="00190AE5" w:rsidRDefault="006D7240" w:rsidP="006D7240">
            <w:pPr>
              <w:rPr>
                <w:rFonts w:cstheme="minorHAnsi"/>
                <w:b/>
                <w:szCs w:val="21"/>
              </w:rPr>
            </w:pPr>
          </w:p>
        </w:tc>
        <w:tc>
          <w:tcPr>
            <w:tcW w:w="1722" w:type="dxa"/>
            <w:tcBorders>
              <w:top w:val="single" w:sz="4" w:space="0" w:color="auto"/>
              <w:bottom w:val="single" w:sz="4" w:space="0" w:color="auto"/>
            </w:tcBorders>
          </w:tcPr>
          <w:p w14:paraId="21F79DF6" w14:textId="77777777" w:rsidR="006D7240" w:rsidRPr="00190AE5" w:rsidRDefault="006D7240" w:rsidP="006D7240">
            <w:pPr>
              <w:rPr>
                <w:rFonts w:cstheme="minorHAnsi"/>
                <w:b/>
                <w:szCs w:val="21"/>
              </w:rPr>
            </w:pPr>
          </w:p>
        </w:tc>
      </w:tr>
    </w:tbl>
    <w:p w14:paraId="7951320E" w14:textId="77777777" w:rsidR="006D7240" w:rsidRPr="00190AE5" w:rsidRDefault="006D7240" w:rsidP="006D7240">
      <w:pPr>
        <w:pStyle w:val="ListParagraph"/>
        <w:numPr>
          <w:ilvl w:val="0"/>
          <w:numId w:val="21"/>
        </w:numPr>
        <w:ind w:left="720"/>
        <w:rPr>
          <w:sz w:val="21"/>
          <w:szCs w:val="21"/>
        </w:rPr>
      </w:pPr>
      <w:r w:rsidRPr="00190AE5">
        <w:rPr>
          <w:sz w:val="21"/>
          <w:szCs w:val="21"/>
        </w:rPr>
        <w:t xml:space="preserve">If the percent difference is </w:t>
      </w:r>
      <w:proofErr w:type="gramStart"/>
      <w:r w:rsidRPr="00190AE5">
        <w:rPr>
          <w:sz w:val="21"/>
          <w:szCs w:val="21"/>
        </w:rPr>
        <w:t>considerably higher</w:t>
      </w:r>
      <w:proofErr w:type="gramEnd"/>
      <w:r w:rsidRPr="00190AE5">
        <w:rPr>
          <w:sz w:val="21"/>
          <w:szCs w:val="21"/>
        </w:rPr>
        <w:t xml:space="preserve"> than the median for the specific location type, consider discussing the denominator counts with your vendor. Check for double counting (for AU reporting, the vendor system should count a patient only once in a location per day).</w:t>
      </w:r>
    </w:p>
    <w:p w14:paraId="3AFA3248" w14:textId="77777777" w:rsidR="006D7240" w:rsidRPr="00190AE5" w:rsidRDefault="006D7240" w:rsidP="006D7240">
      <w:pPr>
        <w:pStyle w:val="ListParagraph"/>
        <w:numPr>
          <w:ilvl w:val="0"/>
          <w:numId w:val="21"/>
        </w:numPr>
        <w:ind w:left="720"/>
        <w:rPr>
          <w:sz w:val="21"/>
          <w:szCs w:val="21"/>
        </w:rPr>
      </w:pPr>
      <w:r w:rsidRPr="00190AE5">
        <w:rPr>
          <w:sz w:val="21"/>
          <w:szCs w:val="21"/>
        </w:rPr>
        <w:lastRenderedPageBreak/>
        <w:t xml:space="preserve">If AU Days Present are equal to the HAI patient days, check with your vendor as this should </w:t>
      </w:r>
      <w:r w:rsidRPr="00190AE5">
        <w:rPr>
          <w:sz w:val="21"/>
          <w:szCs w:val="21"/>
          <w:u w:val="single"/>
        </w:rPr>
        <w:t>never</w:t>
      </w:r>
      <w:r w:rsidRPr="00190AE5">
        <w:rPr>
          <w:sz w:val="21"/>
          <w:szCs w:val="21"/>
        </w:rPr>
        <w:t xml:space="preserve"> happen.</w:t>
      </w:r>
    </w:p>
    <w:p w14:paraId="2B67BCEA" w14:textId="42B06415" w:rsidR="006D7240" w:rsidRPr="00190AE5" w:rsidRDefault="006D7240" w:rsidP="006D7240">
      <w:pPr>
        <w:pStyle w:val="ListParagraph"/>
        <w:numPr>
          <w:ilvl w:val="0"/>
          <w:numId w:val="21"/>
        </w:numPr>
        <w:ind w:left="720"/>
        <w:rPr>
          <w:sz w:val="21"/>
          <w:szCs w:val="21"/>
        </w:rPr>
      </w:pPr>
      <w:r w:rsidRPr="00190AE5">
        <w:rPr>
          <w:sz w:val="21"/>
          <w:szCs w:val="21"/>
        </w:rPr>
        <w:t xml:space="preserve">If AU Days Present are lower than the HAI patient days, check with your vendor to make sure the vendor system is including all patients in the </w:t>
      </w:r>
      <w:r w:rsidR="006F7673">
        <w:rPr>
          <w:sz w:val="21"/>
          <w:szCs w:val="21"/>
        </w:rPr>
        <w:t xml:space="preserve">AU </w:t>
      </w:r>
      <w:r w:rsidRPr="00190AE5">
        <w:rPr>
          <w:sz w:val="21"/>
          <w:szCs w:val="21"/>
        </w:rPr>
        <w:t>location counts regardless of patient status (for example, observation, emergency).</w:t>
      </w:r>
    </w:p>
    <w:p w14:paraId="02F53E06" w14:textId="77777777" w:rsidR="006D7240" w:rsidRDefault="006D7240" w:rsidP="00190AE5">
      <w:pPr>
        <w:pStyle w:val="Heading5"/>
      </w:pPr>
      <w:r>
        <w:t>FacWideIN AU D</w:t>
      </w:r>
      <w:r w:rsidRPr="00A46955">
        <w:t xml:space="preserve">ays </w:t>
      </w:r>
      <w:r>
        <w:t>P</w:t>
      </w:r>
      <w:r w:rsidRPr="00A46955">
        <w:t xml:space="preserve">resent versus FacWideIN MDRO </w:t>
      </w:r>
      <w:r>
        <w:t>P</w:t>
      </w:r>
      <w:r w:rsidRPr="00A46955">
        <w:t xml:space="preserve">atient </w:t>
      </w:r>
      <w:r>
        <w:t>D</w:t>
      </w:r>
      <w:r w:rsidRPr="00A46955">
        <w:t>ays</w:t>
      </w:r>
    </w:p>
    <w:p w14:paraId="15590B5A" w14:textId="77777777" w:rsidR="006D7240" w:rsidRDefault="006D7240" w:rsidP="006D7240">
      <w:r>
        <w:t xml:space="preserve">Populate the table below using data from the AU and HAI submissions. The HAI FacWideIN patient days will come from the NHSN MDRO/CDI summary records used for </w:t>
      </w:r>
      <w:proofErr w:type="spellStart"/>
      <w:r>
        <w:t>LabID</w:t>
      </w:r>
      <w:proofErr w:type="spellEnd"/>
      <w:r>
        <w:t xml:space="preserve"> reporting. We recommend checking at least four months.</w:t>
      </w:r>
    </w:p>
    <w:p w14:paraId="141544C1" w14:textId="77777777" w:rsidR="006D7240" w:rsidRDefault="006D7240" w:rsidP="006D7240">
      <w:r w:rsidRPr="00704AD8">
        <w:rPr>
          <w:b/>
        </w:rPr>
        <w:t>Note</w:t>
      </w:r>
      <w:r>
        <w:t xml:space="preserve">: Based on internal NHSN analysis of AU and HAI data, on average, for FacWideIN the AU days present are 24% higher than the HAI patient days. </w:t>
      </w:r>
    </w:p>
    <w:tbl>
      <w:tblPr>
        <w:tblStyle w:val="TableGrid"/>
        <w:tblW w:w="9810" w:type="dxa"/>
        <w:tblInd w:w="355" w:type="dxa"/>
        <w:tblLook w:val="04A0" w:firstRow="1" w:lastRow="0" w:firstColumn="1" w:lastColumn="0" w:noHBand="0" w:noVBand="1"/>
        <w:tblCaption w:val="Table for denominator comparison"/>
        <w:tblDescription w:val="Table for entering denominator comparisons"/>
      </w:tblPr>
      <w:tblGrid>
        <w:gridCol w:w="1890"/>
        <w:gridCol w:w="2640"/>
        <w:gridCol w:w="2640"/>
        <w:gridCol w:w="2640"/>
      </w:tblGrid>
      <w:tr w:rsidR="006D7240" w:rsidRPr="001D112D" w14:paraId="25727C14" w14:textId="77777777" w:rsidTr="00ED081D">
        <w:trPr>
          <w:cantSplit/>
          <w:trHeight w:val="432"/>
          <w:tblHeader/>
        </w:trPr>
        <w:tc>
          <w:tcPr>
            <w:tcW w:w="1890" w:type="dxa"/>
            <w:tcBorders>
              <w:top w:val="single" w:sz="4" w:space="0" w:color="auto"/>
            </w:tcBorders>
            <w:vAlign w:val="center"/>
          </w:tcPr>
          <w:p w14:paraId="0EFB6E6B" w14:textId="77777777" w:rsidR="006D7240" w:rsidRPr="00190AE5" w:rsidRDefault="006D7240" w:rsidP="006D7240">
            <w:pPr>
              <w:jc w:val="center"/>
              <w:rPr>
                <w:rFonts w:cstheme="minorHAnsi"/>
                <w:b/>
                <w:szCs w:val="21"/>
              </w:rPr>
            </w:pPr>
            <w:r w:rsidRPr="00190AE5">
              <w:rPr>
                <w:rFonts w:cstheme="minorHAnsi"/>
                <w:b/>
                <w:szCs w:val="21"/>
              </w:rPr>
              <w:t>Month/Year</w:t>
            </w:r>
          </w:p>
        </w:tc>
        <w:tc>
          <w:tcPr>
            <w:tcW w:w="2640" w:type="dxa"/>
            <w:tcBorders>
              <w:top w:val="single" w:sz="4" w:space="0" w:color="auto"/>
            </w:tcBorders>
            <w:vAlign w:val="center"/>
          </w:tcPr>
          <w:p w14:paraId="5EC7AB3A" w14:textId="77777777" w:rsidR="006D7240" w:rsidRPr="00190AE5" w:rsidRDefault="006D7240" w:rsidP="006D7240">
            <w:pPr>
              <w:jc w:val="center"/>
              <w:rPr>
                <w:rFonts w:cstheme="minorHAnsi"/>
                <w:b/>
                <w:szCs w:val="21"/>
              </w:rPr>
            </w:pPr>
            <w:r w:rsidRPr="00190AE5">
              <w:rPr>
                <w:rFonts w:cstheme="minorHAnsi"/>
                <w:b/>
                <w:szCs w:val="21"/>
              </w:rPr>
              <w:t>Total AU Days Present for FacWideIN</w:t>
            </w:r>
          </w:p>
        </w:tc>
        <w:tc>
          <w:tcPr>
            <w:tcW w:w="2640" w:type="dxa"/>
            <w:tcBorders>
              <w:top w:val="single" w:sz="4" w:space="0" w:color="auto"/>
            </w:tcBorders>
            <w:vAlign w:val="center"/>
          </w:tcPr>
          <w:p w14:paraId="2D00BE4B" w14:textId="77777777" w:rsidR="006D7240" w:rsidRPr="00190AE5" w:rsidRDefault="006D7240" w:rsidP="006D7240">
            <w:pPr>
              <w:jc w:val="center"/>
              <w:rPr>
                <w:rFonts w:cstheme="minorHAnsi"/>
                <w:b/>
                <w:szCs w:val="21"/>
              </w:rPr>
            </w:pPr>
            <w:r w:rsidRPr="00190AE5">
              <w:rPr>
                <w:rFonts w:cstheme="minorHAnsi"/>
                <w:b/>
                <w:szCs w:val="21"/>
              </w:rPr>
              <w:t>Total Facility HAI Patient Days for FacWideIN MDRO/CDI</w:t>
            </w:r>
          </w:p>
        </w:tc>
        <w:tc>
          <w:tcPr>
            <w:tcW w:w="2640" w:type="dxa"/>
            <w:tcBorders>
              <w:top w:val="single" w:sz="4" w:space="0" w:color="auto"/>
            </w:tcBorders>
            <w:vAlign w:val="center"/>
          </w:tcPr>
          <w:p w14:paraId="1090FE25" w14:textId="77777777" w:rsidR="006D7240" w:rsidRPr="00190AE5" w:rsidRDefault="006D7240" w:rsidP="006D7240">
            <w:pPr>
              <w:jc w:val="center"/>
              <w:rPr>
                <w:rFonts w:cstheme="minorHAnsi"/>
                <w:b/>
                <w:szCs w:val="21"/>
              </w:rPr>
            </w:pPr>
            <w:r w:rsidRPr="00190AE5">
              <w:rPr>
                <w:rFonts w:cstheme="minorHAnsi"/>
                <w:b/>
                <w:szCs w:val="21"/>
              </w:rPr>
              <w:t>Percent Difference</w:t>
            </w:r>
          </w:p>
        </w:tc>
      </w:tr>
      <w:tr w:rsidR="006D7240" w:rsidRPr="001D112D" w14:paraId="4594BF9A" w14:textId="77777777" w:rsidTr="00ED081D">
        <w:trPr>
          <w:cantSplit/>
          <w:trHeight w:val="432"/>
        </w:trPr>
        <w:tc>
          <w:tcPr>
            <w:tcW w:w="1890" w:type="dxa"/>
            <w:tcBorders>
              <w:top w:val="single" w:sz="4" w:space="0" w:color="auto"/>
              <w:bottom w:val="single" w:sz="4" w:space="0" w:color="auto"/>
            </w:tcBorders>
          </w:tcPr>
          <w:p w14:paraId="340ECC4E" w14:textId="77777777" w:rsidR="006D7240" w:rsidRPr="00190AE5" w:rsidRDefault="006D7240" w:rsidP="006D7240">
            <w:pPr>
              <w:rPr>
                <w:rFonts w:cstheme="minorHAnsi"/>
                <w:b/>
                <w:szCs w:val="21"/>
              </w:rPr>
            </w:pPr>
          </w:p>
        </w:tc>
        <w:tc>
          <w:tcPr>
            <w:tcW w:w="2640" w:type="dxa"/>
            <w:tcBorders>
              <w:top w:val="single" w:sz="4" w:space="0" w:color="auto"/>
              <w:bottom w:val="single" w:sz="4" w:space="0" w:color="auto"/>
            </w:tcBorders>
          </w:tcPr>
          <w:p w14:paraId="36C0994A" w14:textId="77777777" w:rsidR="006D7240" w:rsidRPr="00190AE5" w:rsidRDefault="006D7240" w:rsidP="006D7240">
            <w:pPr>
              <w:rPr>
                <w:rFonts w:cstheme="minorHAnsi"/>
                <w:b/>
                <w:szCs w:val="21"/>
              </w:rPr>
            </w:pPr>
          </w:p>
        </w:tc>
        <w:tc>
          <w:tcPr>
            <w:tcW w:w="2640" w:type="dxa"/>
            <w:tcBorders>
              <w:top w:val="single" w:sz="4" w:space="0" w:color="auto"/>
              <w:bottom w:val="single" w:sz="4" w:space="0" w:color="auto"/>
            </w:tcBorders>
          </w:tcPr>
          <w:p w14:paraId="15C57444" w14:textId="77777777" w:rsidR="006D7240" w:rsidRPr="00190AE5" w:rsidRDefault="006D7240" w:rsidP="006D7240">
            <w:pPr>
              <w:rPr>
                <w:rFonts w:cstheme="minorHAnsi"/>
                <w:b/>
                <w:szCs w:val="21"/>
              </w:rPr>
            </w:pPr>
          </w:p>
        </w:tc>
        <w:tc>
          <w:tcPr>
            <w:tcW w:w="2640" w:type="dxa"/>
            <w:tcBorders>
              <w:top w:val="single" w:sz="4" w:space="0" w:color="auto"/>
              <w:bottom w:val="single" w:sz="4" w:space="0" w:color="auto"/>
            </w:tcBorders>
          </w:tcPr>
          <w:p w14:paraId="530A1A03" w14:textId="77777777" w:rsidR="006D7240" w:rsidRPr="00190AE5" w:rsidRDefault="006D7240" w:rsidP="006D7240">
            <w:pPr>
              <w:rPr>
                <w:rFonts w:cstheme="minorHAnsi"/>
                <w:b/>
                <w:szCs w:val="21"/>
              </w:rPr>
            </w:pPr>
          </w:p>
        </w:tc>
      </w:tr>
      <w:tr w:rsidR="006D7240" w:rsidRPr="001D112D" w14:paraId="2030AD48" w14:textId="77777777" w:rsidTr="00ED081D">
        <w:trPr>
          <w:cantSplit/>
          <w:trHeight w:val="432"/>
        </w:trPr>
        <w:tc>
          <w:tcPr>
            <w:tcW w:w="1890" w:type="dxa"/>
            <w:tcBorders>
              <w:top w:val="single" w:sz="4" w:space="0" w:color="auto"/>
              <w:bottom w:val="single" w:sz="4" w:space="0" w:color="auto"/>
            </w:tcBorders>
          </w:tcPr>
          <w:p w14:paraId="768760F7" w14:textId="77777777" w:rsidR="006D7240" w:rsidRPr="00190AE5" w:rsidRDefault="006D7240" w:rsidP="006D7240">
            <w:pPr>
              <w:rPr>
                <w:rFonts w:cstheme="minorHAnsi"/>
                <w:b/>
                <w:szCs w:val="21"/>
              </w:rPr>
            </w:pPr>
          </w:p>
        </w:tc>
        <w:tc>
          <w:tcPr>
            <w:tcW w:w="2640" w:type="dxa"/>
            <w:tcBorders>
              <w:top w:val="single" w:sz="4" w:space="0" w:color="auto"/>
              <w:bottom w:val="single" w:sz="4" w:space="0" w:color="auto"/>
            </w:tcBorders>
          </w:tcPr>
          <w:p w14:paraId="429FE4C2" w14:textId="77777777" w:rsidR="006D7240" w:rsidRPr="00190AE5" w:rsidRDefault="006D7240" w:rsidP="006D7240">
            <w:pPr>
              <w:rPr>
                <w:rFonts w:cstheme="minorHAnsi"/>
                <w:b/>
                <w:szCs w:val="21"/>
              </w:rPr>
            </w:pPr>
          </w:p>
        </w:tc>
        <w:tc>
          <w:tcPr>
            <w:tcW w:w="2640" w:type="dxa"/>
            <w:tcBorders>
              <w:top w:val="single" w:sz="4" w:space="0" w:color="auto"/>
              <w:bottom w:val="single" w:sz="4" w:space="0" w:color="auto"/>
            </w:tcBorders>
          </w:tcPr>
          <w:p w14:paraId="0B17B83A" w14:textId="77777777" w:rsidR="006D7240" w:rsidRPr="00190AE5" w:rsidRDefault="006D7240" w:rsidP="006D7240">
            <w:pPr>
              <w:rPr>
                <w:rFonts w:cstheme="minorHAnsi"/>
                <w:b/>
                <w:szCs w:val="21"/>
              </w:rPr>
            </w:pPr>
          </w:p>
        </w:tc>
        <w:tc>
          <w:tcPr>
            <w:tcW w:w="2640" w:type="dxa"/>
            <w:tcBorders>
              <w:top w:val="single" w:sz="4" w:space="0" w:color="auto"/>
              <w:bottom w:val="single" w:sz="4" w:space="0" w:color="auto"/>
            </w:tcBorders>
          </w:tcPr>
          <w:p w14:paraId="28034311" w14:textId="77777777" w:rsidR="006D7240" w:rsidRPr="00190AE5" w:rsidRDefault="006D7240" w:rsidP="006D7240">
            <w:pPr>
              <w:rPr>
                <w:rFonts w:cstheme="minorHAnsi"/>
                <w:b/>
                <w:szCs w:val="21"/>
              </w:rPr>
            </w:pPr>
          </w:p>
        </w:tc>
      </w:tr>
      <w:tr w:rsidR="006D7240" w:rsidRPr="001D112D" w14:paraId="0E1EFF5C" w14:textId="77777777" w:rsidTr="00ED081D">
        <w:trPr>
          <w:cantSplit/>
          <w:trHeight w:val="432"/>
        </w:trPr>
        <w:tc>
          <w:tcPr>
            <w:tcW w:w="1890" w:type="dxa"/>
            <w:tcBorders>
              <w:top w:val="single" w:sz="4" w:space="0" w:color="auto"/>
              <w:bottom w:val="single" w:sz="4" w:space="0" w:color="auto"/>
            </w:tcBorders>
          </w:tcPr>
          <w:p w14:paraId="06746F4A" w14:textId="77777777" w:rsidR="006D7240" w:rsidRPr="00190AE5" w:rsidRDefault="006D7240" w:rsidP="006D7240">
            <w:pPr>
              <w:rPr>
                <w:rFonts w:cstheme="minorHAnsi"/>
                <w:b/>
                <w:szCs w:val="21"/>
              </w:rPr>
            </w:pPr>
          </w:p>
        </w:tc>
        <w:tc>
          <w:tcPr>
            <w:tcW w:w="2640" w:type="dxa"/>
            <w:tcBorders>
              <w:top w:val="single" w:sz="4" w:space="0" w:color="auto"/>
              <w:bottom w:val="single" w:sz="4" w:space="0" w:color="auto"/>
            </w:tcBorders>
          </w:tcPr>
          <w:p w14:paraId="3BDE0BFA" w14:textId="77777777" w:rsidR="006D7240" w:rsidRPr="00190AE5" w:rsidRDefault="006D7240" w:rsidP="006D7240">
            <w:pPr>
              <w:rPr>
                <w:rFonts w:cstheme="minorHAnsi"/>
                <w:b/>
                <w:szCs w:val="21"/>
              </w:rPr>
            </w:pPr>
          </w:p>
        </w:tc>
        <w:tc>
          <w:tcPr>
            <w:tcW w:w="2640" w:type="dxa"/>
            <w:tcBorders>
              <w:top w:val="single" w:sz="4" w:space="0" w:color="auto"/>
              <w:bottom w:val="single" w:sz="4" w:space="0" w:color="auto"/>
            </w:tcBorders>
          </w:tcPr>
          <w:p w14:paraId="507E4219" w14:textId="77777777" w:rsidR="006D7240" w:rsidRPr="00190AE5" w:rsidRDefault="006D7240" w:rsidP="006D7240">
            <w:pPr>
              <w:rPr>
                <w:rFonts w:cstheme="minorHAnsi"/>
                <w:b/>
                <w:szCs w:val="21"/>
              </w:rPr>
            </w:pPr>
          </w:p>
        </w:tc>
        <w:tc>
          <w:tcPr>
            <w:tcW w:w="2640" w:type="dxa"/>
            <w:tcBorders>
              <w:top w:val="single" w:sz="4" w:space="0" w:color="auto"/>
              <w:bottom w:val="single" w:sz="4" w:space="0" w:color="auto"/>
            </w:tcBorders>
          </w:tcPr>
          <w:p w14:paraId="16BA8F7A" w14:textId="77777777" w:rsidR="006D7240" w:rsidRPr="00190AE5" w:rsidRDefault="006D7240" w:rsidP="006D7240">
            <w:pPr>
              <w:rPr>
                <w:rFonts w:cstheme="minorHAnsi"/>
                <w:b/>
                <w:szCs w:val="21"/>
              </w:rPr>
            </w:pPr>
          </w:p>
        </w:tc>
      </w:tr>
      <w:tr w:rsidR="006D7240" w:rsidRPr="001D112D" w14:paraId="424C9A31" w14:textId="77777777" w:rsidTr="00ED081D">
        <w:trPr>
          <w:cantSplit/>
          <w:trHeight w:val="432"/>
        </w:trPr>
        <w:tc>
          <w:tcPr>
            <w:tcW w:w="1890" w:type="dxa"/>
            <w:tcBorders>
              <w:top w:val="single" w:sz="4" w:space="0" w:color="auto"/>
            </w:tcBorders>
          </w:tcPr>
          <w:p w14:paraId="56371D33" w14:textId="77777777" w:rsidR="006D7240" w:rsidRPr="00190AE5" w:rsidRDefault="006D7240" w:rsidP="006D7240">
            <w:pPr>
              <w:rPr>
                <w:rFonts w:cstheme="minorHAnsi"/>
                <w:b/>
                <w:szCs w:val="21"/>
              </w:rPr>
            </w:pPr>
          </w:p>
        </w:tc>
        <w:tc>
          <w:tcPr>
            <w:tcW w:w="2640" w:type="dxa"/>
            <w:tcBorders>
              <w:top w:val="single" w:sz="4" w:space="0" w:color="auto"/>
            </w:tcBorders>
          </w:tcPr>
          <w:p w14:paraId="1B6810E3" w14:textId="77777777" w:rsidR="006D7240" w:rsidRPr="00190AE5" w:rsidRDefault="006D7240" w:rsidP="006D7240">
            <w:pPr>
              <w:rPr>
                <w:rFonts w:cstheme="minorHAnsi"/>
                <w:b/>
                <w:szCs w:val="21"/>
              </w:rPr>
            </w:pPr>
          </w:p>
        </w:tc>
        <w:tc>
          <w:tcPr>
            <w:tcW w:w="2640" w:type="dxa"/>
            <w:tcBorders>
              <w:top w:val="single" w:sz="4" w:space="0" w:color="auto"/>
            </w:tcBorders>
          </w:tcPr>
          <w:p w14:paraId="025C8266" w14:textId="77777777" w:rsidR="006D7240" w:rsidRPr="00190AE5" w:rsidRDefault="006D7240" w:rsidP="006D7240">
            <w:pPr>
              <w:rPr>
                <w:rFonts w:cstheme="minorHAnsi"/>
                <w:b/>
                <w:szCs w:val="21"/>
              </w:rPr>
            </w:pPr>
          </w:p>
        </w:tc>
        <w:tc>
          <w:tcPr>
            <w:tcW w:w="2640" w:type="dxa"/>
            <w:tcBorders>
              <w:top w:val="single" w:sz="4" w:space="0" w:color="auto"/>
            </w:tcBorders>
          </w:tcPr>
          <w:p w14:paraId="320343CB" w14:textId="77777777" w:rsidR="006D7240" w:rsidRPr="00190AE5" w:rsidRDefault="006D7240" w:rsidP="006D7240">
            <w:pPr>
              <w:rPr>
                <w:rFonts w:cstheme="minorHAnsi"/>
                <w:b/>
                <w:szCs w:val="21"/>
              </w:rPr>
            </w:pPr>
          </w:p>
        </w:tc>
      </w:tr>
    </w:tbl>
    <w:p w14:paraId="0FC4134F" w14:textId="3EEDC805" w:rsidR="006D7240" w:rsidRPr="00190AE5" w:rsidRDefault="006D7240" w:rsidP="006D7240">
      <w:pPr>
        <w:pStyle w:val="ListParagraph"/>
        <w:numPr>
          <w:ilvl w:val="0"/>
          <w:numId w:val="22"/>
        </w:numPr>
        <w:ind w:left="720"/>
        <w:rPr>
          <w:sz w:val="21"/>
          <w:szCs w:val="21"/>
        </w:rPr>
      </w:pPr>
      <w:r w:rsidRPr="00190AE5">
        <w:rPr>
          <w:sz w:val="21"/>
          <w:szCs w:val="21"/>
        </w:rPr>
        <w:t xml:space="preserve">If the percent difference is </w:t>
      </w:r>
      <w:proofErr w:type="gramStart"/>
      <w:r w:rsidRPr="00190AE5">
        <w:rPr>
          <w:sz w:val="21"/>
          <w:szCs w:val="21"/>
        </w:rPr>
        <w:t>considerably higher</w:t>
      </w:r>
      <w:proofErr w:type="gramEnd"/>
      <w:r w:rsidRPr="00190AE5">
        <w:rPr>
          <w:sz w:val="21"/>
          <w:szCs w:val="21"/>
        </w:rPr>
        <w:t xml:space="preserve"> than average, is the vendor system including additional locations in the HAI patient day counts? For AU reporting, the vendor system should only include locations in FacWideIN where </w:t>
      </w:r>
      <w:r w:rsidR="00545660">
        <w:rPr>
          <w:sz w:val="21"/>
          <w:szCs w:val="21"/>
        </w:rPr>
        <w:t xml:space="preserve">the system can accurately electronically capture </w:t>
      </w:r>
      <w:r w:rsidRPr="00190AE5">
        <w:rPr>
          <w:sz w:val="21"/>
          <w:szCs w:val="21"/>
        </w:rPr>
        <w:t xml:space="preserve">both the numerator and denominator so some locations might </w:t>
      </w:r>
      <w:proofErr w:type="gramStart"/>
      <w:r w:rsidRPr="00190AE5">
        <w:rPr>
          <w:sz w:val="21"/>
          <w:szCs w:val="21"/>
        </w:rPr>
        <w:t>be excluded</w:t>
      </w:r>
      <w:proofErr w:type="gramEnd"/>
      <w:r w:rsidRPr="00190AE5">
        <w:rPr>
          <w:sz w:val="21"/>
          <w:szCs w:val="21"/>
        </w:rPr>
        <w:t xml:space="preserve"> from AU FacWideIN and included in HAI FacWideIN.</w:t>
      </w:r>
    </w:p>
    <w:p w14:paraId="70257871" w14:textId="77777777" w:rsidR="006D7240" w:rsidRDefault="006D7240" w:rsidP="006D7240">
      <w:pPr>
        <w:pStyle w:val="ListParagraph"/>
        <w:ind w:left="2160"/>
      </w:pPr>
    </w:p>
    <w:p w14:paraId="688A7079" w14:textId="67E78227" w:rsidR="006D7240" w:rsidRDefault="006D7240" w:rsidP="00190AE5">
      <w:pPr>
        <w:pStyle w:val="Heading5"/>
      </w:pPr>
      <w:r>
        <w:t>FacWideIN AU Admissions</w:t>
      </w:r>
      <w:r w:rsidRPr="006C2266">
        <w:t xml:space="preserve"> versus FacWideIN MDRO </w:t>
      </w:r>
      <w:r>
        <w:t>Admissions</w:t>
      </w:r>
      <w:r w:rsidR="00F32F02">
        <w:t xml:space="preserve"> and AR Option Admissions</w:t>
      </w:r>
    </w:p>
    <w:p w14:paraId="2209C1AD" w14:textId="006EBD16" w:rsidR="006D7240" w:rsidRPr="00190AE5" w:rsidRDefault="006D7240" w:rsidP="006D7240">
      <w:pPr>
        <w:rPr>
          <w:rFonts w:cstheme="minorHAnsi"/>
        </w:rPr>
      </w:pPr>
      <w:r w:rsidRPr="00190AE5">
        <w:rPr>
          <w:rFonts w:cstheme="minorHAnsi"/>
        </w:rPr>
        <w:t>Populate the table below using data from the AU</w:t>
      </w:r>
      <w:r w:rsidR="00F32F02">
        <w:rPr>
          <w:rFonts w:cstheme="minorHAnsi"/>
        </w:rPr>
        <w:t>,</w:t>
      </w:r>
      <w:r w:rsidRPr="00190AE5">
        <w:rPr>
          <w:rFonts w:cstheme="minorHAnsi"/>
        </w:rPr>
        <w:t xml:space="preserve"> HAI</w:t>
      </w:r>
      <w:r w:rsidR="00F32F02">
        <w:rPr>
          <w:rFonts w:cstheme="minorHAnsi"/>
        </w:rPr>
        <w:t>, and AR Option (if applicable)</w:t>
      </w:r>
      <w:r w:rsidRPr="00190AE5">
        <w:rPr>
          <w:rFonts w:cstheme="minorHAnsi"/>
        </w:rPr>
        <w:t xml:space="preserve"> submissions. The HAI FacWideIN admissions will come from the NHSN MDRO/CDI summary records used for </w:t>
      </w:r>
      <w:proofErr w:type="spellStart"/>
      <w:r w:rsidRPr="00190AE5">
        <w:rPr>
          <w:rFonts w:cstheme="minorHAnsi"/>
        </w:rPr>
        <w:t>LabID</w:t>
      </w:r>
      <w:proofErr w:type="spellEnd"/>
      <w:r w:rsidRPr="00190AE5">
        <w:rPr>
          <w:rFonts w:cstheme="minorHAnsi"/>
        </w:rPr>
        <w:t xml:space="preserve"> reporting.</w:t>
      </w:r>
      <w:r w:rsidR="00F32F02">
        <w:rPr>
          <w:rFonts w:cstheme="minorHAnsi"/>
        </w:rPr>
        <w:t xml:space="preserve"> The AR Option admissions will come from the </w:t>
      </w:r>
      <w:hyperlink r:id="rId47" w:history="1">
        <w:r w:rsidR="00F32F02" w:rsidRPr="00F32F02">
          <w:rPr>
            <w:rStyle w:val="Hyperlink"/>
            <w:rFonts w:cstheme="minorHAnsi"/>
          </w:rPr>
          <w:t>AR Option denominator line list</w:t>
        </w:r>
      </w:hyperlink>
      <w:r w:rsidR="00F32F02">
        <w:rPr>
          <w:rFonts w:cstheme="minorHAnsi"/>
        </w:rPr>
        <w:t>.</w:t>
      </w:r>
      <w:r w:rsidRPr="00190AE5">
        <w:rPr>
          <w:rFonts w:cstheme="minorHAnsi"/>
        </w:rPr>
        <w:t xml:space="preserve"> We recommend checking at least four months.</w:t>
      </w:r>
    </w:p>
    <w:tbl>
      <w:tblPr>
        <w:tblStyle w:val="TableGrid"/>
        <w:tblW w:w="10260" w:type="dxa"/>
        <w:tblInd w:w="355" w:type="dxa"/>
        <w:tblLook w:val="04A0" w:firstRow="1" w:lastRow="0" w:firstColumn="1" w:lastColumn="0" w:noHBand="0" w:noVBand="1"/>
        <w:tblCaption w:val="Table for denominators comparison"/>
        <w:tblDescription w:val="Table for entering denominators"/>
      </w:tblPr>
      <w:tblGrid>
        <w:gridCol w:w="2565"/>
        <w:gridCol w:w="2565"/>
        <w:gridCol w:w="2565"/>
        <w:gridCol w:w="2565"/>
      </w:tblGrid>
      <w:tr w:rsidR="00CE4FC2" w:rsidRPr="00190AE5" w14:paraId="5D512BDC" w14:textId="7EABCBA0" w:rsidTr="00E558E8">
        <w:trPr>
          <w:cantSplit/>
          <w:trHeight w:val="432"/>
          <w:tblHeader/>
        </w:trPr>
        <w:tc>
          <w:tcPr>
            <w:tcW w:w="2565" w:type="dxa"/>
            <w:tcBorders>
              <w:top w:val="single" w:sz="4" w:space="0" w:color="auto"/>
            </w:tcBorders>
            <w:vAlign w:val="center"/>
          </w:tcPr>
          <w:p w14:paraId="6B57DD04" w14:textId="77777777" w:rsidR="00CE4FC2" w:rsidRPr="00190AE5" w:rsidRDefault="00CE4FC2" w:rsidP="006D7240">
            <w:pPr>
              <w:jc w:val="center"/>
              <w:rPr>
                <w:rFonts w:cstheme="minorHAnsi"/>
                <w:b/>
              </w:rPr>
            </w:pPr>
            <w:r w:rsidRPr="00190AE5">
              <w:rPr>
                <w:rFonts w:cstheme="minorHAnsi"/>
                <w:b/>
              </w:rPr>
              <w:t>Month/Year</w:t>
            </w:r>
          </w:p>
        </w:tc>
        <w:tc>
          <w:tcPr>
            <w:tcW w:w="2565" w:type="dxa"/>
            <w:tcBorders>
              <w:top w:val="single" w:sz="4" w:space="0" w:color="auto"/>
            </w:tcBorders>
            <w:vAlign w:val="center"/>
          </w:tcPr>
          <w:p w14:paraId="24C6D41F" w14:textId="77777777" w:rsidR="00CE4FC2" w:rsidRPr="00190AE5" w:rsidRDefault="00CE4FC2" w:rsidP="006D7240">
            <w:pPr>
              <w:jc w:val="center"/>
              <w:rPr>
                <w:rFonts w:cstheme="minorHAnsi"/>
                <w:b/>
              </w:rPr>
            </w:pPr>
            <w:r w:rsidRPr="00190AE5">
              <w:rPr>
                <w:rFonts w:cstheme="minorHAnsi"/>
                <w:b/>
              </w:rPr>
              <w:t>Total AU Admissions for FacWideIN</w:t>
            </w:r>
          </w:p>
        </w:tc>
        <w:tc>
          <w:tcPr>
            <w:tcW w:w="2565" w:type="dxa"/>
            <w:tcBorders>
              <w:top w:val="single" w:sz="4" w:space="0" w:color="auto"/>
            </w:tcBorders>
            <w:vAlign w:val="center"/>
          </w:tcPr>
          <w:p w14:paraId="7AC471DD" w14:textId="77777777" w:rsidR="00CE4FC2" w:rsidRPr="00190AE5" w:rsidRDefault="00CE4FC2" w:rsidP="006D7240">
            <w:pPr>
              <w:jc w:val="center"/>
              <w:rPr>
                <w:rFonts w:cstheme="minorHAnsi"/>
                <w:b/>
              </w:rPr>
            </w:pPr>
            <w:r w:rsidRPr="00190AE5">
              <w:rPr>
                <w:rFonts w:cstheme="minorHAnsi"/>
                <w:b/>
              </w:rPr>
              <w:t>Total Facility HAI Admissions for FacWideIN MDRO/CDI</w:t>
            </w:r>
          </w:p>
        </w:tc>
        <w:tc>
          <w:tcPr>
            <w:tcW w:w="2565" w:type="dxa"/>
            <w:tcBorders>
              <w:top w:val="single" w:sz="4" w:space="0" w:color="auto"/>
            </w:tcBorders>
            <w:vAlign w:val="center"/>
          </w:tcPr>
          <w:p w14:paraId="1FAFB668" w14:textId="27FA50C5" w:rsidR="00CE4FC2" w:rsidRPr="00190AE5" w:rsidRDefault="00CE4FC2" w:rsidP="00CE4FC2">
            <w:pPr>
              <w:jc w:val="center"/>
              <w:rPr>
                <w:rFonts w:cstheme="minorHAnsi"/>
                <w:b/>
              </w:rPr>
            </w:pPr>
            <w:r>
              <w:rPr>
                <w:rFonts w:cstheme="minorHAnsi"/>
                <w:b/>
              </w:rPr>
              <w:t>Total AR Admissions for FacWideIN</w:t>
            </w:r>
          </w:p>
        </w:tc>
      </w:tr>
      <w:tr w:rsidR="00CE4FC2" w:rsidRPr="00190AE5" w14:paraId="7F5C4F97" w14:textId="32F5823B" w:rsidTr="00E558E8">
        <w:trPr>
          <w:cantSplit/>
          <w:trHeight w:val="432"/>
        </w:trPr>
        <w:tc>
          <w:tcPr>
            <w:tcW w:w="2565" w:type="dxa"/>
            <w:tcBorders>
              <w:top w:val="single" w:sz="4" w:space="0" w:color="auto"/>
              <w:bottom w:val="single" w:sz="4" w:space="0" w:color="auto"/>
            </w:tcBorders>
          </w:tcPr>
          <w:p w14:paraId="0E0C8B70" w14:textId="77777777" w:rsidR="00CE4FC2" w:rsidRPr="00190AE5" w:rsidRDefault="00CE4FC2" w:rsidP="006D7240">
            <w:pPr>
              <w:rPr>
                <w:rFonts w:cstheme="minorHAnsi"/>
                <w:b/>
              </w:rPr>
            </w:pPr>
          </w:p>
        </w:tc>
        <w:tc>
          <w:tcPr>
            <w:tcW w:w="2565" w:type="dxa"/>
            <w:tcBorders>
              <w:top w:val="single" w:sz="4" w:space="0" w:color="auto"/>
              <w:bottom w:val="single" w:sz="4" w:space="0" w:color="auto"/>
            </w:tcBorders>
          </w:tcPr>
          <w:p w14:paraId="124E0C7A" w14:textId="77777777" w:rsidR="00CE4FC2" w:rsidRPr="00190AE5" w:rsidRDefault="00CE4FC2" w:rsidP="006D7240">
            <w:pPr>
              <w:rPr>
                <w:rFonts w:cstheme="minorHAnsi"/>
                <w:b/>
              </w:rPr>
            </w:pPr>
          </w:p>
        </w:tc>
        <w:tc>
          <w:tcPr>
            <w:tcW w:w="2565" w:type="dxa"/>
            <w:tcBorders>
              <w:top w:val="single" w:sz="4" w:space="0" w:color="auto"/>
              <w:bottom w:val="single" w:sz="4" w:space="0" w:color="auto"/>
            </w:tcBorders>
          </w:tcPr>
          <w:p w14:paraId="57414E0E" w14:textId="77777777" w:rsidR="00CE4FC2" w:rsidRPr="00190AE5" w:rsidRDefault="00CE4FC2" w:rsidP="006D7240">
            <w:pPr>
              <w:rPr>
                <w:rFonts w:cstheme="minorHAnsi"/>
                <w:b/>
              </w:rPr>
            </w:pPr>
          </w:p>
        </w:tc>
        <w:tc>
          <w:tcPr>
            <w:tcW w:w="2565" w:type="dxa"/>
            <w:tcBorders>
              <w:top w:val="single" w:sz="4" w:space="0" w:color="auto"/>
              <w:bottom w:val="single" w:sz="4" w:space="0" w:color="auto"/>
            </w:tcBorders>
          </w:tcPr>
          <w:p w14:paraId="0F91F218" w14:textId="77777777" w:rsidR="00CE4FC2" w:rsidRPr="00190AE5" w:rsidRDefault="00CE4FC2" w:rsidP="006D7240">
            <w:pPr>
              <w:rPr>
                <w:rFonts w:cstheme="minorHAnsi"/>
                <w:b/>
              </w:rPr>
            </w:pPr>
          </w:p>
        </w:tc>
      </w:tr>
      <w:tr w:rsidR="00CE4FC2" w:rsidRPr="00190AE5" w14:paraId="44547CEB" w14:textId="6D014255" w:rsidTr="00E558E8">
        <w:trPr>
          <w:cantSplit/>
          <w:trHeight w:val="432"/>
        </w:trPr>
        <w:tc>
          <w:tcPr>
            <w:tcW w:w="2565" w:type="dxa"/>
            <w:tcBorders>
              <w:top w:val="single" w:sz="4" w:space="0" w:color="auto"/>
              <w:bottom w:val="single" w:sz="4" w:space="0" w:color="auto"/>
            </w:tcBorders>
          </w:tcPr>
          <w:p w14:paraId="13665243" w14:textId="77777777" w:rsidR="00CE4FC2" w:rsidRPr="00190AE5" w:rsidRDefault="00CE4FC2" w:rsidP="006D7240">
            <w:pPr>
              <w:rPr>
                <w:rFonts w:cstheme="minorHAnsi"/>
                <w:b/>
              </w:rPr>
            </w:pPr>
          </w:p>
        </w:tc>
        <w:tc>
          <w:tcPr>
            <w:tcW w:w="2565" w:type="dxa"/>
            <w:tcBorders>
              <w:top w:val="single" w:sz="4" w:space="0" w:color="auto"/>
              <w:bottom w:val="single" w:sz="4" w:space="0" w:color="auto"/>
            </w:tcBorders>
          </w:tcPr>
          <w:p w14:paraId="576E984C" w14:textId="77777777" w:rsidR="00CE4FC2" w:rsidRPr="00190AE5" w:rsidRDefault="00CE4FC2" w:rsidP="006D7240">
            <w:pPr>
              <w:rPr>
                <w:rFonts w:cstheme="minorHAnsi"/>
                <w:b/>
              </w:rPr>
            </w:pPr>
          </w:p>
        </w:tc>
        <w:tc>
          <w:tcPr>
            <w:tcW w:w="2565" w:type="dxa"/>
            <w:tcBorders>
              <w:top w:val="single" w:sz="4" w:space="0" w:color="auto"/>
              <w:bottom w:val="single" w:sz="4" w:space="0" w:color="auto"/>
            </w:tcBorders>
          </w:tcPr>
          <w:p w14:paraId="48D59225" w14:textId="77777777" w:rsidR="00CE4FC2" w:rsidRPr="00190AE5" w:rsidRDefault="00CE4FC2" w:rsidP="006D7240">
            <w:pPr>
              <w:rPr>
                <w:rFonts w:cstheme="minorHAnsi"/>
                <w:b/>
              </w:rPr>
            </w:pPr>
          </w:p>
        </w:tc>
        <w:tc>
          <w:tcPr>
            <w:tcW w:w="2565" w:type="dxa"/>
            <w:tcBorders>
              <w:top w:val="single" w:sz="4" w:space="0" w:color="auto"/>
              <w:bottom w:val="single" w:sz="4" w:space="0" w:color="auto"/>
            </w:tcBorders>
          </w:tcPr>
          <w:p w14:paraId="645A98E2" w14:textId="77777777" w:rsidR="00CE4FC2" w:rsidRPr="00190AE5" w:rsidRDefault="00CE4FC2" w:rsidP="006D7240">
            <w:pPr>
              <w:rPr>
                <w:rFonts w:cstheme="minorHAnsi"/>
                <w:b/>
              </w:rPr>
            </w:pPr>
          </w:p>
        </w:tc>
      </w:tr>
      <w:tr w:rsidR="00CE4FC2" w:rsidRPr="00190AE5" w14:paraId="65651D81" w14:textId="02A8066C" w:rsidTr="00E558E8">
        <w:trPr>
          <w:cantSplit/>
          <w:trHeight w:val="432"/>
        </w:trPr>
        <w:tc>
          <w:tcPr>
            <w:tcW w:w="2565" w:type="dxa"/>
            <w:tcBorders>
              <w:top w:val="single" w:sz="4" w:space="0" w:color="auto"/>
              <w:bottom w:val="single" w:sz="4" w:space="0" w:color="auto"/>
            </w:tcBorders>
          </w:tcPr>
          <w:p w14:paraId="7849174A" w14:textId="77777777" w:rsidR="00CE4FC2" w:rsidRPr="00190AE5" w:rsidRDefault="00CE4FC2" w:rsidP="006D7240">
            <w:pPr>
              <w:rPr>
                <w:rFonts w:cstheme="minorHAnsi"/>
                <w:b/>
              </w:rPr>
            </w:pPr>
          </w:p>
        </w:tc>
        <w:tc>
          <w:tcPr>
            <w:tcW w:w="2565" w:type="dxa"/>
            <w:tcBorders>
              <w:top w:val="single" w:sz="4" w:space="0" w:color="auto"/>
              <w:bottom w:val="single" w:sz="4" w:space="0" w:color="auto"/>
            </w:tcBorders>
          </w:tcPr>
          <w:p w14:paraId="270F5C82" w14:textId="77777777" w:rsidR="00CE4FC2" w:rsidRPr="00190AE5" w:rsidRDefault="00CE4FC2" w:rsidP="006D7240">
            <w:pPr>
              <w:rPr>
                <w:rFonts w:cstheme="minorHAnsi"/>
                <w:b/>
              </w:rPr>
            </w:pPr>
          </w:p>
        </w:tc>
        <w:tc>
          <w:tcPr>
            <w:tcW w:w="2565" w:type="dxa"/>
            <w:tcBorders>
              <w:top w:val="single" w:sz="4" w:space="0" w:color="auto"/>
              <w:bottom w:val="single" w:sz="4" w:space="0" w:color="auto"/>
            </w:tcBorders>
          </w:tcPr>
          <w:p w14:paraId="135CACFD" w14:textId="77777777" w:rsidR="00CE4FC2" w:rsidRPr="00190AE5" w:rsidRDefault="00CE4FC2" w:rsidP="006D7240">
            <w:pPr>
              <w:rPr>
                <w:rFonts w:cstheme="minorHAnsi"/>
                <w:b/>
              </w:rPr>
            </w:pPr>
          </w:p>
        </w:tc>
        <w:tc>
          <w:tcPr>
            <w:tcW w:w="2565" w:type="dxa"/>
            <w:tcBorders>
              <w:top w:val="single" w:sz="4" w:space="0" w:color="auto"/>
              <w:bottom w:val="single" w:sz="4" w:space="0" w:color="auto"/>
            </w:tcBorders>
          </w:tcPr>
          <w:p w14:paraId="030B1B6E" w14:textId="77777777" w:rsidR="00CE4FC2" w:rsidRPr="00190AE5" w:rsidRDefault="00CE4FC2" w:rsidP="006D7240">
            <w:pPr>
              <w:rPr>
                <w:rFonts w:cstheme="minorHAnsi"/>
                <w:b/>
              </w:rPr>
            </w:pPr>
          </w:p>
        </w:tc>
      </w:tr>
      <w:tr w:rsidR="00CE4FC2" w:rsidRPr="00190AE5" w14:paraId="278322D2" w14:textId="5C27F54C" w:rsidTr="00E558E8">
        <w:trPr>
          <w:cantSplit/>
          <w:trHeight w:val="432"/>
        </w:trPr>
        <w:tc>
          <w:tcPr>
            <w:tcW w:w="2565" w:type="dxa"/>
            <w:tcBorders>
              <w:top w:val="single" w:sz="4" w:space="0" w:color="auto"/>
            </w:tcBorders>
          </w:tcPr>
          <w:p w14:paraId="7329D585" w14:textId="77777777" w:rsidR="00CE4FC2" w:rsidRPr="00190AE5" w:rsidRDefault="00CE4FC2" w:rsidP="006D7240">
            <w:pPr>
              <w:rPr>
                <w:rFonts w:cstheme="minorHAnsi"/>
                <w:b/>
              </w:rPr>
            </w:pPr>
          </w:p>
        </w:tc>
        <w:tc>
          <w:tcPr>
            <w:tcW w:w="2565" w:type="dxa"/>
            <w:tcBorders>
              <w:top w:val="single" w:sz="4" w:space="0" w:color="auto"/>
            </w:tcBorders>
          </w:tcPr>
          <w:p w14:paraId="26F15298" w14:textId="77777777" w:rsidR="00CE4FC2" w:rsidRPr="00190AE5" w:rsidRDefault="00CE4FC2" w:rsidP="006D7240">
            <w:pPr>
              <w:rPr>
                <w:rFonts w:cstheme="minorHAnsi"/>
                <w:b/>
              </w:rPr>
            </w:pPr>
          </w:p>
        </w:tc>
        <w:tc>
          <w:tcPr>
            <w:tcW w:w="2565" w:type="dxa"/>
            <w:tcBorders>
              <w:top w:val="single" w:sz="4" w:space="0" w:color="auto"/>
            </w:tcBorders>
          </w:tcPr>
          <w:p w14:paraId="12FA4DB0" w14:textId="77777777" w:rsidR="00CE4FC2" w:rsidRPr="00190AE5" w:rsidRDefault="00CE4FC2" w:rsidP="006D7240">
            <w:pPr>
              <w:rPr>
                <w:rFonts w:cstheme="minorHAnsi"/>
                <w:b/>
              </w:rPr>
            </w:pPr>
          </w:p>
        </w:tc>
        <w:tc>
          <w:tcPr>
            <w:tcW w:w="2565" w:type="dxa"/>
            <w:tcBorders>
              <w:top w:val="single" w:sz="4" w:space="0" w:color="auto"/>
            </w:tcBorders>
          </w:tcPr>
          <w:p w14:paraId="03FA4724" w14:textId="77777777" w:rsidR="00CE4FC2" w:rsidRPr="00190AE5" w:rsidRDefault="00CE4FC2" w:rsidP="006D7240">
            <w:pPr>
              <w:rPr>
                <w:rFonts w:cstheme="minorHAnsi"/>
                <w:b/>
              </w:rPr>
            </w:pPr>
          </w:p>
        </w:tc>
      </w:tr>
    </w:tbl>
    <w:p w14:paraId="6CDB8982" w14:textId="0750F5C6" w:rsidR="006D7240" w:rsidRDefault="006D7240" w:rsidP="006D7240">
      <w:pPr>
        <w:pStyle w:val="ListParagraph"/>
        <w:numPr>
          <w:ilvl w:val="0"/>
          <w:numId w:val="23"/>
        </w:numPr>
        <w:ind w:left="720"/>
        <w:rPr>
          <w:sz w:val="21"/>
          <w:szCs w:val="21"/>
        </w:rPr>
      </w:pPr>
      <w:r w:rsidRPr="00190AE5">
        <w:rPr>
          <w:sz w:val="21"/>
          <w:szCs w:val="21"/>
        </w:rPr>
        <w:t xml:space="preserve">Are the admissions numbers reported within the AU Option and the MDRO/CDI Module </w:t>
      </w:r>
      <w:proofErr w:type="gramStart"/>
      <w:r w:rsidRPr="00190AE5">
        <w:rPr>
          <w:sz w:val="21"/>
          <w:szCs w:val="21"/>
        </w:rPr>
        <w:t>roughly the</w:t>
      </w:r>
      <w:proofErr w:type="gramEnd"/>
      <w:r w:rsidRPr="00190AE5">
        <w:rPr>
          <w:sz w:val="21"/>
          <w:szCs w:val="21"/>
        </w:rPr>
        <w:t xml:space="preserve"> same? </w:t>
      </w:r>
      <w:r w:rsidR="00826322">
        <w:rPr>
          <w:sz w:val="21"/>
          <w:szCs w:val="21"/>
        </w:rPr>
        <w:t>The definitions are slightly different and</w:t>
      </w:r>
      <w:r w:rsidRPr="00190AE5">
        <w:rPr>
          <w:sz w:val="21"/>
          <w:szCs w:val="21"/>
        </w:rPr>
        <w:t xml:space="preserve"> the NHSN Team expects some small variation due to the different data sources used to collect these counts. </w:t>
      </w:r>
    </w:p>
    <w:p w14:paraId="47F1571D" w14:textId="10A7D77E" w:rsidR="00F32F02" w:rsidRDefault="00F32F02" w:rsidP="00F32F02">
      <w:pPr>
        <w:pStyle w:val="ListParagraph"/>
        <w:rPr>
          <w:sz w:val="21"/>
          <w:szCs w:val="21"/>
        </w:rPr>
      </w:pPr>
    </w:p>
    <w:p w14:paraId="1202BC17" w14:textId="77777777" w:rsidR="00F32F02" w:rsidRDefault="00F32F02" w:rsidP="00F32F02">
      <w:pPr>
        <w:pStyle w:val="ListParagraph"/>
        <w:rPr>
          <w:sz w:val="21"/>
          <w:szCs w:val="21"/>
        </w:rPr>
      </w:pPr>
    </w:p>
    <w:p w14:paraId="28FDA664" w14:textId="541B1B39" w:rsidR="00F32F02" w:rsidRPr="00190AE5" w:rsidRDefault="00F32F02" w:rsidP="006D7240">
      <w:pPr>
        <w:pStyle w:val="ListParagraph"/>
        <w:numPr>
          <w:ilvl w:val="0"/>
          <w:numId w:val="23"/>
        </w:numPr>
        <w:ind w:left="720"/>
        <w:rPr>
          <w:sz w:val="21"/>
          <w:szCs w:val="21"/>
        </w:rPr>
      </w:pPr>
      <w:r>
        <w:rPr>
          <w:sz w:val="21"/>
          <w:szCs w:val="21"/>
        </w:rPr>
        <w:t xml:space="preserve">Are the admissions numbers reported within the AU and AR Options </w:t>
      </w:r>
      <w:proofErr w:type="gramStart"/>
      <w:r>
        <w:rPr>
          <w:sz w:val="21"/>
          <w:szCs w:val="21"/>
        </w:rPr>
        <w:t>roughly the</w:t>
      </w:r>
      <w:proofErr w:type="gramEnd"/>
      <w:r>
        <w:rPr>
          <w:sz w:val="21"/>
          <w:szCs w:val="21"/>
        </w:rPr>
        <w:t xml:space="preserve"> same? These definitions are the </w:t>
      </w:r>
      <w:r w:rsidR="00CE4FC2">
        <w:rPr>
          <w:sz w:val="21"/>
          <w:szCs w:val="21"/>
        </w:rPr>
        <w:t>same,</w:t>
      </w:r>
      <w:r>
        <w:rPr>
          <w:sz w:val="21"/>
          <w:szCs w:val="21"/>
        </w:rPr>
        <w:t xml:space="preserve"> but counts could vary if specific inpatient locations </w:t>
      </w:r>
      <w:proofErr w:type="gramStart"/>
      <w:r>
        <w:rPr>
          <w:sz w:val="21"/>
          <w:szCs w:val="21"/>
        </w:rPr>
        <w:t>were included</w:t>
      </w:r>
      <w:proofErr w:type="gramEnd"/>
      <w:r>
        <w:rPr>
          <w:sz w:val="21"/>
          <w:szCs w:val="21"/>
        </w:rPr>
        <w:t xml:space="preserve"> in one reporting option but not the other.  </w:t>
      </w:r>
    </w:p>
    <w:p w14:paraId="3D373B69" w14:textId="77777777" w:rsidR="006D7240" w:rsidRDefault="006D7240" w:rsidP="006D7240">
      <w:pPr>
        <w:pStyle w:val="ListParagraph"/>
        <w:ind w:left="2160"/>
      </w:pPr>
    </w:p>
    <w:p w14:paraId="0AEEF64D" w14:textId="77777777" w:rsidR="006D7240" w:rsidRDefault="006D7240" w:rsidP="00190AE5">
      <w:pPr>
        <w:pStyle w:val="Heading5"/>
      </w:pPr>
      <w:r w:rsidRPr="00AB31BA">
        <w:lastRenderedPageBreak/>
        <w:t>Emergency Department &amp; 24-hour Observation area AU Days Present versus MDRO Outpatient Encounters</w:t>
      </w:r>
    </w:p>
    <w:p w14:paraId="0C6BA292" w14:textId="77777777" w:rsidR="006D7240" w:rsidRPr="00190AE5" w:rsidRDefault="006D7240" w:rsidP="006D7240">
      <w:pPr>
        <w:rPr>
          <w:rFonts w:cstheme="minorHAnsi"/>
          <w:szCs w:val="21"/>
        </w:rPr>
      </w:pPr>
      <w:r w:rsidRPr="00190AE5">
        <w:rPr>
          <w:rFonts w:cstheme="minorHAnsi"/>
          <w:szCs w:val="21"/>
        </w:rPr>
        <w:t xml:space="preserve">Populate the table below using data from the AU and HAI submissions. The HAI MDRO/CDI outpatient encounters will come from the NHSN MDRO/CDI summary records used for </w:t>
      </w:r>
      <w:proofErr w:type="spellStart"/>
      <w:r w:rsidRPr="00190AE5">
        <w:rPr>
          <w:rFonts w:cstheme="minorHAnsi"/>
          <w:szCs w:val="21"/>
        </w:rPr>
        <w:t>LabID</w:t>
      </w:r>
      <w:proofErr w:type="spellEnd"/>
      <w:r w:rsidRPr="00190AE5">
        <w:rPr>
          <w:rFonts w:cstheme="minorHAnsi"/>
          <w:szCs w:val="21"/>
        </w:rPr>
        <w:t xml:space="preserve"> reporting. We recommend checking at least two months for each location type (if applicable).</w:t>
      </w:r>
    </w:p>
    <w:p w14:paraId="1848702A" w14:textId="77777777" w:rsidR="006D7240" w:rsidRPr="00190AE5" w:rsidRDefault="006D7240" w:rsidP="006D7240">
      <w:pPr>
        <w:rPr>
          <w:rFonts w:cstheme="minorHAnsi"/>
          <w:szCs w:val="21"/>
        </w:rPr>
      </w:pPr>
      <w:r w:rsidRPr="00190AE5">
        <w:rPr>
          <w:rFonts w:cstheme="minorHAnsi"/>
          <w:b/>
          <w:bCs/>
          <w:szCs w:val="21"/>
        </w:rPr>
        <w:t>Note:</w:t>
      </w:r>
      <w:r w:rsidRPr="00190AE5">
        <w:rPr>
          <w:rFonts w:cstheme="minorHAnsi"/>
          <w:szCs w:val="21"/>
        </w:rPr>
        <w:t xml:space="preserve"> Based on internal NHSN analyses of days present and encounters, on average the Emergency Department and 24-hour Observation AU days present are 14% higher than the HAI patient days for the same month/location.</w:t>
      </w:r>
    </w:p>
    <w:tbl>
      <w:tblPr>
        <w:tblStyle w:val="TableGrid"/>
        <w:tblW w:w="9720" w:type="dxa"/>
        <w:tblInd w:w="355" w:type="dxa"/>
        <w:tblLook w:val="04A0" w:firstRow="1" w:lastRow="0" w:firstColumn="1" w:lastColumn="0" w:noHBand="0" w:noVBand="1"/>
        <w:tblCaption w:val="Table for outpatient locations"/>
        <w:tblDescription w:val="Table for entering outpatient location data"/>
      </w:tblPr>
      <w:tblGrid>
        <w:gridCol w:w="2324"/>
        <w:gridCol w:w="1546"/>
        <w:gridCol w:w="1950"/>
        <w:gridCol w:w="1950"/>
        <w:gridCol w:w="1950"/>
      </w:tblGrid>
      <w:tr w:rsidR="006D7240" w:rsidRPr="00190AE5" w14:paraId="13107668" w14:textId="77777777" w:rsidTr="00545660">
        <w:trPr>
          <w:cantSplit/>
          <w:trHeight w:val="432"/>
          <w:tblHeader/>
        </w:trPr>
        <w:tc>
          <w:tcPr>
            <w:tcW w:w="2324" w:type="dxa"/>
            <w:tcBorders>
              <w:top w:val="single" w:sz="4" w:space="0" w:color="auto"/>
              <w:bottom w:val="single" w:sz="4" w:space="0" w:color="auto"/>
            </w:tcBorders>
            <w:vAlign w:val="center"/>
          </w:tcPr>
          <w:p w14:paraId="2E03CCC8" w14:textId="77777777" w:rsidR="006D7240" w:rsidRPr="00190AE5" w:rsidRDefault="006D7240" w:rsidP="006D7240">
            <w:pPr>
              <w:jc w:val="center"/>
              <w:rPr>
                <w:rFonts w:cstheme="minorHAnsi"/>
                <w:b/>
                <w:szCs w:val="21"/>
              </w:rPr>
            </w:pPr>
            <w:r w:rsidRPr="00190AE5">
              <w:rPr>
                <w:rFonts w:cstheme="minorHAnsi"/>
                <w:b/>
                <w:szCs w:val="21"/>
              </w:rPr>
              <w:t>Location</w:t>
            </w:r>
          </w:p>
        </w:tc>
        <w:tc>
          <w:tcPr>
            <w:tcW w:w="1546" w:type="dxa"/>
            <w:tcBorders>
              <w:top w:val="single" w:sz="4" w:space="0" w:color="auto"/>
              <w:bottom w:val="single" w:sz="4" w:space="0" w:color="auto"/>
            </w:tcBorders>
            <w:vAlign w:val="center"/>
          </w:tcPr>
          <w:p w14:paraId="62D3E01B" w14:textId="77777777" w:rsidR="006D7240" w:rsidRPr="00190AE5" w:rsidRDefault="006D7240" w:rsidP="006D7240">
            <w:pPr>
              <w:jc w:val="center"/>
              <w:rPr>
                <w:rFonts w:cstheme="minorHAnsi"/>
                <w:b/>
                <w:szCs w:val="21"/>
              </w:rPr>
            </w:pPr>
            <w:r w:rsidRPr="00190AE5">
              <w:rPr>
                <w:rFonts w:cstheme="minorHAnsi"/>
                <w:b/>
                <w:szCs w:val="21"/>
              </w:rPr>
              <w:t>Month/Year</w:t>
            </w:r>
          </w:p>
        </w:tc>
        <w:tc>
          <w:tcPr>
            <w:tcW w:w="1950" w:type="dxa"/>
            <w:tcBorders>
              <w:top w:val="single" w:sz="4" w:space="0" w:color="auto"/>
              <w:bottom w:val="single" w:sz="4" w:space="0" w:color="auto"/>
            </w:tcBorders>
            <w:vAlign w:val="center"/>
          </w:tcPr>
          <w:p w14:paraId="754968A3" w14:textId="77777777" w:rsidR="006D7240" w:rsidRPr="00190AE5" w:rsidRDefault="006D7240" w:rsidP="006D7240">
            <w:pPr>
              <w:jc w:val="center"/>
              <w:rPr>
                <w:rFonts w:cstheme="minorHAnsi"/>
                <w:b/>
                <w:szCs w:val="21"/>
              </w:rPr>
            </w:pPr>
            <w:r w:rsidRPr="00190AE5">
              <w:rPr>
                <w:rFonts w:cstheme="minorHAnsi"/>
                <w:b/>
                <w:szCs w:val="21"/>
              </w:rPr>
              <w:t>Total AU Days Present</w:t>
            </w:r>
          </w:p>
        </w:tc>
        <w:tc>
          <w:tcPr>
            <w:tcW w:w="1950" w:type="dxa"/>
            <w:tcBorders>
              <w:top w:val="single" w:sz="4" w:space="0" w:color="auto"/>
              <w:bottom w:val="single" w:sz="4" w:space="0" w:color="auto"/>
            </w:tcBorders>
            <w:vAlign w:val="center"/>
          </w:tcPr>
          <w:p w14:paraId="1C402695" w14:textId="77777777" w:rsidR="006D7240" w:rsidRPr="00190AE5" w:rsidRDefault="006D7240" w:rsidP="006D7240">
            <w:pPr>
              <w:jc w:val="center"/>
              <w:rPr>
                <w:rFonts w:cstheme="minorHAnsi"/>
                <w:b/>
                <w:szCs w:val="21"/>
              </w:rPr>
            </w:pPr>
            <w:r w:rsidRPr="00190AE5">
              <w:rPr>
                <w:rFonts w:cstheme="minorHAnsi"/>
                <w:b/>
                <w:szCs w:val="21"/>
              </w:rPr>
              <w:t>Total HAI MDRO/CDI Encounters</w:t>
            </w:r>
          </w:p>
        </w:tc>
        <w:tc>
          <w:tcPr>
            <w:tcW w:w="1950" w:type="dxa"/>
            <w:tcBorders>
              <w:top w:val="single" w:sz="4" w:space="0" w:color="auto"/>
              <w:bottom w:val="single" w:sz="4" w:space="0" w:color="auto"/>
            </w:tcBorders>
            <w:vAlign w:val="center"/>
          </w:tcPr>
          <w:p w14:paraId="6414F539" w14:textId="77777777" w:rsidR="006D7240" w:rsidRPr="00190AE5" w:rsidRDefault="006D7240" w:rsidP="006D7240">
            <w:pPr>
              <w:jc w:val="center"/>
              <w:rPr>
                <w:rFonts w:cstheme="minorHAnsi"/>
                <w:b/>
                <w:szCs w:val="21"/>
              </w:rPr>
            </w:pPr>
            <w:r w:rsidRPr="00190AE5">
              <w:rPr>
                <w:rFonts w:cstheme="minorHAnsi"/>
                <w:b/>
                <w:szCs w:val="21"/>
              </w:rPr>
              <w:t>Percent Difference</w:t>
            </w:r>
          </w:p>
        </w:tc>
      </w:tr>
      <w:tr w:rsidR="006D7240" w:rsidRPr="00190AE5" w14:paraId="60803613" w14:textId="77777777" w:rsidTr="00545660">
        <w:trPr>
          <w:cantSplit/>
          <w:trHeight w:val="432"/>
        </w:trPr>
        <w:tc>
          <w:tcPr>
            <w:tcW w:w="2324" w:type="dxa"/>
            <w:tcBorders>
              <w:top w:val="single" w:sz="4" w:space="0" w:color="auto"/>
              <w:bottom w:val="single" w:sz="4" w:space="0" w:color="auto"/>
            </w:tcBorders>
            <w:vAlign w:val="center"/>
          </w:tcPr>
          <w:p w14:paraId="799B406E" w14:textId="77777777" w:rsidR="006D7240" w:rsidRPr="00190AE5" w:rsidRDefault="006D7240" w:rsidP="006D7240">
            <w:pPr>
              <w:rPr>
                <w:rFonts w:cstheme="minorHAnsi"/>
                <w:b/>
                <w:szCs w:val="21"/>
              </w:rPr>
            </w:pPr>
            <w:r w:rsidRPr="00190AE5">
              <w:rPr>
                <w:rFonts w:cstheme="minorHAnsi"/>
                <w:b/>
                <w:szCs w:val="21"/>
              </w:rPr>
              <w:t>Emergency Department</w:t>
            </w:r>
          </w:p>
        </w:tc>
        <w:tc>
          <w:tcPr>
            <w:tcW w:w="1546" w:type="dxa"/>
            <w:tcBorders>
              <w:top w:val="single" w:sz="4" w:space="0" w:color="auto"/>
              <w:bottom w:val="single" w:sz="4" w:space="0" w:color="auto"/>
            </w:tcBorders>
            <w:vAlign w:val="center"/>
          </w:tcPr>
          <w:p w14:paraId="5403B532" w14:textId="77777777" w:rsidR="006D7240" w:rsidRPr="00190AE5" w:rsidRDefault="006D7240" w:rsidP="006D7240">
            <w:pPr>
              <w:rPr>
                <w:rFonts w:cstheme="minorHAnsi"/>
                <w:b/>
                <w:szCs w:val="21"/>
              </w:rPr>
            </w:pPr>
          </w:p>
        </w:tc>
        <w:tc>
          <w:tcPr>
            <w:tcW w:w="1950" w:type="dxa"/>
            <w:tcBorders>
              <w:top w:val="single" w:sz="4" w:space="0" w:color="auto"/>
              <w:bottom w:val="single" w:sz="4" w:space="0" w:color="auto"/>
            </w:tcBorders>
            <w:vAlign w:val="center"/>
          </w:tcPr>
          <w:p w14:paraId="2D4B151C" w14:textId="77777777" w:rsidR="006D7240" w:rsidRPr="00190AE5" w:rsidRDefault="006D7240" w:rsidP="006D7240">
            <w:pPr>
              <w:rPr>
                <w:rFonts w:cstheme="minorHAnsi"/>
                <w:b/>
                <w:szCs w:val="21"/>
              </w:rPr>
            </w:pPr>
          </w:p>
        </w:tc>
        <w:tc>
          <w:tcPr>
            <w:tcW w:w="1950" w:type="dxa"/>
            <w:tcBorders>
              <w:top w:val="single" w:sz="4" w:space="0" w:color="auto"/>
              <w:bottom w:val="single" w:sz="4" w:space="0" w:color="auto"/>
            </w:tcBorders>
            <w:vAlign w:val="center"/>
          </w:tcPr>
          <w:p w14:paraId="347593C3" w14:textId="77777777" w:rsidR="006D7240" w:rsidRPr="00190AE5" w:rsidRDefault="006D7240" w:rsidP="006D7240">
            <w:pPr>
              <w:rPr>
                <w:rFonts w:cstheme="minorHAnsi"/>
                <w:b/>
                <w:szCs w:val="21"/>
              </w:rPr>
            </w:pPr>
          </w:p>
        </w:tc>
        <w:tc>
          <w:tcPr>
            <w:tcW w:w="1950" w:type="dxa"/>
            <w:tcBorders>
              <w:top w:val="single" w:sz="4" w:space="0" w:color="auto"/>
              <w:bottom w:val="single" w:sz="4" w:space="0" w:color="auto"/>
            </w:tcBorders>
          </w:tcPr>
          <w:p w14:paraId="1DB26959" w14:textId="77777777" w:rsidR="006D7240" w:rsidRPr="00190AE5" w:rsidRDefault="006D7240" w:rsidP="006D7240">
            <w:pPr>
              <w:rPr>
                <w:rFonts w:cstheme="minorHAnsi"/>
                <w:b/>
                <w:szCs w:val="21"/>
              </w:rPr>
            </w:pPr>
          </w:p>
        </w:tc>
      </w:tr>
      <w:tr w:rsidR="006D7240" w:rsidRPr="00190AE5" w14:paraId="150E0356" w14:textId="77777777" w:rsidTr="00545660">
        <w:trPr>
          <w:cantSplit/>
          <w:trHeight w:val="432"/>
        </w:trPr>
        <w:tc>
          <w:tcPr>
            <w:tcW w:w="2324" w:type="dxa"/>
            <w:tcBorders>
              <w:top w:val="single" w:sz="4" w:space="0" w:color="auto"/>
              <w:bottom w:val="single" w:sz="4" w:space="0" w:color="auto"/>
            </w:tcBorders>
            <w:vAlign w:val="center"/>
          </w:tcPr>
          <w:p w14:paraId="31A76054" w14:textId="7F8BED7B" w:rsidR="006D7240" w:rsidRPr="00190AE5" w:rsidRDefault="00545660" w:rsidP="006D7240">
            <w:pPr>
              <w:rPr>
                <w:rFonts w:cstheme="minorHAnsi"/>
                <w:b/>
                <w:szCs w:val="21"/>
              </w:rPr>
            </w:pPr>
            <w:r>
              <w:rPr>
                <w:rFonts w:cstheme="minorHAnsi"/>
                <w:b/>
                <w:szCs w:val="21"/>
              </w:rPr>
              <w:t>Pediatric Emergency Department</w:t>
            </w:r>
          </w:p>
        </w:tc>
        <w:tc>
          <w:tcPr>
            <w:tcW w:w="1546" w:type="dxa"/>
            <w:tcBorders>
              <w:top w:val="single" w:sz="4" w:space="0" w:color="auto"/>
              <w:bottom w:val="single" w:sz="4" w:space="0" w:color="auto"/>
            </w:tcBorders>
            <w:vAlign w:val="center"/>
          </w:tcPr>
          <w:p w14:paraId="7D273FCB" w14:textId="77777777" w:rsidR="006D7240" w:rsidRPr="00190AE5" w:rsidRDefault="006D7240" w:rsidP="006D7240">
            <w:pPr>
              <w:rPr>
                <w:rFonts w:cstheme="minorHAnsi"/>
                <w:b/>
                <w:szCs w:val="21"/>
              </w:rPr>
            </w:pPr>
          </w:p>
        </w:tc>
        <w:tc>
          <w:tcPr>
            <w:tcW w:w="1950" w:type="dxa"/>
            <w:tcBorders>
              <w:top w:val="single" w:sz="4" w:space="0" w:color="auto"/>
              <w:bottom w:val="single" w:sz="4" w:space="0" w:color="auto"/>
            </w:tcBorders>
            <w:vAlign w:val="center"/>
          </w:tcPr>
          <w:p w14:paraId="65C7414F" w14:textId="77777777" w:rsidR="006D7240" w:rsidRPr="00190AE5" w:rsidRDefault="006D7240" w:rsidP="006D7240">
            <w:pPr>
              <w:rPr>
                <w:rFonts w:cstheme="minorHAnsi"/>
                <w:b/>
                <w:szCs w:val="21"/>
              </w:rPr>
            </w:pPr>
          </w:p>
        </w:tc>
        <w:tc>
          <w:tcPr>
            <w:tcW w:w="1950" w:type="dxa"/>
            <w:tcBorders>
              <w:top w:val="single" w:sz="4" w:space="0" w:color="auto"/>
              <w:bottom w:val="single" w:sz="4" w:space="0" w:color="auto"/>
            </w:tcBorders>
            <w:vAlign w:val="center"/>
          </w:tcPr>
          <w:p w14:paraId="28216990" w14:textId="77777777" w:rsidR="006D7240" w:rsidRPr="00190AE5" w:rsidRDefault="006D7240" w:rsidP="006D7240">
            <w:pPr>
              <w:rPr>
                <w:rFonts w:cstheme="minorHAnsi"/>
                <w:b/>
                <w:szCs w:val="21"/>
              </w:rPr>
            </w:pPr>
          </w:p>
        </w:tc>
        <w:tc>
          <w:tcPr>
            <w:tcW w:w="1950" w:type="dxa"/>
            <w:tcBorders>
              <w:top w:val="single" w:sz="4" w:space="0" w:color="auto"/>
              <w:bottom w:val="single" w:sz="4" w:space="0" w:color="auto"/>
            </w:tcBorders>
          </w:tcPr>
          <w:p w14:paraId="24DB8870" w14:textId="77777777" w:rsidR="006D7240" w:rsidRPr="00190AE5" w:rsidRDefault="006D7240" w:rsidP="006D7240">
            <w:pPr>
              <w:rPr>
                <w:rFonts w:cstheme="minorHAnsi"/>
                <w:b/>
                <w:szCs w:val="21"/>
              </w:rPr>
            </w:pPr>
          </w:p>
        </w:tc>
      </w:tr>
      <w:tr w:rsidR="006D7240" w:rsidRPr="00190AE5" w14:paraId="071D907A" w14:textId="77777777" w:rsidTr="00545660">
        <w:trPr>
          <w:cantSplit/>
          <w:trHeight w:val="432"/>
        </w:trPr>
        <w:tc>
          <w:tcPr>
            <w:tcW w:w="2324" w:type="dxa"/>
            <w:tcBorders>
              <w:top w:val="single" w:sz="4" w:space="0" w:color="auto"/>
              <w:bottom w:val="single" w:sz="4" w:space="0" w:color="auto"/>
            </w:tcBorders>
            <w:vAlign w:val="center"/>
          </w:tcPr>
          <w:p w14:paraId="55A2BB21" w14:textId="77777777" w:rsidR="006D7240" w:rsidRPr="00190AE5" w:rsidRDefault="006D7240" w:rsidP="006D7240">
            <w:pPr>
              <w:rPr>
                <w:rFonts w:cstheme="minorHAnsi"/>
                <w:b/>
                <w:szCs w:val="21"/>
              </w:rPr>
            </w:pPr>
            <w:r w:rsidRPr="00190AE5">
              <w:rPr>
                <w:rFonts w:cstheme="minorHAnsi"/>
                <w:b/>
                <w:szCs w:val="21"/>
              </w:rPr>
              <w:t>24-hour Observation</w:t>
            </w:r>
          </w:p>
        </w:tc>
        <w:tc>
          <w:tcPr>
            <w:tcW w:w="1546" w:type="dxa"/>
            <w:tcBorders>
              <w:top w:val="single" w:sz="4" w:space="0" w:color="auto"/>
              <w:bottom w:val="single" w:sz="4" w:space="0" w:color="auto"/>
            </w:tcBorders>
            <w:vAlign w:val="center"/>
          </w:tcPr>
          <w:p w14:paraId="5EF1C65D" w14:textId="77777777" w:rsidR="006D7240" w:rsidRPr="00190AE5" w:rsidRDefault="006D7240" w:rsidP="006D7240">
            <w:pPr>
              <w:rPr>
                <w:rFonts w:cstheme="minorHAnsi"/>
                <w:b/>
                <w:szCs w:val="21"/>
              </w:rPr>
            </w:pPr>
          </w:p>
        </w:tc>
        <w:tc>
          <w:tcPr>
            <w:tcW w:w="1950" w:type="dxa"/>
            <w:tcBorders>
              <w:top w:val="single" w:sz="4" w:space="0" w:color="auto"/>
              <w:bottom w:val="single" w:sz="4" w:space="0" w:color="auto"/>
            </w:tcBorders>
            <w:vAlign w:val="center"/>
          </w:tcPr>
          <w:p w14:paraId="7C53D4C5" w14:textId="77777777" w:rsidR="006D7240" w:rsidRPr="00190AE5" w:rsidRDefault="006D7240" w:rsidP="006D7240">
            <w:pPr>
              <w:rPr>
                <w:rFonts w:cstheme="minorHAnsi"/>
                <w:b/>
                <w:szCs w:val="21"/>
              </w:rPr>
            </w:pPr>
          </w:p>
        </w:tc>
        <w:tc>
          <w:tcPr>
            <w:tcW w:w="1950" w:type="dxa"/>
            <w:tcBorders>
              <w:top w:val="single" w:sz="4" w:space="0" w:color="auto"/>
              <w:bottom w:val="single" w:sz="4" w:space="0" w:color="auto"/>
            </w:tcBorders>
            <w:vAlign w:val="center"/>
          </w:tcPr>
          <w:p w14:paraId="3716747D" w14:textId="77777777" w:rsidR="006D7240" w:rsidRPr="00190AE5" w:rsidRDefault="006D7240" w:rsidP="006D7240">
            <w:pPr>
              <w:rPr>
                <w:rFonts w:cstheme="minorHAnsi"/>
                <w:b/>
                <w:szCs w:val="21"/>
              </w:rPr>
            </w:pPr>
          </w:p>
        </w:tc>
        <w:tc>
          <w:tcPr>
            <w:tcW w:w="1950" w:type="dxa"/>
            <w:tcBorders>
              <w:top w:val="single" w:sz="4" w:space="0" w:color="auto"/>
              <w:bottom w:val="single" w:sz="4" w:space="0" w:color="auto"/>
            </w:tcBorders>
          </w:tcPr>
          <w:p w14:paraId="737FC10A" w14:textId="77777777" w:rsidR="006D7240" w:rsidRPr="00190AE5" w:rsidRDefault="006D7240" w:rsidP="006D7240">
            <w:pPr>
              <w:rPr>
                <w:rFonts w:cstheme="minorHAnsi"/>
                <w:b/>
                <w:szCs w:val="21"/>
              </w:rPr>
            </w:pPr>
          </w:p>
        </w:tc>
      </w:tr>
    </w:tbl>
    <w:p w14:paraId="58D320F5" w14:textId="77777777" w:rsidR="006D7240" w:rsidRPr="00190AE5" w:rsidRDefault="006D7240" w:rsidP="006D7240">
      <w:pPr>
        <w:pStyle w:val="ListParagraph"/>
        <w:numPr>
          <w:ilvl w:val="0"/>
          <w:numId w:val="24"/>
        </w:numPr>
        <w:ind w:left="720"/>
        <w:rPr>
          <w:rFonts w:cstheme="minorHAnsi"/>
          <w:sz w:val="21"/>
          <w:szCs w:val="21"/>
        </w:rPr>
      </w:pPr>
      <w:r w:rsidRPr="00190AE5">
        <w:rPr>
          <w:rFonts w:cstheme="minorHAnsi"/>
          <w:sz w:val="21"/>
          <w:szCs w:val="21"/>
        </w:rPr>
        <w:t xml:space="preserve">Is the percent difference </w:t>
      </w:r>
      <w:proofErr w:type="gramStart"/>
      <w:r w:rsidRPr="00190AE5">
        <w:rPr>
          <w:rFonts w:cstheme="minorHAnsi"/>
          <w:sz w:val="21"/>
          <w:szCs w:val="21"/>
        </w:rPr>
        <w:t>similar to</w:t>
      </w:r>
      <w:proofErr w:type="gramEnd"/>
      <w:r w:rsidRPr="00190AE5">
        <w:rPr>
          <w:rFonts w:cstheme="minorHAnsi"/>
          <w:sz w:val="21"/>
          <w:szCs w:val="21"/>
        </w:rPr>
        <w:t xml:space="preserve"> the national average of 14%?</w:t>
      </w:r>
    </w:p>
    <w:p w14:paraId="36A43437" w14:textId="77777777" w:rsidR="006D7240" w:rsidRDefault="006D7240" w:rsidP="006D7240">
      <w:pPr>
        <w:pStyle w:val="ListParagraph"/>
      </w:pPr>
    </w:p>
    <w:p w14:paraId="5473FA52" w14:textId="3EC61F13" w:rsidR="006D7240" w:rsidRDefault="006D7240" w:rsidP="00190AE5">
      <w:pPr>
        <w:pStyle w:val="Heading2"/>
      </w:pPr>
      <w:bookmarkStart w:id="19" w:name="Appendix"/>
      <w:bookmarkEnd w:id="19"/>
      <w:r>
        <w:t>Appendix</w:t>
      </w:r>
      <w:r w:rsidR="00E63593">
        <w:t>: Links to Referenced Documents</w:t>
      </w:r>
    </w:p>
    <w:p w14:paraId="0056FB8D" w14:textId="77777777" w:rsidR="006D7240" w:rsidRPr="00190AE5" w:rsidRDefault="006D7240" w:rsidP="006D7240">
      <w:pPr>
        <w:rPr>
          <w:szCs w:val="21"/>
        </w:rPr>
      </w:pPr>
      <w:r w:rsidRPr="00190AE5">
        <w:rPr>
          <w:szCs w:val="21"/>
        </w:rPr>
        <w:t xml:space="preserve">Complete web addresses for references hyperlinked in this document in the order of appearance: </w:t>
      </w:r>
    </w:p>
    <w:p w14:paraId="23FD08F2" w14:textId="77777777" w:rsidR="006D7240" w:rsidRPr="007131AE" w:rsidRDefault="006D7240" w:rsidP="007131AE">
      <w:pPr>
        <w:pStyle w:val="ListParagraph"/>
        <w:numPr>
          <w:ilvl w:val="0"/>
          <w:numId w:val="29"/>
        </w:numPr>
        <w:rPr>
          <w:sz w:val="21"/>
          <w:szCs w:val="21"/>
        </w:rPr>
      </w:pPr>
      <w:r w:rsidRPr="007131AE">
        <w:rPr>
          <w:sz w:val="21"/>
          <w:szCs w:val="21"/>
        </w:rPr>
        <w:t xml:space="preserve">NHSN AUR Module Protocol: </w:t>
      </w:r>
      <w:hyperlink r:id="rId48" w:history="1">
        <w:r w:rsidRPr="007131AE">
          <w:rPr>
            <w:rStyle w:val="Hyperlink"/>
            <w:sz w:val="21"/>
            <w:szCs w:val="21"/>
          </w:rPr>
          <w:t>https://www.cdc.gov/nhsn/pdfs/pscmanual/11pscaurcurrent.pdf</w:t>
        </w:r>
      </w:hyperlink>
    </w:p>
    <w:p w14:paraId="3D4CF2A6" w14:textId="77777777" w:rsidR="006D7240" w:rsidRPr="007131AE" w:rsidRDefault="006D7240" w:rsidP="007131AE">
      <w:pPr>
        <w:pStyle w:val="ListParagraph"/>
        <w:numPr>
          <w:ilvl w:val="0"/>
          <w:numId w:val="29"/>
        </w:numPr>
        <w:rPr>
          <w:sz w:val="21"/>
          <w:szCs w:val="21"/>
        </w:rPr>
      </w:pPr>
      <w:r w:rsidRPr="007131AE">
        <w:rPr>
          <w:sz w:val="21"/>
          <w:szCs w:val="21"/>
        </w:rPr>
        <w:t xml:space="preserve">AU Implementation Validation Protocol: </w:t>
      </w:r>
      <w:hyperlink r:id="rId49" w:history="1">
        <w:r w:rsidRPr="007131AE">
          <w:rPr>
            <w:rStyle w:val="Hyperlink"/>
            <w:sz w:val="21"/>
            <w:szCs w:val="21"/>
          </w:rPr>
          <w:t>https://www.cdc.gov/nhsn/pdfs/ps-analysis-resources/aur/AU-Option-Implementation-Data-Validation-P.pdf</w:t>
        </w:r>
      </w:hyperlink>
    </w:p>
    <w:p w14:paraId="6BCC5E88" w14:textId="2758BFFA" w:rsidR="0079142A" w:rsidRPr="007131AE" w:rsidRDefault="0079142A" w:rsidP="007131AE">
      <w:pPr>
        <w:pStyle w:val="ListParagraph"/>
        <w:numPr>
          <w:ilvl w:val="0"/>
          <w:numId w:val="29"/>
        </w:numPr>
        <w:rPr>
          <w:sz w:val="21"/>
          <w:szCs w:val="21"/>
        </w:rPr>
      </w:pPr>
      <w:r w:rsidRPr="007131AE">
        <w:rPr>
          <w:sz w:val="21"/>
          <w:szCs w:val="21"/>
        </w:rPr>
        <w:t xml:space="preserve">AR Option Data Validation Protocol: </w:t>
      </w:r>
      <w:hyperlink r:id="rId50" w:history="1">
        <w:r w:rsidRPr="007131AE">
          <w:rPr>
            <w:rStyle w:val="Hyperlink"/>
            <w:sz w:val="21"/>
            <w:szCs w:val="21"/>
          </w:rPr>
          <w:t>https://www.cdc.gov/nhsn/pdfs/ps-analysis-resources/aur/ar-validation-508.pdf</w:t>
        </w:r>
      </w:hyperlink>
      <w:r w:rsidRPr="007131AE">
        <w:rPr>
          <w:sz w:val="21"/>
          <w:szCs w:val="21"/>
        </w:rPr>
        <w:t xml:space="preserve"> </w:t>
      </w:r>
    </w:p>
    <w:p w14:paraId="4C059E26" w14:textId="072D3163" w:rsidR="006D7240" w:rsidRPr="007131AE" w:rsidRDefault="006D7240" w:rsidP="007131AE">
      <w:pPr>
        <w:pStyle w:val="ListParagraph"/>
        <w:numPr>
          <w:ilvl w:val="0"/>
          <w:numId w:val="29"/>
        </w:numPr>
        <w:rPr>
          <w:sz w:val="21"/>
          <w:szCs w:val="21"/>
        </w:rPr>
      </w:pPr>
      <w:r w:rsidRPr="007131AE">
        <w:rPr>
          <w:sz w:val="21"/>
          <w:szCs w:val="21"/>
        </w:rPr>
        <w:t xml:space="preserve">NHSN Location Protocol: </w:t>
      </w:r>
      <w:hyperlink r:id="rId51" w:history="1">
        <w:r w:rsidRPr="007131AE">
          <w:rPr>
            <w:rStyle w:val="Hyperlink"/>
            <w:sz w:val="21"/>
            <w:szCs w:val="21"/>
          </w:rPr>
          <w:t>https://www.cdc.gov/nhsn/pdfs/pscmanual/15locationsdescriptions_current.pdf</w:t>
        </w:r>
      </w:hyperlink>
    </w:p>
    <w:p w14:paraId="0E90FB76" w14:textId="77777777" w:rsidR="006D7240" w:rsidRPr="007131AE" w:rsidRDefault="006D7240" w:rsidP="007131AE">
      <w:pPr>
        <w:pStyle w:val="ListParagraph"/>
        <w:numPr>
          <w:ilvl w:val="0"/>
          <w:numId w:val="29"/>
        </w:numPr>
        <w:rPr>
          <w:sz w:val="21"/>
          <w:szCs w:val="21"/>
        </w:rPr>
      </w:pPr>
      <w:r w:rsidRPr="007131AE">
        <w:rPr>
          <w:sz w:val="21"/>
          <w:szCs w:val="21"/>
        </w:rPr>
        <w:t xml:space="preserve">NHSN Location FAQs: </w:t>
      </w:r>
      <w:hyperlink r:id="rId52" w:history="1">
        <w:r w:rsidRPr="007131AE">
          <w:rPr>
            <w:rStyle w:val="Hyperlink"/>
            <w:sz w:val="21"/>
            <w:szCs w:val="21"/>
          </w:rPr>
          <w:t>https://www.cdc.gov/nhsn/faqs/faq-locations.html</w:t>
        </w:r>
      </w:hyperlink>
      <w:r w:rsidRPr="007131AE">
        <w:rPr>
          <w:sz w:val="21"/>
          <w:szCs w:val="21"/>
        </w:rPr>
        <w:t xml:space="preserve"> </w:t>
      </w:r>
    </w:p>
    <w:p w14:paraId="6B0BA7AB" w14:textId="77777777" w:rsidR="006D7240" w:rsidRPr="007131AE" w:rsidRDefault="006D7240" w:rsidP="007131AE">
      <w:pPr>
        <w:pStyle w:val="ListParagraph"/>
        <w:numPr>
          <w:ilvl w:val="0"/>
          <w:numId w:val="29"/>
        </w:numPr>
        <w:rPr>
          <w:sz w:val="21"/>
          <w:szCs w:val="21"/>
        </w:rPr>
      </w:pPr>
      <w:r w:rsidRPr="007131AE">
        <w:rPr>
          <w:sz w:val="21"/>
          <w:szCs w:val="21"/>
        </w:rPr>
        <w:t xml:space="preserve">NHSN AU Option User Rights: </w:t>
      </w:r>
      <w:hyperlink r:id="rId53" w:history="1">
        <w:r w:rsidRPr="007131AE">
          <w:rPr>
            <w:rStyle w:val="Hyperlink"/>
            <w:sz w:val="21"/>
            <w:szCs w:val="21"/>
          </w:rPr>
          <w:t>https://www.cdc.gov/nhsn/pdfs/ps-analysis-resources/nhsn-au-user-rights.pdf</w:t>
        </w:r>
      </w:hyperlink>
    </w:p>
    <w:p w14:paraId="392C481A" w14:textId="77777777" w:rsidR="006D7240" w:rsidRPr="007131AE" w:rsidRDefault="006D7240" w:rsidP="007131AE">
      <w:pPr>
        <w:pStyle w:val="ListParagraph"/>
        <w:numPr>
          <w:ilvl w:val="0"/>
          <w:numId w:val="29"/>
        </w:numPr>
        <w:rPr>
          <w:sz w:val="21"/>
          <w:szCs w:val="21"/>
        </w:rPr>
      </w:pPr>
      <w:r w:rsidRPr="007131AE">
        <w:rPr>
          <w:sz w:val="21"/>
          <w:szCs w:val="21"/>
        </w:rPr>
        <w:t xml:space="preserve">December 2014 NHSN Newsletter: </w:t>
      </w:r>
      <w:hyperlink r:id="rId54" w:history="1">
        <w:r w:rsidRPr="007131AE">
          <w:rPr>
            <w:rStyle w:val="Hyperlink"/>
            <w:sz w:val="21"/>
            <w:szCs w:val="21"/>
          </w:rPr>
          <w:t>https://www.cdc.gov/nhsn/pdfs/newsletters/Newsletter-Dec2014.pdf</w:t>
        </w:r>
      </w:hyperlink>
    </w:p>
    <w:p w14:paraId="72D6E662" w14:textId="77777777" w:rsidR="006D7240" w:rsidRPr="007131AE" w:rsidRDefault="006D7240" w:rsidP="007131AE">
      <w:pPr>
        <w:pStyle w:val="ListParagraph"/>
        <w:numPr>
          <w:ilvl w:val="0"/>
          <w:numId w:val="29"/>
        </w:numPr>
        <w:rPr>
          <w:sz w:val="21"/>
          <w:szCs w:val="21"/>
        </w:rPr>
      </w:pPr>
      <w:r w:rsidRPr="007131AE">
        <w:rPr>
          <w:sz w:val="21"/>
          <w:szCs w:val="21"/>
        </w:rPr>
        <w:t xml:space="preserve">NHSN Data Set Generation: </w:t>
      </w:r>
      <w:hyperlink r:id="rId55" w:history="1">
        <w:r w:rsidRPr="007131AE">
          <w:rPr>
            <w:rStyle w:val="Hyperlink"/>
            <w:sz w:val="21"/>
            <w:szCs w:val="21"/>
          </w:rPr>
          <w:t>https://www.cdc.gov/nhsn/pdfs/ps-analysis-resources/generatedatasets-psc-508.pdf</w:t>
        </w:r>
      </w:hyperlink>
    </w:p>
    <w:p w14:paraId="39512EBE" w14:textId="693162AD" w:rsidR="006D7240" w:rsidRPr="007131AE" w:rsidRDefault="006D7240" w:rsidP="007131AE">
      <w:pPr>
        <w:pStyle w:val="ListParagraph"/>
        <w:numPr>
          <w:ilvl w:val="0"/>
          <w:numId w:val="29"/>
        </w:numPr>
        <w:rPr>
          <w:sz w:val="21"/>
          <w:szCs w:val="21"/>
        </w:rPr>
      </w:pPr>
      <w:r w:rsidRPr="007131AE">
        <w:rPr>
          <w:sz w:val="21"/>
          <w:szCs w:val="21"/>
        </w:rPr>
        <w:t xml:space="preserve">NHSN AUR Module Webpage: </w:t>
      </w:r>
      <w:hyperlink r:id="rId56" w:history="1">
        <w:r w:rsidR="00E558E8" w:rsidRPr="007131AE">
          <w:rPr>
            <w:rStyle w:val="Hyperlink"/>
            <w:sz w:val="21"/>
            <w:szCs w:val="21"/>
          </w:rPr>
          <w:t>https://www.cdc.gov/nhsn/psc/aur/index.html</w:t>
        </w:r>
      </w:hyperlink>
      <w:r w:rsidR="00E558E8" w:rsidRPr="007131AE">
        <w:rPr>
          <w:sz w:val="21"/>
          <w:szCs w:val="21"/>
        </w:rPr>
        <w:t xml:space="preserve"> </w:t>
      </w:r>
    </w:p>
    <w:p w14:paraId="6A7D48CC" w14:textId="51F86FED" w:rsidR="00FE49C5" w:rsidRPr="007131AE" w:rsidRDefault="00FE49C5" w:rsidP="007131AE">
      <w:pPr>
        <w:pStyle w:val="ListParagraph"/>
        <w:numPr>
          <w:ilvl w:val="0"/>
          <w:numId w:val="29"/>
        </w:numPr>
        <w:rPr>
          <w:sz w:val="21"/>
          <w:szCs w:val="21"/>
        </w:rPr>
      </w:pPr>
      <w:r w:rsidRPr="007131AE">
        <w:rPr>
          <w:sz w:val="21"/>
          <w:szCs w:val="21"/>
        </w:rPr>
        <w:t xml:space="preserve">Guide to the SAAR: </w:t>
      </w:r>
      <w:hyperlink r:id="rId57" w:history="1">
        <w:r w:rsidRPr="007131AE">
          <w:rPr>
            <w:rStyle w:val="Hyperlink"/>
            <w:sz w:val="21"/>
            <w:szCs w:val="21"/>
          </w:rPr>
          <w:t>https://www.cdc.gov/nhsn/pdfs/ps-analysis-resources/aur/au-saar-guide-508.pdf</w:t>
        </w:r>
      </w:hyperlink>
      <w:r w:rsidRPr="007131AE">
        <w:rPr>
          <w:sz w:val="21"/>
          <w:szCs w:val="21"/>
        </w:rPr>
        <w:t xml:space="preserve"> </w:t>
      </w:r>
    </w:p>
    <w:p w14:paraId="6834FEB0" w14:textId="7A074746" w:rsidR="00D33B29" w:rsidRPr="007131AE" w:rsidRDefault="00D33B29" w:rsidP="007131AE">
      <w:pPr>
        <w:pStyle w:val="ListParagraph"/>
        <w:numPr>
          <w:ilvl w:val="0"/>
          <w:numId w:val="29"/>
        </w:numPr>
        <w:rPr>
          <w:sz w:val="21"/>
          <w:szCs w:val="21"/>
        </w:rPr>
      </w:pPr>
      <w:r w:rsidRPr="007131AE">
        <w:rPr>
          <w:sz w:val="21"/>
          <w:szCs w:val="21"/>
        </w:rPr>
        <w:t xml:space="preserve">SAAR Report – All SAARs by </w:t>
      </w:r>
      <w:r w:rsidR="00E558E8" w:rsidRPr="007131AE">
        <w:rPr>
          <w:sz w:val="21"/>
          <w:szCs w:val="21"/>
        </w:rPr>
        <w:t>l</w:t>
      </w:r>
      <w:r w:rsidRPr="007131AE">
        <w:rPr>
          <w:sz w:val="21"/>
          <w:szCs w:val="21"/>
        </w:rPr>
        <w:t xml:space="preserve">ocation: </w:t>
      </w:r>
      <w:hyperlink r:id="rId58" w:history="1">
        <w:r w:rsidRPr="007131AE">
          <w:rPr>
            <w:rStyle w:val="Hyperlink"/>
            <w:sz w:val="21"/>
            <w:szCs w:val="21"/>
          </w:rPr>
          <w:t>https://www.cdc.gov/nhsn/pdfs/ps-analysis-resources/aur/AU-QRG-SAARTables-Location.pdf</w:t>
        </w:r>
      </w:hyperlink>
      <w:r w:rsidRPr="007131AE">
        <w:rPr>
          <w:sz w:val="21"/>
          <w:szCs w:val="21"/>
        </w:rPr>
        <w:t xml:space="preserve"> </w:t>
      </w:r>
    </w:p>
    <w:p w14:paraId="56FDFA47" w14:textId="13E8E20E" w:rsidR="000B20F0" w:rsidRPr="007131AE" w:rsidRDefault="000B20F0" w:rsidP="007131AE">
      <w:pPr>
        <w:pStyle w:val="ListParagraph"/>
        <w:numPr>
          <w:ilvl w:val="0"/>
          <w:numId w:val="29"/>
        </w:numPr>
        <w:rPr>
          <w:sz w:val="21"/>
          <w:szCs w:val="21"/>
        </w:rPr>
      </w:pPr>
      <w:r w:rsidRPr="007131AE">
        <w:rPr>
          <w:sz w:val="21"/>
          <w:szCs w:val="21"/>
        </w:rPr>
        <w:t xml:space="preserve">2019 AU Data Report tables: </w:t>
      </w:r>
      <w:hyperlink r:id="rId59" w:history="1">
        <w:r w:rsidRPr="007131AE">
          <w:rPr>
            <w:rStyle w:val="Hyperlink"/>
            <w:sz w:val="21"/>
            <w:szCs w:val="21"/>
          </w:rPr>
          <w:t>https://www.cdc.gov/nhsn/pdfs/datastat/2019-au-report-datatables.xlsx</w:t>
        </w:r>
      </w:hyperlink>
    </w:p>
    <w:p w14:paraId="25969A6F" w14:textId="0A7E220E" w:rsidR="00D33B29" w:rsidRPr="007131AE" w:rsidRDefault="00D33B29" w:rsidP="007131AE">
      <w:pPr>
        <w:pStyle w:val="ListParagraph"/>
        <w:numPr>
          <w:ilvl w:val="0"/>
          <w:numId w:val="29"/>
        </w:numPr>
        <w:rPr>
          <w:sz w:val="21"/>
          <w:szCs w:val="21"/>
        </w:rPr>
      </w:pPr>
      <w:r w:rsidRPr="007131AE">
        <w:rPr>
          <w:sz w:val="21"/>
          <w:szCs w:val="21"/>
        </w:rPr>
        <w:t xml:space="preserve">Bar Chart – Selected drugs: </w:t>
      </w:r>
      <w:hyperlink r:id="rId60" w:history="1">
        <w:r w:rsidRPr="007131AE">
          <w:rPr>
            <w:rStyle w:val="Hyperlink"/>
            <w:sz w:val="21"/>
            <w:szCs w:val="21"/>
          </w:rPr>
          <w:t>https://www.cdc.gov/nhsn/pdfs/ps-analysis-resources/aur/AU-QRG-BarChart-drugs-508.pdf</w:t>
        </w:r>
      </w:hyperlink>
      <w:r w:rsidRPr="007131AE">
        <w:rPr>
          <w:sz w:val="21"/>
          <w:szCs w:val="21"/>
        </w:rPr>
        <w:t xml:space="preserve"> </w:t>
      </w:r>
    </w:p>
    <w:p w14:paraId="0E9DADC1" w14:textId="7144CDA9" w:rsidR="00D33B29" w:rsidRPr="007131AE" w:rsidRDefault="00D33B29" w:rsidP="007131AE">
      <w:pPr>
        <w:pStyle w:val="ListParagraph"/>
        <w:numPr>
          <w:ilvl w:val="0"/>
          <w:numId w:val="29"/>
        </w:numPr>
        <w:rPr>
          <w:sz w:val="21"/>
          <w:szCs w:val="21"/>
        </w:rPr>
      </w:pPr>
      <w:r w:rsidRPr="007131AE">
        <w:rPr>
          <w:sz w:val="21"/>
          <w:szCs w:val="21"/>
        </w:rPr>
        <w:t xml:space="preserve">AU Line List: </w:t>
      </w:r>
      <w:hyperlink r:id="rId61" w:history="1">
        <w:r w:rsidRPr="007131AE">
          <w:rPr>
            <w:rStyle w:val="Hyperlink"/>
            <w:sz w:val="21"/>
            <w:szCs w:val="21"/>
          </w:rPr>
          <w:t>https://www.cdc.gov/nhsn/pdfs/ps-analysis-resources/aur/AU-QRG-LineList.pdf</w:t>
        </w:r>
      </w:hyperlink>
      <w:r w:rsidRPr="007131AE">
        <w:rPr>
          <w:sz w:val="21"/>
          <w:szCs w:val="21"/>
        </w:rPr>
        <w:t xml:space="preserve"> </w:t>
      </w:r>
    </w:p>
    <w:p w14:paraId="26597A5A" w14:textId="2232B820" w:rsidR="00D33B29" w:rsidRPr="007131AE" w:rsidRDefault="00D33B29" w:rsidP="007131AE">
      <w:pPr>
        <w:pStyle w:val="ListParagraph"/>
        <w:numPr>
          <w:ilvl w:val="0"/>
          <w:numId w:val="29"/>
        </w:numPr>
        <w:rPr>
          <w:sz w:val="21"/>
          <w:szCs w:val="21"/>
        </w:rPr>
      </w:pPr>
      <w:r w:rsidRPr="007131AE">
        <w:rPr>
          <w:sz w:val="21"/>
          <w:szCs w:val="21"/>
        </w:rPr>
        <w:t xml:space="preserve">AU Rate Table – Selected drugs by location: </w:t>
      </w:r>
      <w:hyperlink r:id="rId62" w:history="1">
        <w:r w:rsidRPr="007131AE">
          <w:rPr>
            <w:rStyle w:val="Hyperlink"/>
            <w:sz w:val="21"/>
            <w:szCs w:val="21"/>
          </w:rPr>
          <w:t>https://www.cdc.gov/nhsn/pdfs/ps-analysis-resources/aur/AU-QRG-RateTables-Location.pdf</w:t>
        </w:r>
      </w:hyperlink>
      <w:r w:rsidRPr="007131AE">
        <w:rPr>
          <w:sz w:val="21"/>
          <w:szCs w:val="21"/>
        </w:rPr>
        <w:t xml:space="preserve"> </w:t>
      </w:r>
    </w:p>
    <w:p w14:paraId="319364AD" w14:textId="07A1734A" w:rsidR="00D33B29" w:rsidRPr="007131AE" w:rsidRDefault="00D33B29" w:rsidP="007131AE">
      <w:pPr>
        <w:pStyle w:val="ListParagraph"/>
        <w:numPr>
          <w:ilvl w:val="0"/>
          <w:numId w:val="29"/>
        </w:numPr>
        <w:rPr>
          <w:sz w:val="21"/>
          <w:szCs w:val="21"/>
        </w:rPr>
      </w:pPr>
      <w:r w:rsidRPr="007131AE">
        <w:rPr>
          <w:sz w:val="21"/>
          <w:szCs w:val="21"/>
        </w:rPr>
        <w:t xml:space="preserve">AU Bar Chart: </w:t>
      </w:r>
      <w:hyperlink r:id="rId63" w:history="1">
        <w:r w:rsidRPr="007131AE">
          <w:rPr>
            <w:rStyle w:val="Hyperlink"/>
            <w:sz w:val="21"/>
            <w:szCs w:val="21"/>
          </w:rPr>
          <w:t>https://www.cdc.gov/nhsn/pdfs/ps-analysis-resources/aur/AU-QRG-BarChart.pdf</w:t>
        </w:r>
      </w:hyperlink>
      <w:r w:rsidRPr="007131AE">
        <w:rPr>
          <w:sz w:val="21"/>
          <w:szCs w:val="21"/>
        </w:rPr>
        <w:t xml:space="preserve"> </w:t>
      </w:r>
    </w:p>
    <w:p w14:paraId="7A7B13A6" w14:textId="75329BE4" w:rsidR="006D7240" w:rsidRPr="007131AE" w:rsidRDefault="006D7240" w:rsidP="007131AE">
      <w:pPr>
        <w:pStyle w:val="ListParagraph"/>
        <w:numPr>
          <w:ilvl w:val="0"/>
          <w:numId w:val="29"/>
        </w:numPr>
        <w:rPr>
          <w:rStyle w:val="Hyperlink"/>
          <w:sz w:val="21"/>
          <w:szCs w:val="21"/>
        </w:rPr>
      </w:pPr>
      <w:r w:rsidRPr="007131AE">
        <w:rPr>
          <w:sz w:val="21"/>
          <w:szCs w:val="21"/>
        </w:rPr>
        <w:t xml:space="preserve">AU Data Quality Line List: </w:t>
      </w:r>
      <w:hyperlink r:id="rId64" w:history="1">
        <w:r w:rsidRPr="007131AE">
          <w:rPr>
            <w:rStyle w:val="Hyperlink"/>
            <w:sz w:val="21"/>
            <w:szCs w:val="21"/>
          </w:rPr>
          <w:t>https://www.cdc.gov/nhsn/pdfs/ps-analysis-resources/aur/au-dataquality-linelist-508.pdf</w:t>
        </w:r>
      </w:hyperlink>
    </w:p>
    <w:p w14:paraId="511B8657" w14:textId="4D71A2EF" w:rsidR="00CE4FC2" w:rsidRPr="007131AE" w:rsidRDefault="00CE4FC2" w:rsidP="007131AE">
      <w:pPr>
        <w:pStyle w:val="ListParagraph"/>
        <w:numPr>
          <w:ilvl w:val="0"/>
          <w:numId w:val="29"/>
        </w:numPr>
        <w:rPr>
          <w:sz w:val="21"/>
          <w:szCs w:val="21"/>
        </w:rPr>
      </w:pPr>
      <w:r w:rsidRPr="007131AE">
        <w:rPr>
          <w:rStyle w:val="Hyperlink"/>
          <w:color w:val="auto"/>
          <w:sz w:val="21"/>
          <w:szCs w:val="21"/>
          <w:u w:val="none"/>
        </w:rPr>
        <w:t>AR Denominator Line List:</w:t>
      </w:r>
      <w:r w:rsidRPr="007131AE">
        <w:rPr>
          <w:rStyle w:val="Hyperlink"/>
          <w:color w:val="auto"/>
          <w:sz w:val="21"/>
          <w:szCs w:val="21"/>
        </w:rPr>
        <w:t xml:space="preserve"> </w:t>
      </w:r>
      <w:hyperlink r:id="rId65" w:history="1">
        <w:r w:rsidRPr="007131AE">
          <w:rPr>
            <w:rStyle w:val="Hyperlink"/>
            <w:sz w:val="21"/>
            <w:szCs w:val="21"/>
          </w:rPr>
          <w:t>https://www.cdc.gov/nhsn/pdfs/ps-analysis-resources/aur/ar-qrg-denom-linelist-508.pdf</w:t>
        </w:r>
      </w:hyperlink>
      <w:r w:rsidRPr="007131AE">
        <w:rPr>
          <w:rStyle w:val="Hyperlink"/>
          <w:color w:val="auto"/>
          <w:sz w:val="21"/>
          <w:szCs w:val="21"/>
        </w:rPr>
        <w:t xml:space="preserve"> </w:t>
      </w:r>
    </w:p>
    <w:p w14:paraId="5F651E5E" w14:textId="59FAFD5A" w:rsidR="00DC57CC" w:rsidRPr="006740DC" w:rsidRDefault="00DC57CC" w:rsidP="006740DC"/>
    <w:sectPr w:rsidR="00DC57CC" w:rsidRPr="006740DC" w:rsidSect="00327CE9">
      <w:pgSz w:w="12240" w:h="15840" w:code="1"/>
      <w:pgMar w:top="540" w:right="720" w:bottom="720" w:left="720" w:header="720" w:footer="5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2694F" w14:textId="77777777" w:rsidR="006F7673" w:rsidRDefault="006F7673" w:rsidP="008B5D54">
      <w:pPr>
        <w:spacing w:after="0" w:line="240" w:lineRule="auto"/>
      </w:pPr>
      <w:r>
        <w:separator/>
      </w:r>
    </w:p>
  </w:endnote>
  <w:endnote w:type="continuationSeparator" w:id="0">
    <w:p w14:paraId="65D24351" w14:textId="77777777" w:rsidR="006F7673" w:rsidRDefault="006F767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89F06" w14:textId="77777777" w:rsidR="006F7673" w:rsidRDefault="006F76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9EBA7" w14:textId="6AF88E51" w:rsidR="006F7673" w:rsidRDefault="006F7673">
    <w:pPr>
      <w:pStyle w:val="Footer"/>
      <w:jc w:val="right"/>
    </w:pPr>
    <w:r>
      <w:rPr>
        <w:noProof/>
      </w:rPr>
      <mc:AlternateContent>
        <mc:Choice Requires="wps">
          <w:drawing>
            <wp:anchor distT="0" distB="0" distL="114300" distR="114300" simplePos="0" relativeHeight="251659264" behindDoc="0" locked="0" layoutInCell="1" allowOverlap="1" wp14:anchorId="51B23E4C" wp14:editId="637381C9">
              <wp:simplePos x="0" y="0"/>
              <wp:positionH relativeFrom="margin">
                <wp:align>right</wp:align>
              </wp:positionH>
              <wp:positionV relativeFrom="paragraph">
                <wp:posOffset>206883</wp:posOffset>
              </wp:positionV>
              <wp:extent cx="6953693" cy="138223"/>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693" cy="138223"/>
                      </a:xfrm>
                      <a:prstGeom prst="rect">
                        <a:avLst/>
                      </a:prstGeom>
                      <a:solidFill>
                        <a:srgbClr val="D9531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55F372" id="Rectangle 2" o:spid="_x0000_s1026" style="position:absolute;margin-left:496.35pt;margin-top:16.3pt;width:547.55pt;height:10.9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kbAlwIAAIUFAAAOAAAAZHJzL2Uyb0RvYy54bWysVMFu2zAMvQ/YPwi6r46dtmuDOkWQrsOA&#10;og3aDj0rshQbkEVNUuJkXz9Kst2sK3YYloMiiuQj+Uzy6nrfKrIT1jWgS5qfTCgRmkPV6E1Jvz/f&#10;frqgxHmmK6ZAi5IehKPX848frjozEwXUoCphCYJoN+tMSWvvzSzLHK9Fy9wJGKFRKcG2zKNoN1ll&#10;WYforcqKyeQ868BWxgIXzuHrTVLSecSXUnD/IKUTnqiSYm4+njae63Bm8ys221hm6ob3abB/yKJl&#10;jcagI9QN84xsbfMHVNtwCw6kP+HQZiBlw0WsAavJJ2+qeaqZEbEWJMeZkSb3/2D5/W5lSVOVtKBE&#10;sxY/0SOSxvRGCVIEejrjZmj1ZFa2lxxeQ617advwj1WQfaT0MFIq9p5wfDy/PJueX04p4ajLpxdF&#10;MQ2g2au3sc5/FdCScCmpxeiRSba7cz6ZDiYhmAPVVLeNUlGwm/VSWbJj+HlvMFT+pUf/zUzpYKwh&#10;uCXE8JKFylIt8eYPSgQ7pR+FREow+yJmEptRjHEY50L7PKlqVokU/myCvyF6aN/gESuNgAFZYvwR&#10;uwcYLBPIgJ2y7O2Dq4i9PDpP/pZYch49YmTQfnRuGw32PQCFVfWRk/1AUqImsLSG6oANYyFNkjP8&#10;tsHvdsecXzGLo4NDhuvAP+AhFXQlhf5GSQ3253vvwR47GrWUdDiKJXU/tswKStQ3jb1+mZ+ehtmN&#10;wunZ5wIFe6xZH2v0tl0CtkOOi8fweA32Xg1XaaF9wa2xCFFRxTTH2CXl3g7C0qcVgXuHi8UimuG8&#10;Gubv9JPhATywGvryef/CrOmb12Pb38Mwtmz2poeTbfDUsNh6kE1s8Fdee75x1mPj9HspLJNjOVq9&#10;bs/5LwAAAP//AwBQSwMEFAAGAAgAAAAhAFXj7QrcAAAABwEAAA8AAABkcnMvZG93bnJldi54bWxM&#10;j8FOwzAQRO9I/IO1SFwQtRvaqIQ4FapUlSuFC7dNvMQR8TrEbhr+HvcEx9GMZt6U29n1YqIxdJ41&#10;LBcKBHHjTcethve3/f0GRIjIBnvPpOGHAmyr66sSC+PP/ErTMbYilXAoUIONcSikDI0lh2HhB+Lk&#10;ffrRYUxybKUZ8ZzKXS8zpXLpsOO0YHGgnaXm63hyGuLdh2O1zxrk6SWvv3f2cNjMWt/ezM9PICLN&#10;8S8MF/yEDlViqv2JTRC9hnQkanjIchAXVz2ulyBqDevVCmRVyv/81S8AAAD//wMAUEsBAi0AFAAG&#10;AAgAAAAhALaDOJL+AAAA4QEAABMAAAAAAAAAAAAAAAAAAAAAAFtDb250ZW50X1R5cGVzXS54bWxQ&#10;SwECLQAUAAYACAAAACEAOP0h/9YAAACUAQAACwAAAAAAAAAAAAAAAAAvAQAAX3JlbHMvLnJlbHNQ&#10;SwECLQAUAAYACAAAACEAW1ZGwJcCAACFBQAADgAAAAAAAAAAAAAAAAAuAgAAZHJzL2Uyb0RvYy54&#10;bWxQSwECLQAUAAYACAAAACEAVePtCtwAAAAHAQAADwAAAAAAAAAAAAAAAADxBAAAZHJzL2Rvd25y&#10;ZXYueG1sUEsFBgAAAAAEAAQA8wAAAPoFAAAAAA==&#10;" fillcolor="#d9531e" stroked="f" strokeweight="2pt">
              <w10:wrap anchorx="margin"/>
            </v:rect>
          </w:pict>
        </mc:Fallback>
      </mc:AlternateContent>
    </w:r>
    <w:sdt>
      <w:sdtPr>
        <w:id w:val="38168303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F651E6B" w14:textId="6AA8DB79" w:rsidR="006F7673" w:rsidRPr="001C77A9" w:rsidRDefault="006F7673" w:rsidP="001C77A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9532103"/>
      <w:docPartObj>
        <w:docPartGallery w:val="Page Numbers (Bottom of Page)"/>
        <w:docPartUnique/>
      </w:docPartObj>
    </w:sdtPr>
    <w:sdtEndPr>
      <w:rPr>
        <w:noProof/>
      </w:rPr>
    </w:sdtEndPr>
    <w:sdtContent>
      <w:p w14:paraId="673E763C" w14:textId="37C5CF86" w:rsidR="006F7673" w:rsidRDefault="006F76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3C8367" w14:textId="54E56BCC" w:rsidR="006F7673" w:rsidRDefault="006F7673">
    <w:pPr>
      <w:pStyle w:val="Footer"/>
    </w:pPr>
    <w:r>
      <w:rPr>
        <w:noProof/>
      </w:rPr>
      <w:drawing>
        <wp:inline distT="0" distB="0" distL="0" distR="0" wp14:anchorId="00656314" wp14:editId="77CC8423">
          <wp:extent cx="6858000" cy="795980"/>
          <wp:effectExtent l="0" t="0" r="0" b="444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gency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0" cy="79598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1A6F1" w14:textId="77777777" w:rsidR="006F7673" w:rsidRDefault="006F7673">
    <w:pPr>
      <w:pStyle w:val="Footer"/>
      <w:jc w:val="right"/>
    </w:pPr>
    <w:r>
      <w:rPr>
        <w:noProof/>
      </w:rPr>
      <mc:AlternateContent>
        <mc:Choice Requires="wps">
          <w:drawing>
            <wp:anchor distT="0" distB="0" distL="114300" distR="114300" simplePos="0" relativeHeight="251663360" behindDoc="0" locked="0" layoutInCell="1" allowOverlap="1" wp14:anchorId="2F45F07A" wp14:editId="29274546">
              <wp:simplePos x="0" y="0"/>
              <wp:positionH relativeFrom="margin">
                <wp:align>right</wp:align>
              </wp:positionH>
              <wp:positionV relativeFrom="paragraph">
                <wp:posOffset>206883</wp:posOffset>
              </wp:positionV>
              <wp:extent cx="6953693" cy="138223"/>
              <wp:effectExtent l="0" t="0" r="0"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693" cy="138223"/>
                      </a:xfrm>
                      <a:prstGeom prst="rect">
                        <a:avLst/>
                      </a:prstGeom>
                      <a:solidFill>
                        <a:srgbClr val="D9531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75E253" id="Rectangle 4" o:spid="_x0000_s1026" style="position:absolute;margin-left:496.35pt;margin-top:16.3pt;width:547.55pt;height:10.9pt;z-index:25166336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ef67QIAAEQGAAAOAAAAZHJzL2Uyb0RvYy54bWysVNtu2zAMfR+wfxD0njp2nJtRp8ilGQYU&#10;bdF26LMiy4kBWdIk5bZh/z5Kst2uK4ZhWIDIkkge8pAUL69ONUcHpk0lRY7jiz5GTFBZVGKb4y9P&#10;694EI2OJKAiXguX4zAy+mn38cHlUGUvkTvKCaQQgwmRHleOdtSqLIkN3rCbmQiomQFhKXRMLR72N&#10;Ck2OgF7zKOn3R9FR6kJpSZkxcLsKQjzz+GXJqL0rS8Ms4jmG2KxftV83bo1mlyTbaqJ2FW3CIP8Q&#10;RU0qAU47qBWxBO119RtUXVEtjSztBZV1JMuyosxzADZx/w2bxx1RzHOB5BjVpcn8P1h6e7jXqCpy&#10;nGIkSA0leoCkEbHlDKWeEjvZG2MdOdgFUt+X8WSwGq9HvUU6nfTSwWLQm6aTRS8eJ5PFMJnPR9fp&#10;D2ddMJrBX2piqwNrMww3f0ehKbZLzjh6wcHoQKCgsStf5ONqvz7S6KhM5pm5PvDbR3WvQdmdDGwd&#10;m1Opa/eFIqCT74hz1xGOKYXL0XQ4GE0HGFGQxYNJkgwan6210sZ+YrJGbpNjDcnzWSMHCCWE16o4&#10;Z0byqlhXnPuD3m6WXAcyK3AVXzfov6hx4ZSFdGYB0d14koGLZ2XPnDk9Lh5YCRWF6BMfiX9LrPND&#10;KGXCxkG0gwIF98M+/Frv7vU5C59VD+iQS/DfYTcArWYAabFDlI2+M2X+KXbG/T8FFow7C+9ZCtsZ&#10;15WQ+j0ADqwaz0G/TVJIjcvSRhZn6HctwyAwiq4rqNsNMfaeaHj5MCNgmtk7WEoujzmWzQ6jndTf&#10;3rt3+tDNIMXoCJMkx+brnmiGEf8s4KlO4zR1o8cf0uE4gYN+Ldm8loh9vZS+txFE57dO3/J2W2pZ&#10;P8PQmzuvICKCgu8cU6vbw9KGCQdjk7L53KvBuFHE3ohHBU8vFM/15dPpmWjVNK+Ftr+V7dQh2Zse&#10;DrquHkLO91aWlW/wl7w2+YZR5RunGatuFr4+e62X4T/7CQAA//8DAFBLAwQUAAYACAAAACEAVePt&#10;CtwAAAAHAQAADwAAAGRycy9kb3ducmV2LnhtbEyPwU7DMBBE70j8g7VIXBC1G9qohDgVqlSVK4UL&#10;t028xBHxOsRuGv4e9wTH0Yxm3pTb2fViojF0njUsFwoEceNNx62G97f9/QZEiMgGe8+k4YcCbKvr&#10;qxIL48/8StMxtiKVcChQg41xKKQMjSWHYeEH4uR9+tFhTHJspRnxnMpdLzOlcumw47RgcaCdpebr&#10;eHIa4t2HY7XPGuTpJa+/d/Zw2Mxa397Mz08gIs3xLwwX/IQOVWKq/YlNEL2GdCRqeMhyEBdXPa6X&#10;IGoN69UKZFXK//zVLwAAAP//AwBQSwECLQAUAAYACAAAACEAtoM4kv4AAADhAQAAEwAAAAAAAAAA&#10;AAAAAAAAAAAAW0NvbnRlbnRfVHlwZXNdLnhtbFBLAQItABQABgAIAAAAIQA4/SH/1gAAAJQBAAAL&#10;AAAAAAAAAAAAAAAAAC8BAABfcmVscy8ucmVsc1BLAQItABQABgAIAAAAIQAzkef67QIAAEQGAAAO&#10;AAAAAAAAAAAAAAAAAC4CAABkcnMvZTJvRG9jLnhtbFBLAQItABQABgAIAAAAIQBV4+0K3AAAAAcB&#10;AAAPAAAAAAAAAAAAAAAAAEcFAABkcnMvZG93bnJldi54bWxQSwUGAAAAAAQABADzAAAAUAYAAAAA&#10;" fillcolor="#d9531e" stroked="f" strokeweight="2pt">
              <w10:wrap anchorx="margin"/>
            </v:rect>
          </w:pict>
        </mc:Fallback>
      </mc:AlternateContent>
    </w:r>
    <w:sdt>
      <w:sdtPr>
        <w:id w:val="-8420168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A1E1630" w14:textId="77777777" w:rsidR="006F7673" w:rsidRPr="001C77A9" w:rsidRDefault="006F7673" w:rsidP="001C77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3A0D9" w14:textId="77777777" w:rsidR="006F7673" w:rsidRDefault="006F7673" w:rsidP="008B5D54">
      <w:pPr>
        <w:spacing w:after="0" w:line="240" w:lineRule="auto"/>
      </w:pPr>
      <w:r>
        <w:separator/>
      </w:r>
    </w:p>
  </w:footnote>
  <w:footnote w:type="continuationSeparator" w:id="0">
    <w:p w14:paraId="33BA285C" w14:textId="77777777" w:rsidR="006F7673" w:rsidRDefault="006F7673"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BBEDF" w14:textId="77777777" w:rsidR="006F7673" w:rsidRDefault="006F76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A20AE" w14:textId="77777777" w:rsidR="006F7673" w:rsidRDefault="006F76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16FE0" w14:textId="77777777" w:rsidR="006F7673" w:rsidRDefault="006F76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F9161" w14:textId="45D1B483" w:rsidR="006F7673" w:rsidRDefault="006F7673" w:rsidP="00467AB9">
    <w:pPr>
      <w:pStyle w:val="Header"/>
      <w:jc w:val="right"/>
    </w:pPr>
    <w:r>
      <w:t>Updated February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5438A"/>
    <w:multiLevelType w:val="hybridMultilevel"/>
    <w:tmpl w:val="AE429D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B4696"/>
    <w:multiLevelType w:val="hybridMultilevel"/>
    <w:tmpl w:val="FF9CB3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97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D52EB"/>
    <w:multiLevelType w:val="hybridMultilevel"/>
    <w:tmpl w:val="7F0EA46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4657F8"/>
    <w:multiLevelType w:val="hybridMultilevel"/>
    <w:tmpl w:val="17CAF4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C807FE"/>
    <w:multiLevelType w:val="hybridMultilevel"/>
    <w:tmpl w:val="F564C468"/>
    <w:lvl w:ilvl="0" w:tplc="3D4624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E3D35"/>
    <w:multiLevelType w:val="hybridMultilevel"/>
    <w:tmpl w:val="FF9CB3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97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77B36"/>
    <w:multiLevelType w:val="hybridMultilevel"/>
    <w:tmpl w:val="B04AB1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741873"/>
    <w:multiLevelType w:val="multilevel"/>
    <w:tmpl w:val="B93CD9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01C05EF"/>
    <w:multiLevelType w:val="hybridMultilevel"/>
    <w:tmpl w:val="FF9CB3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97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13714"/>
    <w:multiLevelType w:val="multilevel"/>
    <w:tmpl w:val="63508D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E9957FB"/>
    <w:multiLevelType w:val="multilevel"/>
    <w:tmpl w:val="321010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0B55222"/>
    <w:multiLevelType w:val="hybridMultilevel"/>
    <w:tmpl w:val="6E0E8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82E68"/>
    <w:multiLevelType w:val="hybridMultilevel"/>
    <w:tmpl w:val="F5BE1A6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E240BA"/>
    <w:multiLevelType w:val="multilevel"/>
    <w:tmpl w:val="A6BC2C3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42C2BD5"/>
    <w:multiLevelType w:val="multilevel"/>
    <w:tmpl w:val="63508D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F2659F"/>
    <w:multiLevelType w:val="hybridMultilevel"/>
    <w:tmpl w:val="A6A6B46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1A6CA2"/>
    <w:multiLevelType w:val="hybridMultilevel"/>
    <w:tmpl w:val="EAFA3532"/>
    <w:lvl w:ilvl="0" w:tplc="7A522FE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FE3C84"/>
    <w:multiLevelType w:val="multilevel"/>
    <w:tmpl w:val="8C4241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11379A4"/>
    <w:multiLevelType w:val="multilevel"/>
    <w:tmpl w:val="63508D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ED0231"/>
    <w:multiLevelType w:val="hybridMultilevel"/>
    <w:tmpl w:val="9ACCED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EC3118"/>
    <w:multiLevelType w:val="hybridMultilevel"/>
    <w:tmpl w:val="60B0A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9E1E3F"/>
    <w:multiLevelType w:val="hybridMultilevel"/>
    <w:tmpl w:val="29C25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06171B"/>
    <w:multiLevelType w:val="hybridMultilevel"/>
    <w:tmpl w:val="1E283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F605BE"/>
    <w:multiLevelType w:val="hybridMultilevel"/>
    <w:tmpl w:val="0F4E68D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6E7A1055"/>
    <w:multiLevelType w:val="multilevel"/>
    <w:tmpl w:val="8B70EC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39901B6"/>
    <w:multiLevelType w:val="multilevel"/>
    <w:tmpl w:val="AC70B5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59A5422"/>
    <w:multiLevelType w:val="hybridMultilevel"/>
    <w:tmpl w:val="A424A2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76537C"/>
    <w:multiLevelType w:val="hybridMultilevel"/>
    <w:tmpl w:val="FF9CB3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97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84611B"/>
    <w:multiLevelType w:val="multilevel"/>
    <w:tmpl w:val="BBA40A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26"/>
  </w:num>
  <w:num w:numId="3">
    <w:abstractNumId w:val="20"/>
  </w:num>
  <w:num w:numId="4">
    <w:abstractNumId w:val="27"/>
  </w:num>
  <w:num w:numId="5">
    <w:abstractNumId w:val="3"/>
  </w:num>
  <w:num w:numId="6">
    <w:abstractNumId w:val="2"/>
  </w:num>
  <w:num w:numId="7">
    <w:abstractNumId w:val="19"/>
  </w:num>
  <w:num w:numId="8">
    <w:abstractNumId w:val="12"/>
  </w:num>
  <w:num w:numId="9">
    <w:abstractNumId w:val="6"/>
  </w:num>
  <w:num w:numId="10">
    <w:abstractNumId w:val="5"/>
  </w:num>
  <w:num w:numId="11">
    <w:abstractNumId w:val="0"/>
  </w:num>
  <w:num w:numId="12">
    <w:abstractNumId w:val="8"/>
  </w:num>
  <w:num w:numId="13">
    <w:abstractNumId w:val="1"/>
  </w:num>
  <w:num w:numId="14">
    <w:abstractNumId w:val="22"/>
  </w:num>
  <w:num w:numId="15">
    <w:abstractNumId w:val="14"/>
  </w:num>
  <w:num w:numId="16">
    <w:abstractNumId w:val="17"/>
  </w:num>
  <w:num w:numId="17">
    <w:abstractNumId w:val="24"/>
  </w:num>
  <w:num w:numId="18">
    <w:abstractNumId w:val="7"/>
  </w:num>
  <w:num w:numId="19">
    <w:abstractNumId w:val="28"/>
  </w:num>
  <w:num w:numId="20">
    <w:abstractNumId w:val="10"/>
  </w:num>
  <w:num w:numId="21">
    <w:abstractNumId w:val="13"/>
  </w:num>
  <w:num w:numId="22">
    <w:abstractNumId w:val="25"/>
  </w:num>
  <w:num w:numId="23">
    <w:abstractNumId w:val="9"/>
  </w:num>
  <w:num w:numId="24">
    <w:abstractNumId w:val="18"/>
  </w:num>
  <w:num w:numId="25">
    <w:abstractNumId w:val="21"/>
  </w:num>
  <w:num w:numId="26">
    <w:abstractNumId w:val="16"/>
  </w:num>
  <w:num w:numId="27">
    <w:abstractNumId w:val="15"/>
  </w:num>
  <w:num w:numId="28">
    <w:abstractNumId w:val="23"/>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E3"/>
    <w:rsid w:val="00011C03"/>
    <w:rsid w:val="00035E2B"/>
    <w:rsid w:val="000538D7"/>
    <w:rsid w:val="00077270"/>
    <w:rsid w:val="00083D29"/>
    <w:rsid w:val="00087FE4"/>
    <w:rsid w:val="00097D06"/>
    <w:rsid w:val="000B20F0"/>
    <w:rsid w:val="00134981"/>
    <w:rsid w:val="00136F2C"/>
    <w:rsid w:val="00152D40"/>
    <w:rsid w:val="0015558C"/>
    <w:rsid w:val="00160D92"/>
    <w:rsid w:val="00190AE5"/>
    <w:rsid w:val="001C77A9"/>
    <w:rsid w:val="001F0419"/>
    <w:rsid w:val="001F20C7"/>
    <w:rsid w:val="001F360A"/>
    <w:rsid w:val="00211B39"/>
    <w:rsid w:val="0021781D"/>
    <w:rsid w:val="00283028"/>
    <w:rsid w:val="0029457B"/>
    <w:rsid w:val="002D62E0"/>
    <w:rsid w:val="002E5420"/>
    <w:rsid w:val="00327CE9"/>
    <w:rsid w:val="00332A71"/>
    <w:rsid w:val="00336F75"/>
    <w:rsid w:val="0036730B"/>
    <w:rsid w:val="00385293"/>
    <w:rsid w:val="003947D3"/>
    <w:rsid w:val="00394A98"/>
    <w:rsid w:val="00396C50"/>
    <w:rsid w:val="003B7507"/>
    <w:rsid w:val="003D2BE7"/>
    <w:rsid w:val="003D38E6"/>
    <w:rsid w:val="00436B3C"/>
    <w:rsid w:val="00455BC7"/>
    <w:rsid w:val="00467AB9"/>
    <w:rsid w:val="00476FDB"/>
    <w:rsid w:val="004803D5"/>
    <w:rsid w:val="004C57B8"/>
    <w:rsid w:val="004D3AE6"/>
    <w:rsid w:val="00505CB2"/>
    <w:rsid w:val="00532CF8"/>
    <w:rsid w:val="00545660"/>
    <w:rsid w:val="00545F67"/>
    <w:rsid w:val="0056155B"/>
    <w:rsid w:val="00562BA7"/>
    <w:rsid w:val="005846C6"/>
    <w:rsid w:val="00584A4D"/>
    <w:rsid w:val="005D2EE4"/>
    <w:rsid w:val="005F043A"/>
    <w:rsid w:val="00611F05"/>
    <w:rsid w:val="00625CDC"/>
    <w:rsid w:val="006740DC"/>
    <w:rsid w:val="0067592C"/>
    <w:rsid w:val="00676716"/>
    <w:rsid w:val="006B7977"/>
    <w:rsid w:val="006C6578"/>
    <w:rsid w:val="006D7240"/>
    <w:rsid w:val="006F7673"/>
    <w:rsid w:val="00701546"/>
    <w:rsid w:val="007131AE"/>
    <w:rsid w:val="00725B57"/>
    <w:rsid w:val="00750228"/>
    <w:rsid w:val="00756C72"/>
    <w:rsid w:val="00780FE8"/>
    <w:rsid w:val="0078241F"/>
    <w:rsid w:val="007854E8"/>
    <w:rsid w:val="0079142A"/>
    <w:rsid w:val="007A3B5D"/>
    <w:rsid w:val="007E69E0"/>
    <w:rsid w:val="007F043E"/>
    <w:rsid w:val="00826322"/>
    <w:rsid w:val="00841874"/>
    <w:rsid w:val="008513A0"/>
    <w:rsid w:val="008617B6"/>
    <w:rsid w:val="008736B9"/>
    <w:rsid w:val="008774BD"/>
    <w:rsid w:val="008B5D54"/>
    <w:rsid w:val="008D2579"/>
    <w:rsid w:val="008D6816"/>
    <w:rsid w:val="008E1F0B"/>
    <w:rsid w:val="008E5167"/>
    <w:rsid w:val="009075CE"/>
    <w:rsid w:val="00930981"/>
    <w:rsid w:val="00932841"/>
    <w:rsid w:val="00933DB6"/>
    <w:rsid w:val="009542D3"/>
    <w:rsid w:val="009565D8"/>
    <w:rsid w:val="009A3CFA"/>
    <w:rsid w:val="009A59D0"/>
    <w:rsid w:val="009E582D"/>
    <w:rsid w:val="009F0B54"/>
    <w:rsid w:val="009F0CEB"/>
    <w:rsid w:val="00A61AEC"/>
    <w:rsid w:val="00A86622"/>
    <w:rsid w:val="00A948C4"/>
    <w:rsid w:val="00AA0279"/>
    <w:rsid w:val="00AB4074"/>
    <w:rsid w:val="00AC59F8"/>
    <w:rsid w:val="00B4526A"/>
    <w:rsid w:val="00B45A17"/>
    <w:rsid w:val="00B55735"/>
    <w:rsid w:val="00B608AC"/>
    <w:rsid w:val="00B87222"/>
    <w:rsid w:val="00BA6725"/>
    <w:rsid w:val="00BB00A5"/>
    <w:rsid w:val="00BB2B1E"/>
    <w:rsid w:val="00BB62C7"/>
    <w:rsid w:val="00BE2672"/>
    <w:rsid w:val="00BE63EF"/>
    <w:rsid w:val="00C11CE3"/>
    <w:rsid w:val="00C24C61"/>
    <w:rsid w:val="00C3077D"/>
    <w:rsid w:val="00C65452"/>
    <w:rsid w:val="00C741B5"/>
    <w:rsid w:val="00CB5C95"/>
    <w:rsid w:val="00CE4FC2"/>
    <w:rsid w:val="00D13B17"/>
    <w:rsid w:val="00D33B29"/>
    <w:rsid w:val="00D463D5"/>
    <w:rsid w:val="00D47CEE"/>
    <w:rsid w:val="00D6786C"/>
    <w:rsid w:val="00D7319E"/>
    <w:rsid w:val="00D734CF"/>
    <w:rsid w:val="00D750FB"/>
    <w:rsid w:val="00DB5D31"/>
    <w:rsid w:val="00DC57CC"/>
    <w:rsid w:val="00DD64F5"/>
    <w:rsid w:val="00E16C43"/>
    <w:rsid w:val="00E22FD4"/>
    <w:rsid w:val="00E558E8"/>
    <w:rsid w:val="00E63593"/>
    <w:rsid w:val="00E95D3D"/>
    <w:rsid w:val="00ED081D"/>
    <w:rsid w:val="00EE02FA"/>
    <w:rsid w:val="00F32F02"/>
    <w:rsid w:val="00F60FA4"/>
    <w:rsid w:val="00F635E2"/>
    <w:rsid w:val="00FC7758"/>
    <w:rsid w:val="00FE4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F651E53"/>
  <w15:chartTrackingRefBased/>
  <w15:docId w15:val="{88236A64-E236-4316-B8A8-C50A17BE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758"/>
    <w:rPr>
      <w:sz w:val="21"/>
    </w:rPr>
  </w:style>
  <w:style w:type="paragraph" w:styleId="Heading1">
    <w:name w:val="heading 1"/>
    <w:basedOn w:val="Normal"/>
    <w:next w:val="Normal"/>
    <w:link w:val="Heading1Char"/>
    <w:uiPriority w:val="9"/>
    <w:qFormat/>
    <w:rsid w:val="008E1F0B"/>
    <w:pPr>
      <w:keepNext/>
      <w:keepLines/>
      <w:spacing w:before="360" w:after="0"/>
      <w:outlineLvl w:val="0"/>
    </w:pPr>
    <w:rPr>
      <w:rFonts w:eastAsiaTheme="majorEastAsia" w:cstheme="majorBidi"/>
      <w:b/>
      <w:noProof/>
      <w:color w:val="000000" w:themeColor="text1"/>
      <w:sz w:val="52"/>
      <w:szCs w:val="56"/>
    </w:rPr>
  </w:style>
  <w:style w:type="paragraph" w:styleId="Heading2">
    <w:name w:val="heading 2"/>
    <w:basedOn w:val="Normal"/>
    <w:next w:val="Normal"/>
    <w:link w:val="Heading2Char"/>
    <w:uiPriority w:val="9"/>
    <w:unhideWhenUsed/>
    <w:qFormat/>
    <w:rsid w:val="00D13B17"/>
    <w:pPr>
      <w:keepNext/>
      <w:keepLines/>
      <w:spacing w:after="0"/>
      <w:outlineLvl w:val="1"/>
    </w:pPr>
    <w:rPr>
      <w:rFonts w:eastAsiaTheme="majorEastAsia" w:cstheme="majorBidi"/>
      <w:color w:val="0070C0"/>
      <w:sz w:val="36"/>
      <w:szCs w:val="26"/>
    </w:rPr>
  </w:style>
  <w:style w:type="paragraph" w:styleId="Heading3">
    <w:name w:val="heading 3"/>
    <w:basedOn w:val="Normal"/>
    <w:next w:val="Normal"/>
    <w:link w:val="Heading3Char"/>
    <w:uiPriority w:val="9"/>
    <w:unhideWhenUsed/>
    <w:qFormat/>
    <w:rsid w:val="007854E8"/>
    <w:pPr>
      <w:keepNext/>
      <w:keepLines/>
      <w:spacing w:before="40" w:after="0"/>
      <w:outlineLvl w:val="2"/>
    </w:pPr>
    <w:rPr>
      <w:rFonts w:asciiTheme="majorHAnsi" w:eastAsiaTheme="majorEastAsia" w:hAnsiTheme="majorHAnsi" w:cstheme="majorBidi"/>
      <w:color w:val="243F60" w:themeColor="accent1" w:themeShade="7F"/>
      <w:sz w:val="32"/>
      <w:szCs w:val="24"/>
    </w:rPr>
  </w:style>
  <w:style w:type="paragraph" w:styleId="Heading4">
    <w:name w:val="heading 4"/>
    <w:basedOn w:val="Normal"/>
    <w:next w:val="Normal"/>
    <w:link w:val="Heading4Char"/>
    <w:uiPriority w:val="9"/>
    <w:unhideWhenUsed/>
    <w:qFormat/>
    <w:rsid w:val="00545F67"/>
    <w:pPr>
      <w:keepNext/>
      <w:keepLines/>
      <w:spacing w:before="40" w:after="0"/>
      <w:outlineLvl w:val="3"/>
    </w:pPr>
    <w:rPr>
      <w:rFonts w:eastAsiaTheme="majorEastAsia" w:cstheme="majorBidi"/>
      <w:b/>
      <w:iCs/>
      <w:color w:val="365F91" w:themeColor="accent1" w:themeShade="BF"/>
      <w:sz w:val="22"/>
    </w:rPr>
  </w:style>
  <w:style w:type="paragraph" w:styleId="Heading5">
    <w:name w:val="heading 5"/>
    <w:basedOn w:val="Normal"/>
    <w:next w:val="Normal"/>
    <w:link w:val="Heading5Char"/>
    <w:uiPriority w:val="9"/>
    <w:unhideWhenUsed/>
    <w:qFormat/>
    <w:rsid w:val="00190AE5"/>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90AE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F0B"/>
    <w:rPr>
      <w:rFonts w:eastAsiaTheme="majorEastAsia" w:cstheme="majorBidi"/>
      <w:b/>
      <w:noProof/>
      <w:color w:val="000000" w:themeColor="text1"/>
      <w:sz w:val="52"/>
      <w:szCs w:val="56"/>
    </w:rPr>
  </w:style>
  <w:style w:type="character" w:customStyle="1" w:styleId="Heading2Char">
    <w:name w:val="Heading 2 Char"/>
    <w:basedOn w:val="DefaultParagraphFont"/>
    <w:link w:val="Heading2"/>
    <w:uiPriority w:val="9"/>
    <w:rsid w:val="00D13B17"/>
    <w:rPr>
      <w:rFonts w:eastAsiaTheme="majorEastAsia" w:cstheme="majorBidi"/>
      <w:color w:val="0070C0"/>
      <w:sz w:val="36"/>
      <w:szCs w:val="26"/>
    </w:rPr>
  </w:style>
  <w:style w:type="character" w:customStyle="1" w:styleId="Heading3Char">
    <w:name w:val="Heading 3 Char"/>
    <w:basedOn w:val="DefaultParagraphFont"/>
    <w:link w:val="Heading3"/>
    <w:uiPriority w:val="9"/>
    <w:rsid w:val="007854E8"/>
    <w:rPr>
      <w:rFonts w:asciiTheme="majorHAnsi" w:eastAsiaTheme="majorEastAsia" w:hAnsiTheme="majorHAnsi" w:cstheme="majorBidi"/>
      <w:color w:val="243F60" w:themeColor="accent1" w:themeShade="7F"/>
      <w:sz w:val="32"/>
      <w:szCs w:val="24"/>
    </w:rPr>
  </w:style>
  <w:style w:type="character" w:customStyle="1" w:styleId="Heading4Char">
    <w:name w:val="Heading 4 Char"/>
    <w:basedOn w:val="DefaultParagraphFont"/>
    <w:link w:val="Heading4"/>
    <w:uiPriority w:val="9"/>
    <w:rsid w:val="00545F67"/>
    <w:rPr>
      <w:rFonts w:eastAsiaTheme="majorEastAsia" w:cstheme="majorBidi"/>
      <w:b/>
      <w:iCs/>
      <w:color w:val="365F91" w:themeColor="accent1" w:themeShade="BF"/>
    </w:rPr>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Subtitle">
    <w:name w:val="Subtitle"/>
    <w:basedOn w:val="Normal"/>
    <w:next w:val="Normal"/>
    <w:link w:val="SubtitleChar"/>
    <w:uiPriority w:val="11"/>
    <w:qFormat/>
    <w:rsid w:val="002D62E0"/>
    <w:pPr>
      <w:numPr>
        <w:ilvl w:val="1"/>
      </w:numPr>
      <w:spacing w:after="160"/>
    </w:pPr>
    <w:rPr>
      <w:rFonts w:eastAsiaTheme="majorEastAsia"/>
      <w:b/>
      <w:color w:val="5A5A5A" w:themeColor="text1" w:themeTint="A5"/>
      <w:spacing w:val="15"/>
      <w:sz w:val="28"/>
      <w:szCs w:val="28"/>
    </w:rPr>
  </w:style>
  <w:style w:type="character" w:customStyle="1" w:styleId="SubtitleChar">
    <w:name w:val="Subtitle Char"/>
    <w:basedOn w:val="DefaultParagraphFont"/>
    <w:link w:val="Subtitle"/>
    <w:uiPriority w:val="11"/>
    <w:rsid w:val="002D62E0"/>
    <w:rPr>
      <w:rFonts w:eastAsiaTheme="majorEastAsia"/>
      <w:b/>
      <w:color w:val="5A5A5A" w:themeColor="text1" w:themeTint="A5"/>
      <w:spacing w:val="15"/>
      <w:sz w:val="28"/>
      <w:szCs w:val="28"/>
    </w:rPr>
  </w:style>
  <w:style w:type="paragraph" w:styleId="NormalWeb">
    <w:name w:val="Normal (Web)"/>
    <w:basedOn w:val="Normal"/>
    <w:uiPriority w:val="99"/>
    <w:semiHidden/>
    <w:unhideWhenUsed/>
    <w:rsid w:val="0067592C"/>
    <w:pPr>
      <w:spacing w:after="225" w:line="240" w:lineRule="auto"/>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34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4CF"/>
    <w:rPr>
      <w:rFonts w:ascii="Segoe UI" w:hAnsi="Segoe UI" w:cs="Segoe UI"/>
      <w:sz w:val="18"/>
      <w:szCs w:val="18"/>
    </w:rPr>
  </w:style>
  <w:style w:type="paragraph" w:styleId="Revision">
    <w:name w:val="Revision"/>
    <w:hidden/>
    <w:uiPriority w:val="99"/>
    <w:semiHidden/>
    <w:rsid w:val="00780FE8"/>
    <w:pPr>
      <w:spacing w:after="0" w:line="240" w:lineRule="auto"/>
    </w:pPr>
    <w:rPr>
      <w:sz w:val="21"/>
    </w:rPr>
  </w:style>
  <w:style w:type="character" w:styleId="Hyperlink">
    <w:name w:val="Hyperlink"/>
    <w:basedOn w:val="DefaultParagraphFont"/>
    <w:uiPriority w:val="99"/>
    <w:unhideWhenUsed/>
    <w:rsid w:val="006D7240"/>
    <w:rPr>
      <w:color w:val="0000FF" w:themeColor="hyperlink"/>
      <w:u w:val="single"/>
    </w:rPr>
  </w:style>
  <w:style w:type="character" w:styleId="CommentReference">
    <w:name w:val="annotation reference"/>
    <w:basedOn w:val="DefaultParagraphFont"/>
    <w:uiPriority w:val="99"/>
    <w:semiHidden/>
    <w:unhideWhenUsed/>
    <w:rsid w:val="006D7240"/>
    <w:rPr>
      <w:sz w:val="16"/>
      <w:szCs w:val="16"/>
    </w:rPr>
  </w:style>
  <w:style w:type="paragraph" w:styleId="CommentText">
    <w:name w:val="annotation text"/>
    <w:basedOn w:val="Normal"/>
    <w:link w:val="CommentTextChar"/>
    <w:uiPriority w:val="99"/>
    <w:semiHidden/>
    <w:unhideWhenUsed/>
    <w:rsid w:val="006D7240"/>
    <w:pPr>
      <w:spacing w:line="240" w:lineRule="auto"/>
    </w:pPr>
    <w:rPr>
      <w:sz w:val="20"/>
      <w:szCs w:val="20"/>
    </w:rPr>
  </w:style>
  <w:style w:type="character" w:customStyle="1" w:styleId="CommentTextChar">
    <w:name w:val="Comment Text Char"/>
    <w:basedOn w:val="DefaultParagraphFont"/>
    <w:link w:val="CommentText"/>
    <w:uiPriority w:val="99"/>
    <w:semiHidden/>
    <w:rsid w:val="006D7240"/>
    <w:rPr>
      <w:sz w:val="20"/>
      <w:szCs w:val="20"/>
    </w:rPr>
  </w:style>
  <w:style w:type="table" w:styleId="TableGrid">
    <w:name w:val="Table Grid"/>
    <w:basedOn w:val="TableNormal"/>
    <w:uiPriority w:val="59"/>
    <w:rsid w:val="006D7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7240"/>
    <w:pPr>
      <w:spacing w:after="0" w:line="240" w:lineRule="auto"/>
    </w:pPr>
  </w:style>
  <w:style w:type="paragraph" w:styleId="ListParagraph">
    <w:name w:val="List Paragraph"/>
    <w:basedOn w:val="Normal"/>
    <w:uiPriority w:val="34"/>
    <w:qFormat/>
    <w:rsid w:val="006D7240"/>
    <w:pPr>
      <w:ind w:left="720"/>
      <w:contextualSpacing/>
    </w:pPr>
    <w:rPr>
      <w:sz w:val="22"/>
    </w:rPr>
  </w:style>
  <w:style w:type="character" w:customStyle="1" w:styleId="CommentSubjectChar">
    <w:name w:val="Comment Subject Char"/>
    <w:basedOn w:val="CommentTextChar"/>
    <w:link w:val="CommentSubject"/>
    <w:uiPriority w:val="99"/>
    <w:semiHidden/>
    <w:rsid w:val="006D7240"/>
    <w:rPr>
      <w:b/>
      <w:bCs/>
      <w:sz w:val="20"/>
      <w:szCs w:val="20"/>
    </w:rPr>
  </w:style>
  <w:style w:type="paragraph" w:styleId="CommentSubject">
    <w:name w:val="annotation subject"/>
    <w:basedOn w:val="CommentText"/>
    <w:next w:val="CommentText"/>
    <w:link w:val="CommentSubjectChar"/>
    <w:uiPriority w:val="99"/>
    <w:semiHidden/>
    <w:unhideWhenUsed/>
    <w:rsid w:val="006D7240"/>
    <w:rPr>
      <w:b/>
      <w:bCs/>
    </w:rPr>
  </w:style>
  <w:style w:type="character" w:customStyle="1" w:styleId="IntenseQuoteChar">
    <w:name w:val="Intense Quote Char"/>
    <w:basedOn w:val="DefaultParagraphFont"/>
    <w:link w:val="IntenseQuote"/>
    <w:uiPriority w:val="30"/>
    <w:rsid w:val="006D7240"/>
    <w:rPr>
      <w:i/>
      <w:iCs/>
      <w:color w:val="4F81BD" w:themeColor="accent1"/>
    </w:rPr>
  </w:style>
  <w:style w:type="paragraph" w:styleId="IntenseQuote">
    <w:name w:val="Intense Quote"/>
    <w:basedOn w:val="Normal"/>
    <w:next w:val="Normal"/>
    <w:link w:val="IntenseQuoteChar"/>
    <w:uiPriority w:val="30"/>
    <w:qFormat/>
    <w:rsid w:val="006D7240"/>
    <w:pPr>
      <w:pBdr>
        <w:top w:val="single" w:sz="4" w:space="10" w:color="4F81BD" w:themeColor="accent1"/>
        <w:bottom w:val="single" w:sz="4" w:space="10" w:color="4F81BD" w:themeColor="accent1"/>
      </w:pBdr>
      <w:spacing w:before="360" w:after="360"/>
      <w:ind w:left="864" w:right="864"/>
      <w:jc w:val="center"/>
    </w:pPr>
    <w:rPr>
      <w:i/>
      <w:iCs/>
      <w:color w:val="4F81BD" w:themeColor="accent1"/>
      <w:sz w:val="22"/>
    </w:rPr>
  </w:style>
  <w:style w:type="character" w:customStyle="1" w:styleId="TitleChar">
    <w:name w:val="Title Char"/>
    <w:basedOn w:val="DefaultParagraphFont"/>
    <w:link w:val="Title"/>
    <w:uiPriority w:val="10"/>
    <w:rsid w:val="006D724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6D72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190AE5"/>
    <w:rPr>
      <w:rFonts w:asciiTheme="majorHAnsi" w:eastAsiaTheme="majorEastAsia" w:hAnsiTheme="majorHAnsi" w:cstheme="majorBidi"/>
      <w:color w:val="365F91" w:themeColor="accent1" w:themeShade="BF"/>
      <w:sz w:val="21"/>
    </w:rPr>
  </w:style>
  <w:style w:type="character" w:customStyle="1" w:styleId="Heading6Char">
    <w:name w:val="Heading 6 Char"/>
    <w:basedOn w:val="DefaultParagraphFont"/>
    <w:link w:val="Heading6"/>
    <w:uiPriority w:val="9"/>
    <w:rsid w:val="00190AE5"/>
    <w:rPr>
      <w:rFonts w:asciiTheme="majorHAnsi" w:eastAsiaTheme="majorEastAsia" w:hAnsiTheme="majorHAnsi" w:cstheme="majorBidi"/>
      <w:color w:val="243F60" w:themeColor="accent1" w:themeShade="7F"/>
      <w:sz w:val="21"/>
    </w:rPr>
  </w:style>
  <w:style w:type="character" w:styleId="UnresolvedMention">
    <w:name w:val="Unresolved Mention"/>
    <w:basedOn w:val="DefaultParagraphFont"/>
    <w:uiPriority w:val="99"/>
    <w:semiHidden/>
    <w:unhideWhenUsed/>
    <w:rsid w:val="00FE49C5"/>
    <w:rPr>
      <w:color w:val="605E5C"/>
      <w:shd w:val="clear" w:color="auto" w:fill="E1DFDD"/>
    </w:rPr>
  </w:style>
  <w:style w:type="paragraph" w:styleId="TOCHeading">
    <w:name w:val="TOC Heading"/>
    <w:basedOn w:val="Heading1"/>
    <w:next w:val="Normal"/>
    <w:uiPriority w:val="39"/>
    <w:unhideWhenUsed/>
    <w:qFormat/>
    <w:rsid w:val="00E95D3D"/>
    <w:pPr>
      <w:spacing w:before="240" w:line="259" w:lineRule="auto"/>
      <w:outlineLvl w:val="9"/>
    </w:pPr>
    <w:rPr>
      <w:rFonts w:asciiTheme="majorHAnsi" w:hAnsiTheme="majorHAnsi"/>
      <w:b w:val="0"/>
      <w:noProof w:val="0"/>
      <w:color w:val="365F91" w:themeColor="accent1" w:themeShade="BF"/>
      <w:sz w:val="32"/>
      <w:szCs w:val="32"/>
    </w:rPr>
  </w:style>
  <w:style w:type="paragraph" w:styleId="TOC2">
    <w:name w:val="toc 2"/>
    <w:basedOn w:val="Normal"/>
    <w:next w:val="Normal"/>
    <w:autoRedefine/>
    <w:uiPriority w:val="39"/>
    <w:unhideWhenUsed/>
    <w:rsid w:val="00E95D3D"/>
    <w:pPr>
      <w:spacing w:after="100" w:line="259" w:lineRule="auto"/>
      <w:ind w:left="220"/>
    </w:pPr>
    <w:rPr>
      <w:rFonts w:eastAsiaTheme="minorEastAsia" w:cs="Times New Roman"/>
      <w:sz w:val="22"/>
    </w:rPr>
  </w:style>
  <w:style w:type="paragraph" w:styleId="TOC1">
    <w:name w:val="toc 1"/>
    <w:basedOn w:val="Normal"/>
    <w:next w:val="Normal"/>
    <w:autoRedefine/>
    <w:uiPriority w:val="39"/>
    <w:unhideWhenUsed/>
    <w:rsid w:val="00E95D3D"/>
    <w:pPr>
      <w:spacing w:after="100" w:line="259" w:lineRule="auto"/>
    </w:pPr>
    <w:rPr>
      <w:rFonts w:eastAsiaTheme="minorEastAsia" w:cs="Times New Roman"/>
      <w:sz w:val="22"/>
    </w:rPr>
  </w:style>
  <w:style w:type="paragraph" w:styleId="TOC3">
    <w:name w:val="toc 3"/>
    <w:basedOn w:val="Normal"/>
    <w:next w:val="Normal"/>
    <w:autoRedefine/>
    <w:uiPriority w:val="39"/>
    <w:unhideWhenUsed/>
    <w:rsid w:val="00E95D3D"/>
    <w:pPr>
      <w:spacing w:after="100" w:line="259" w:lineRule="auto"/>
      <w:ind w:left="440"/>
    </w:pPr>
    <w:rPr>
      <w:rFonts w:eastAsiaTheme="minorEastAsi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629023">
      <w:bodyDiv w:val="1"/>
      <w:marLeft w:val="0"/>
      <w:marRight w:val="0"/>
      <w:marTop w:val="0"/>
      <w:marBottom w:val="0"/>
      <w:divBdr>
        <w:top w:val="none" w:sz="0" w:space="0" w:color="auto"/>
        <w:left w:val="none" w:sz="0" w:space="0" w:color="auto"/>
        <w:bottom w:val="none" w:sz="0" w:space="0" w:color="auto"/>
        <w:right w:val="none" w:sz="0" w:space="0" w:color="auto"/>
      </w:divBdr>
    </w:div>
    <w:div w:id="62817305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94">
          <w:marLeft w:val="0"/>
          <w:marRight w:val="0"/>
          <w:marTop w:val="0"/>
          <w:marBottom w:val="0"/>
          <w:divBdr>
            <w:top w:val="none" w:sz="0" w:space="0" w:color="auto"/>
            <w:left w:val="none" w:sz="0" w:space="0" w:color="auto"/>
            <w:bottom w:val="none" w:sz="0" w:space="0" w:color="auto"/>
            <w:right w:val="none" w:sz="0" w:space="0" w:color="auto"/>
          </w:divBdr>
          <w:divsChild>
            <w:div w:id="965819873">
              <w:marLeft w:val="0"/>
              <w:marRight w:val="0"/>
              <w:marTop w:val="0"/>
              <w:marBottom w:val="0"/>
              <w:divBdr>
                <w:top w:val="none" w:sz="0" w:space="0" w:color="auto"/>
                <w:left w:val="none" w:sz="0" w:space="0" w:color="auto"/>
                <w:bottom w:val="none" w:sz="0" w:space="0" w:color="auto"/>
                <w:right w:val="none" w:sz="0" w:space="0" w:color="auto"/>
              </w:divBdr>
              <w:divsChild>
                <w:div w:id="715205156">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95528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cdc.gov/nhsn/pdfs/newsletters/Newsletter-Dec2014.pdf" TargetMode="External"/><Relationship Id="rId21" Type="http://schemas.openxmlformats.org/officeDocument/2006/relationships/image" Target="media/image3.png"/><Relationship Id="rId42" Type="http://schemas.openxmlformats.org/officeDocument/2006/relationships/hyperlink" Target="https://www.cdc.gov/nhsn/pdfs/ps-analysis-resources/aur/au-dataquality-linelist-508.pdf" TargetMode="External"/><Relationship Id="rId47" Type="http://schemas.openxmlformats.org/officeDocument/2006/relationships/hyperlink" Target="https://www.cdc.gov/nhsn/pdfs/ps-analysis-resources/aur/ar-qrg-denom-linelist-508.pdf" TargetMode="External"/><Relationship Id="rId63" Type="http://schemas.openxmlformats.org/officeDocument/2006/relationships/hyperlink" Target="https://www.cdc.gov/nhsn/pdfs/ps-analysis-resources/aur/AU-QRG-BarChart.pdf" TargetMode="External"/><Relationship Id="rId68"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s://www.cdc.gov/nhsn/psc/aur/index.html" TargetMode="External"/><Relationship Id="rId11" Type="http://schemas.openxmlformats.org/officeDocument/2006/relationships/hyperlink" Target="https://www.cdc.gov/nhsn/pdfs/ps-analysis-resources/aur/ar-validation-508.pdf" TargetMode="External"/><Relationship Id="rId24" Type="http://schemas.openxmlformats.org/officeDocument/2006/relationships/hyperlink" Target="https://www.cdc.gov/nhsn/pdfs/ps-analysis-resources/nhsn-au-user-rights.pdf" TargetMode="External"/><Relationship Id="rId32" Type="http://schemas.openxmlformats.org/officeDocument/2006/relationships/hyperlink" Target="https://www.cdc.gov/nhsn/pdfs/datastat/2019-au-report-datatables.xlsx" TargetMode="External"/><Relationship Id="rId37" Type="http://schemas.openxmlformats.org/officeDocument/2006/relationships/hyperlink" Target="https://www.cdc.gov/nhsn/pdfs/ps-analysis-resources/aur/AU-QRG-LineList.pdf" TargetMode="External"/><Relationship Id="rId40" Type="http://schemas.openxmlformats.org/officeDocument/2006/relationships/image" Target="media/image6.png"/><Relationship Id="rId45" Type="http://schemas.openxmlformats.org/officeDocument/2006/relationships/hyperlink" Target="https://www.cdc.gov/nhsn/pdfs/ps-analysis-resources/aur/AU-QRG-LineList.pdf" TargetMode="External"/><Relationship Id="rId53" Type="http://schemas.openxmlformats.org/officeDocument/2006/relationships/hyperlink" Target="https://www.cdc.gov/nhsn/pdfs/ps-analysis-resources/nhsn-au-user-rights.pdf" TargetMode="External"/><Relationship Id="rId58" Type="http://schemas.openxmlformats.org/officeDocument/2006/relationships/hyperlink" Target="https://www.cdc.gov/nhsn/pdfs/ps-analysis-resources/aur/AU-QRG-SAARTables-Location.pdf"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cdc.gov/nhsn/pdfs/ps-analysis-resources/aur/AU-QRG-LineList.pdf" TargetMode="External"/><Relationship Id="rId19" Type="http://schemas.openxmlformats.org/officeDocument/2006/relationships/hyperlink" Target="https://www.cdc.gov/nhsn/pdfs/pscmanual/15locationsdescriptions_current.pdf" TargetMode="Externa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yperlink" Target="https://www.cdc.gov/nhsn/pdfs/ps-analysis-resources/aur/AU-Option-Implementation-Data-Validation-P.pdf" TargetMode="External"/><Relationship Id="rId30" Type="http://schemas.openxmlformats.org/officeDocument/2006/relationships/hyperlink" Target="https://www.cdc.gov/nhsn/pdfs/ps-analysis-resources/aur/au-saar-guide-508.pdf" TargetMode="External"/><Relationship Id="rId35" Type="http://schemas.openxmlformats.org/officeDocument/2006/relationships/image" Target="media/image4.png"/><Relationship Id="rId43" Type="http://schemas.openxmlformats.org/officeDocument/2006/relationships/hyperlink" Target="https://www.cdc.gov/nhsn/pdfs/ps-analysis-resources/aur/AU-QRG-LineList.pdf" TargetMode="External"/><Relationship Id="rId48" Type="http://schemas.openxmlformats.org/officeDocument/2006/relationships/hyperlink" Target="https://www.cdc.gov/nhsn/pdfs/pscmanual/11pscaurcurrent.pdf" TargetMode="External"/><Relationship Id="rId56" Type="http://schemas.openxmlformats.org/officeDocument/2006/relationships/hyperlink" Target="https://www.cdc.gov/nhsn/psc/aur/index.html" TargetMode="External"/><Relationship Id="rId64" Type="http://schemas.openxmlformats.org/officeDocument/2006/relationships/hyperlink" Target="https://www.cdc.gov/nhsn/pdfs/ps-analysis-resources/aur/au-dataquality-linelist-508.pdf" TargetMode="External"/><Relationship Id="rId69" Type="http://schemas.openxmlformats.org/officeDocument/2006/relationships/customXml" Target="../customXml/item3.xml"/><Relationship Id="rId8" Type="http://schemas.openxmlformats.org/officeDocument/2006/relationships/image" Target="media/image1.jpeg"/><Relationship Id="rId51" Type="http://schemas.openxmlformats.org/officeDocument/2006/relationships/hyperlink" Target="https://www.cdc.gov/nhsn/pdfs/pscmanual/15locationsdescriptions_current.pdf" TargetMode="External"/><Relationship Id="rId3" Type="http://schemas.openxmlformats.org/officeDocument/2006/relationships/styles" Target="styles.xml"/><Relationship Id="rId12" Type="http://schemas.openxmlformats.org/officeDocument/2006/relationships/hyperlink" Target="mailto:NHSN@cdc.gov" TargetMode="External"/><Relationship Id="rId17" Type="http://schemas.openxmlformats.org/officeDocument/2006/relationships/header" Target="header3.xml"/><Relationship Id="rId25" Type="http://schemas.openxmlformats.org/officeDocument/2006/relationships/hyperlink" Target="mailto:NHSN@cdc.gov" TargetMode="External"/><Relationship Id="rId33" Type="http://schemas.openxmlformats.org/officeDocument/2006/relationships/hyperlink" Target="https://www.cdc.gov/nhsn/pdfs/pscmanual/11pscaurcurrent.pdf" TargetMode="External"/><Relationship Id="rId38" Type="http://schemas.openxmlformats.org/officeDocument/2006/relationships/hyperlink" Target="https://www.cdc.gov/nhsn/pdfs/ps-analysis-resources/aur/AU-QRG-RateTables-Location.pdf" TargetMode="External"/><Relationship Id="rId46" Type="http://schemas.openxmlformats.org/officeDocument/2006/relationships/hyperlink" Target="https://www.cdc.gov/nhsn/faqs/faq-au.html" TargetMode="External"/><Relationship Id="rId59" Type="http://schemas.openxmlformats.org/officeDocument/2006/relationships/hyperlink" Target="https://www.cdc.gov/nhsn/pdfs/datastat/2019-au-report-datatables.xlsx" TargetMode="External"/><Relationship Id="rId67" Type="http://schemas.openxmlformats.org/officeDocument/2006/relationships/theme" Target="theme/theme1.xml"/><Relationship Id="rId20" Type="http://schemas.openxmlformats.org/officeDocument/2006/relationships/hyperlink" Target="https://www.cdc.gov/nhsn/faqs/faq-locations.html" TargetMode="External"/><Relationship Id="rId41" Type="http://schemas.openxmlformats.org/officeDocument/2006/relationships/image" Target="media/image7.png"/><Relationship Id="rId54" Type="http://schemas.openxmlformats.org/officeDocument/2006/relationships/hyperlink" Target="https://www.cdc.gov/nhsn/pdfs/newsletters/Newsletter-Dec2014.pdf" TargetMode="External"/><Relationship Id="rId62" Type="http://schemas.openxmlformats.org/officeDocument/2006/relationships/hyperlink" Target="https://www.cdc.gov/nhsn/pdfs/ps-analysis-resources/aur/AU-QRG-RateTables-Location.pdf" TargetMode="External"/><Relationship Id="rId7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https://www.cdc.gov/nhsn/pdfs/ps-analysis-resources/generatedatasets-psc-508.pdf" TargetMode="External"/><Relationship Id="rId36" Type="http://schemas.openxmlformats.org/officeDocument/2006/relationships/image" Target="media/image5.png"/><Relationship Id="rId49" Type="http://schemas.openxmlformats.org/officeDocument/2006/relationships/hyperlink" Target="https://www.cdc.gov/nhsn/pdfs/ps-analysis-resources/aur/AU-Option-Implementation-Data-Validation-P.pdf" TargetMode="External"/><Relationship Id="rId57" Type="http://schemas.openxmlformats.org/officeDocument/2006/relationships/hyperlink" Target="https://www.cdc.gov/nhsn/pdfs/ps-analysis-resources/aur/au-saar-guide-508.pdf" TargetMode="External"/><Relationship Id="rId10" Type="http://schemas.openxmlformats.org/officeDocument/2006/relationships/hyperlink" Target="https://www.cdc.gov/nhsn/pdfs/ps-analysis-resources/aur/AU-Option-Implementation-Data-Validation-P.pdf" TargetMode="External"/><Relationship Id="rId31" Type="http://schemas.openxmlformats.org/officeDocument/2006/relationships/hyperlink" Target="https://www.cdc.gov/nhsn/pdfs/ps-analysis-resources/aur/AU-QRG-SAARTables-Location.pdf" TargetMode="External"/><Relationship Id="rId44" Type="http://schemas.openxmlformats.org/officeDocument/2006/relationships/hyperlink" Target="https://www.cdc.gov/nhsn/pdfs/pscmanual/11pscaurcurrent.pdf" TargetMode="External"/><Relationship Id="rId52" Type="http://schemas.openxmlformats.org/officeDocument/2006/relationships/hyperlink" Target="https://www.cdc.gov/nhsn/faqs/faq-locations.html" TargetMode="External"/><Relationship Id="rId60" Type="http://schemas.openxmlformats.org/officeDocument/2006/relationships/hyperlink" Target="https://www.cdc.gov/nhsn/pdfs/ps-analysis-resources/aur/AU-QRG-BarChart-drugs-508.pdf" TargetMode="External"/><Relationship Id="rId65" Type="http://schemas.openxmlformats.org/officeDocument/2006/relationships/hyperlink" Target="https://www.cdc.gov/nhsn/pdfs/ps-analysis-resources/aur/ar-qrg-denom-linelist-508.pdf" TargetMode="External"/><Relationship Id="rId4" Type="http://schemas.openxmlformats.org/officeDocument/2006/relationships/settings" Target="settings.xml"/><Relationship Id="rId9" Type="http://schemas.openxmlformats.org/officeDocument/2006/relationships/hyperlink" Target="https://www.cdc.gov/nhsn/pdfs/pscmanual/11pscaurcurrent.pdf" TargetMode="Externa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www.cdc.gov/nhsn/pdfs/ps-analysis-resources/aur/AU-QRG-BarChart.pdf" TargetMode="External"/><Relationship Id="rId34" Type="http://schemas.openxmlformats.org/officeDocument/2006/relationships/hyperlink" Target="https://www.cdc.gov/nhsn/pdfs/ps-analysis-resources/aur/AU-QRG-BarChart-drugs-508.pdf" TargetMode="External"/><Relationship Id="rId50" Type="http://schemas.openxmlformats.org/officeDocument/2006/relationships/hyperlink" Target="https://www.cdc.gov/nhsn/pdfs/ps-analysis-resources/aur/ar-validation-508.pdf" TargetMode="External"/><Relationship Id="rId55" Type="http://schemas.openxmlformats.org/officeDocument/2006/relationships/hyperlink" Target="https://www.cdc.gov/nhsn/pdfs/ps-analysis-resources/generatedatasets-psc-508.pdf"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4BA294-CE7D-4172-B7FD-9068C57C310F}">
  <ds:schemaRefs>
    <ds:schemaRef ds:uri="http://schemas.openxmlformats.org/officeDocument/2006/bibliography"/>
  </ds:schemaRefs>
</ds:datastoreItem>
</file>

<file path=customXml/itemProps2.xml><?xml version="1.0" encoding="utf-8"?>
<ds:datastoreItem xmlns:ds="http://schemas.openxmlformats.org/officeDocument/2006/customXml" ds:itemID="{DF770735-C679-4D81-8912-23ADF4172772}"/>
</file>

<file path=customXml/itemProps3.xml><?xml version="1.0" encoding="utf-8"?>
<ds:datastoreItem xmlns:ds="http://schemas.openxmlformats.org/officeDocument/2006/customXml" ds:itemID="{3CC36B0F-87E4-44A9-A174-541BA618BE55}"/>
</file>

<file path=customXml/itemProps4.xml><?xml version="1.0" encoding="utf-8"?>
<ds:datastoreItem xmlns:ds="http://schemas.openxmlformats.org/officeDocument/2006/customXml" ds:itemID="{EB569971-A362-4858-926C-50411C0F9A64}"/>
</file>

<file path=docProps/app.xml><?xml version="1.0" encoding="utf-8"?>
<Properties xmlns="http://schemas.openxmlformats.org/officeDocument/2006/extended-properties" xmlns:vt="http://schemas.openxmlformats.org/officeDocument/2006/docPropsVTypes">
  <Template>Normal</Template>
  <TotalTime>48</TotalTime>
  <Pages>14</Pages>
  <Words>5901</Words>
  <Characters>33640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NHSN Annual AU Option Data Validation Protocol</vt:lpstr>
    </vt:vector>
  </TitlesOfParts>
  <Company>Centers for Disease Control and Prevention</Company>
  <LinksUpToDate>false</LinksUpToDate>
  <CharactersWithSpaces>39463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NHSN Annual AU Option Data Validation Protocol</dc:title>
  <dc:subject>NHSN AUR Module</dc:subject>
  <dc:creator>CDC/NCEZID/DHQP</dc:creator>
  <cp:keywords>NHSN AU Option, Validation, Annual</cp:keywords>
  <dc:description/>
  <cp:lastModifiedBy>Webb, Amy (CDC/DDID/NCEZID/DHQP) (CTR)</cp:lastModifiedBy>
  <cp:revision>8</cp:revision>
  <cp:lastPrinted>2021-01-08T16:46:00Z</cp:lastPrinted>
  <dcterms:created xsi:type="dcterms:W3CDTF">2021-02-13T19:00:00Z</dcterms:created>
  <dcterms:modified xsi:type="dcterms:W3CDTF">2021-02-13T19:48:00Z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2020-12-12T19:17:36Z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9f980dec-30fa-4d82-8500-4e2797a70aeb</vt:lpwstr>
  </property>
  <property fmtid="{D5CDD505-2E9C-101B-9397-08002B2CF9AE}" pid="8" name="MSIP_Label_7b94a7b8-f06c-4dfe-bdcc-9b548fd58c31_ContentBits">
    <vt:lpwstr>0</vt:lpwstr>
  </property>
</Properties>
</file>