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51E53" w14:textId="51E1E4C1" w:rsidR="006740DC" w:rsidRPr="00D7319E" w:rsidRDefault="001F360A" w:rsidP="00C3077D">
      <w:pPr>
        <w:pStyle w:val="Heading1"/>
      </w:pPr>
      <w:r w:rsidRPr="00D7319E">
        <w:drawing>
          <wp:anchor distT="0" distB="0" distL="114300" distR="114300" simplePos="0" relativeHeight="251662336" behindDoc="1" locked="0" layoutInCell="1" allowOverlap="1" wp14:anchorId="5F651E5F" wp14:editId="6C598738">
            <wp:simplePos x="0" y="0"/>
            <wp:positionH relativeFrom="column">
              <wp:posOffset>-139148</wp:posOffset>
            </wp:positionH>
            <wp:positionV relativeFrom="paragraph">
              <wp:posOffset>442</wp:posOffset>
            </wp:positionV>
            <wp:extent cx="7251700" cy="675861"/>
            <wp:effectExtent l="0" t="0" r="635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3728" cy="678846"/>
                    </a:xfrm>
                    <a:prstGeom prst="rect">
                      <a:avLst/>
                    </a:prstGeom>
                  </pic:spPr>
                </pic:pic>
              </a:graphicData>
            </a:graphic>
            <wp14:sizeRelH relativeFrom="margin">
              <wp14:pctWidth>0</wp14:pctWidth>
            </wp14:sizeRelH>
            <wp14:sizeRelV relativeFrom="margin">
              <wp14:pctHeight>0</wp14:pctHeight>
            </wp14:sizeRelV>
          </wp:anchor>
        </w:drawing>
      </w:r>
      <w:r w:rsidR="00600A79" w:rsidRPr="00600A79">
        <w:t xml:space="preserve"> AU Option Implementation Data Validation</w:t>
      </w:r>
    </w:p>
    <w:p w14:paraId="0D89A86D" w14:textId="78486A82" w:rsidR="00600A79" w:rsidRPr="00600A79" w:rsidRDefault="00600A79" w:rsidP="00600A79">
      <w:pPr>
        <w:spacing w:after="0"/>
        <w:rPr>
          <w:rFonts w:cstheme="minorHAnsi"/>
          <w:sz w:val="24"/>
          <w:szCs w:val="24"/>
        </w:rPr>
      </w:pPr>
      <w:r w:rsidRPr="00600A79">
        <w:rPr>
          <w:rFonts w:cstheme="minorHAnsi"/>
          <w:sz w:val="24"/>
          <w:szCs w:val="24"/>
        </w:rPr>
        <w:t xml:space="preserve">Facilities should use the following guidance when completing the initial set up and implementation for reporting to the NHSN AU Option or undergoing a change in vendor system. The NHSN AU Option Team developed these questions to focus validation efforts on key AU Option protocol definitions and CDA requirements including potential sources of error. Facilities should complete this document to confirm data accuracy and guide discussions with the vendor in the case of data discrepancy. While there is great value in completing the entire document, facilities with low resources/time can start with Section C. If facilities identify issues within Section C, we then recommend completing Sections A &amp; B to identify the source of the issue(s). Please refer to the </w:t>
      </w:r>
      <w:hyperlink r:id="rId9" w:history="1">
        <w:r w:rsidRPr="00D92A7B">
          <w:rPr>
            <w:rStyle w:val="Hyperlink"/>
            <w:rFonts w:cstheme="minorHAnsi"/>
            <w:sz w:val="24"/>
            <w:szCs w:val="24"/>
          </w:rPr>
          <w:t>NHSN AUR Module Protocol</w:t>
        </w:r>
      </w:hyperlink>
      <w:r w:rsidRPr="00600A79">
        <w:rPr>
          <w:rFonts w:cstheme="minorHAnsi"/>
          <w:sz w:val="24"/>
          <w:szCs w:val="24"/>
        </w:rPr>
        <w:t xml:space="preserve"> for a review of applicable definitions</w:t>
      </w:r>
      <w:r w:rsidR="00D92A7B">
        <w:rPr>
          <w:rFonts w:cstheme="minorHAnsi"/>
          <w:sz w:val="24"/>
          <w:szCs w:val="24"/>
        </w:rPr>
        <w:t>.</w:t>
      </w:r>
      <w:r w:rsidRPr="00600A79">
        <w:rPr>
          <w:rFonts w:cstheme="minorHAnsi"/>
          <w:sz w:val="24"/>
          <w:szCs w:val="24"/>
        </w:rPr>
        <w:t xml:space="preserve"> </w:t>
      </w:r>
    </w:p>
    <w:p w14:paraId="750F1651" w14:textId="77777777" w:rsidR="00600A79" w:rsidRPr="00600A79" w:rsidRDefault="00600A79" w:rsidP="00600A79">
      <w:pPr>
        <w:spacing w:after="0"/>
        <w:rPr>
          <w:rFonts w:cstheme="minorHAnsi"/>
          <w:sz w:val="24"/>
          <w:szCs w:val="24"/>
        </w:rPr>
      </w:pPr>
    </w:p>
    <w:p w14:paraId="5ED80E85" w14:textId="423F6D5A" w:rsidR="00600A79" w:rsidRPr="00600A79" w:rsidRDefault="00600A79" w:rsidP="00600A79">
      <w:pPr>
        <w:spacing w:after="0"/>
        <w:rPr>
          <w:rFonts w:cstheme="minorHAnsi"/>
          <w:sz w:val="24"/>
          <w:szCs w:val="24"/>
        </w:rPr>
      </w:pPr>
      <w:r w:rsidRPr="00600A79">
        <w:rPr>
          <w:rFonts w:cstheme="minorHAnsi"/>
          <w:sz w:val="24"/>
          <w:szCs w:val="24"/>
        </w:rPr>
        <w:t xml:space="preserve">Facilities in the maintenance phase of AU reporting or those with extreme high or low SAAR values should use the separate, more focused </w:t>
      </w:r>
      <w:hyperlink r:id="rId10" w:history="1">
        <w:r w:rsidRPr="00D92A7B">
          <w:rPr>
            <w:rStyle w:val="Hyperlink"/>
            <w:rFonts w:cstheme="minorHAnsi"/>
            <w:sz w:val="24"/>
            <w:szCs w:val="24"/>
          </w:rPr>
          <w:t>Annual AU Option Data Validation Protocol</w:t>
        </w:r>
      </w:hyperlink>
      <w:r w:rsidR="00D92A7B">
        <w:rPr>
          <w:rFonts w:cstheme="minorHAnsi"/>
          <w:sz w:val="24"/>
          <w:szCs w:val="24"/>
        </w:rPr>
        <w:t>.</w:t>
      </w:r>
      <w:r w:rsidRPr="00600A79">
        <w:rPr>
          <w:rFonts w:cstheme="minorHAnsi"/>
          <w:sz w:val="24"/>
          <w:szCs w:val="24"/>
        </w:rPr>
        <w:t xml:space="preserve"> </w:t>
      </w:r>
      <w:r w:rsidR="0062330D">
        <w:rPr>
          <w:sz w:val="24"/>
          <w:szCs w:val="24"/>
        </w:rPr>
        <w:t xml:space="preserve">Facilities interested in validating AR Option data can refer to the </w:t>
      </w:r>
      <w:hyperlink r:id="rId11" w:history="1">
        <w:r w:rsidR="0062330D" w:rsidRPr="0079142A">
          <w:rPr>
            <w:rStyle w:val="Hyperlink"/>
            <w:sz w:val="24"/>
            <w:szCs w:val="24"/>
          </w:rPr>
          <w:t>AR Option Data Validation Protocol</w:t>
        </w:r>
      </w:hyperlink>
      <w:r w:rsidR="0062330D">
        <w:rPr>
          <w:sz w:val="24"/>
          <w:szCs w:val="24"/>
        </w:rPr>
        <w:t>.</w:t>
      </w:r>
    </w:p>
    <w:p w14:paraId="21B1F024" w14:textId="77777777" w:rsidR="00600A79" w:rsidRPr="00600A79" w:rsidRDefault="00600A79" w:rsidP="00600A79">
      <w:pPr>
        <w:spacing w:after="0"/>
        <w:rPr>
          <w:rFonts w:cstheme="minorHAnsi"/>
          <w:sz w:val="24"/>
          <w:szCs w:val="24"/>
        </w:rPr>
      </w:pPr>
    </w:p>
    <w:p w14:paraId="4256572A" w14:textId="77777777" w:rsidR="00600A79" w:rsidRPr="00600A79" w:rsidRDefault="00600A79" w:rsidP="00600A79">
      <w:pPr>
        <w:spacing w:after="0"/>
        <w:rPr>
          <w:rFonts w:cstheme="minorHAnsi"/>
          <w:sz w:val="24"/>
          <w:szCs w:val="24"/>
        </w:rPr>
      </w:pPr>
      <w:r w:rsidRPr="00600A79">
        <w:rPr>
          <w:rFonts w:cstheme="minorHAnsi"/>
          <w:sz w:val="24"/>
          <w:szCs w:val="24"/>
        </w:rPr>
        <w:t xml:space="preserve">Please email questions to the NHSN Helpdesk: </w:t>
      </w:r>
      <w:hyperlink r:id="rId12" w:history="1">
        <w:r w:rsidRPr="00600A79">
          <w:rPr>
            <w:rStyle w:val="Hyperlink"/>
            <w:rFonts w:cstheme="minorHAnsi"/>
            <w:sz w:val="24"/>
            <w:szCs w:val="24"/>
          </w:rPr>
          <w:t>NHSN@cdc.gov</w:t>
        </w:r>
      </w:hyperlink>
      <w:r w:rsidRPr="00600A79">
        <w:rPr>
          <w:rFonts w:cstheme="minorHAnsi"/>
          <w:sz w:val="24"/>
          <w:szCs w:val="24"/>
        </w:rPr>
        <w:t xml:space="preserve">. </w:t>
      </w:r>
    </w:p>
    <w:p w14:paraId="055AC80B" w14:textId="77777777" w:rsidR="00600A79" w:rsidRPr="00600A79" w:rsidRDefault="00600A79" w:rsidP="00600A79">
      <w:pPr>
        <w:spacing w:after="0"/>
        <w:rPr>
          <w:rFonts w:cstheme="minorHAnsi"/>
          <w:sz w:val="24"/>
          <w:szCs w:val="24"/>
        </w:rPr>
      </w:pPr>
    </w:p>
    <w:p w14:paraId="06B9030D" w14:textId="77777777" w:rsidR="00600A79" w:rsidRPr="00600A79" w:rsidRDefault="00600A79" w:rsidP="00600A79">
      <w:pPr>
        <w:pStyle w:val="NoSpacing"/>
        <w:rPr>
          <w:rFonts w:cstheme="minorHAnsi"/>
          <w:b/>
          <w:sz w:val="28"/>
          <w:szCs w:val="28"/>
        </w:rPr>
      </w:pPr>
      <w:r w:rsidRPr="00600A79">
        <w:rPr>
          <w:rFonts w:cstheme="minorHAnsi"/>
          <w:b/>
          <w:sz w:val="28"/>
          <w:szCs w:val="28"/>
        </w:rPr>
        <w:t>Validation Checklist</w:t>
      </w:r>
    </w:p>
    <w:tbl>
      <w:tblPr>
        <w:tblStyle w:val="TableGrid"/>
        <w:tblW w:w="0" w:type="auto"/>
        <w:tblLook w:val="04A0" w:firstRow="1" w:lastRow="0" w:firstColumn="1" w:lastColumn="0" w:noHBand="0" w:noVBand="1"/>
        <w:tblCaption w:val="Validation Checklist"/>
        <w:tblDescription w:val="table"/>
      </w:tblPr>
      <w:tblGrid>
        <w:gridCol w:w="8459"/>
        <w:gridCol w:w="1439"/>
        <w:gridCol w:w="892"/>
      </w:tblGrid>
      <w:tr w:rsidR="00600A79" w14:paraId="5BC7F33C" w14:textId="77777777" w:rsidTr="00600A79">
        <w:trPr>
          <w:tblHeader/>
        </w:trPr>
        <w:tc>
          <w:tcPr>
            <w:tcW w:w="8459" w:type="dxa"/>
            <w:shd w:val="clear" w:color="auto" w:fill="A6A6A6" w:themeFill="background1" w:themeFillShade="A6"/>
          </w:tcPr>
          <w:p w14:paraId="02B6ADEB" w14:textId="77777777" w:rsidR="00600A79" w:rsidRPr="00600A79" w:rsidRDefault="00600A79" w:rsidP="00600A79">
            <w:pPr>
              <w:rPr>
                <w:rFonts w:cstheme="minorHAnsi"/>
                <w:sz w:val="22"/>
              </w:rPr>
            </w:pPr>
          </w:p>
        </w:tc>
        <w:tc>
          <w:tcPr>
            <w:tcW w:w="1439" w:type="dxa"/>
            <w:shd w:val="clear" w:color="auto" w:fill="A6A6A6" w:themeFill="background1" w:themeFillShade="A6"/>
          </w:tcPr>
          <w:p w14:paraId="353AB995" w14:textId="77777777" w:rsidR="00600A79" w:rsidRPr="00600A79" w:rsidRDefault="00600A79" w:rsidP="00600A79">
            <w:pPr>
              <w:rPr>
                <w:rFonts w:cstheme="minorHAnsi"/>
                <w:b/>
                <w:sz w:val="22"/>
              </w:rPr>
            </w:pPr>
            <w:r w:rsidRPr="00600A79">
              <w:rPr>
                <w:rFonts w:cstheme="minorHAnsi"/>
                <w:b/>
                <w:sz w:val="22"/>
              </w:rPr>
              <w:t>Complete</w:t>
            </w:r>
          </w:p>
        </w:tc>
        <w:tc>
          <w:tcPr>
            <w:tcW w:w="892" w:type="dxa"/>
            <w:shd w:val="clear" w:color="auto" w:fill="A6A6A6" w:themeFill="background1" w:themeFillShade="A6"/>
          </w:tcPr>
          <w:p w14:paraId="28EE5F3A" w14:textId="77777777" w:rsidR="00600A79" w:rsidRPr="00600A79" w:rsidRDefault="00600A79" w:rsidP="00600A79">
            <w:pPr>
              <w:jc w:val="center"/>
              <w:rPr>
                <w:rFonts w:cstheme="minorHAnsi"/>
                <w:b/>
                <w:sz w:val="22"/>
              </w:rPr>
            </w:pPr>
            <w:r w:rsidRPr="00600A79">
              <w:rPr>
                <w:rFonts w:cstheme="minorHAnsi"/>
                <w:b/>
                <w:sz w:val="22"/>
              </w:rPr>
              <w:t>Page</w:t>
            </w:r>
          </w:p>
        </w:tc>
      </w:tr>
      <w:tr w:rsidR="00600A79" w14:paraId="5E34E98E" w14:textId="77777777" w:rsidTr="00600A79">
        <w:trPr>
          <w:tblHeader/>
        </w:trPr>
        <w:tc>
          <w:tcPr>
            <w:tcW w:w="8459" w:type="dxa"/>
            <w:shd w:val="clear" w:color="auto" w:fill="D9D9D9" w:themeFill="background1" w:themeFillShade="D9"/>
          </w:tcPr>
          <w:p w14:paraId="20CB235C" w14:textId="77777777" w:rsidR="00600A79" w:rsidRPr="00600A79" w:rsidRDefault="00600A79" w:rsidP="00600A79">
            <w:pPr>
              <w:rPr>
                <w:rFonts w:cstheme="minorHAnsi"/>
                <w:b/>
                <w:sz w:val="22"/>
              </w:rPr>
            </w:pPr>
            <w:r w:rsidRPr="00600A79">
              <w:rPr>
                <w:rFonts w:cstheme="minorHAnsi"/>
                <w:b/>
                <w:sz w:val="22"/>
              </w:rPr>
              <w:t>Section A: Manual Validation of eMAR/BCMA Data Feeds to Vendor Software</w:t>
            </w:r>
          </w:p>
        </w:tc>
        <w:sdt>
          <w:sdtPr>
            <w:rPr>
              <w:rFonts w:cstheme="minorHAnsi"/>
              <w:sz w:val="22"/>
            </w:rPr>
            <w:id w:val="-665088080"/>
            <w14:checkbox>
              <w14:checked w14:val="0"/>
              <w14:checkedState w14:val="2612" w14:font="MS Gothic"/>
              <w14:uncheckedState w14:val="2610" w14:font="MS Gothic"/>
            </w14:checkbox>
          </w:sdtPr>
          <w:sdtEndPr/>
          <w:sdtContent>
            <w:tc>
              <w:tcPr>
                <w:tcW w:w="1439" w:type="dxa"/>
              </w:tcPr>
              <w:p w14:paraId="2C183CBE"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38DF00F8" w14:textId="14EE76FE" w:rsidR="00600A79" w:rsidRPr="00600A79" w:rsidRDefault="00C02A3A" w:rsidP="00600A79">
            <w:pPr>
              <w:jc w:val="center"/>
              <w:rPr>
                <w:rFonts w:cstheme="minorHAnsi"/>
                <w:sz w:val="22"/>
              </w:rPr>
            </w:pPr>
            <w:hyperlink w:anchor="_Section_A._Manual" w:history="1">
              <w:r w:rsidR="00600A79" w:rsidRPr="00600A79">
                <w:rPr>
                  <w:rStyle w:val="Hyperlink"/>
                  <w:rFonts w:cstheme="minorHAnsi"/>
                  <w:sz w:val="22"/>
                </w:rPr>
                <w:t>2</w:t>
              </w:r>
            </w:hyperlink>
          </w:p>
        </w:tc>
      </w:tr>
      <w:tr w:rsidR="00600A79" w14:paraId="1E698BEF" w14:textId="77777777" w:rsidTr="00600A79">
        <w:trPr>
          <w:tblHeader/>
        </w:trPr>
        <w:tc>
          <w:tcPr>
            <w:tcW w:w="8459" w:type="dxa"/>
          </w:tcPr>
          <w:p w14:paraId="2EF0E705" w14:textId="77777777" w:rsidR="00600A79" w:rsidRPr="00600A79" w:rsidRDefault="00600A79" w:rsidP="00600A79">
            <w:pPr>
              <w:rPr>
                <w:rFonts w:cstheme="minorHAnsi"/>
                <w:sz w:val="22"/>
              </w:rPr>
            </w:pPr>
            <w:r w:rsidRPr="00600A79">
              <w:rPr>
                <w:rFonts w:cstheme="minorHAnsi"/>
                <w:sz w:val="22"/>
              </w:rPr>
              <w:t>Review line list for agents &amp; routes of administration</w:t>
            </w:r>
          </w:p>
        </w:tc>
        <w:sdt>
          <w:sdtPr>
            <w:rPr>
              <w:rFonts w:cstheme="minorHAnsi"/>
              <w:sz w:val="22"/>
            </w:rPr>
            <w:id w:val="663512889"/>
            <w14:checkbox>
              <w14:checked w14:val="0"/>
              <w14:checkedState w14:val="2612" w14:font="MS Gothic"/>
              <w14:uncheckedState w14:val="2610" w14:font="MS Gothic"/>
            </w14:checkbox>
          </w:sdtPr>
          <w:sdtEndPr/>
          <w:sdtContent>
            <w:tc>
              <w:tcPr>
                <w:tcW w:w="1439" w:type="dxa"/>
              </w:tcPr>
              <w:p w14:paraId="6ADB7D03"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0157BFE6" w14:textId="270AD990" w:rsidR="00600A79" w:rsidRPr="00600A79" w:rsidRDefault="00C02A3A" w:rsidP="00600A79">
            <w:pPr>
              <w:jc w:val="center"/>
              <w:rPr>
                <w:rFonts w:cstheme="minorHAnsi"/>
                <w:sz w:val="22"/>
              </w:rPr>
            </w:pPr>
            <w:hyperlink w:anchor="_Review_line_list" w:history="1">
              <w:r w:rsidR="00600A79" w:rsidRPr="00600A79">
                <w:rPr>
                  <w:rStyle w:val="Hyperlink"/>
                  <w:rFonts w:cstheme="minorHAnsi"/>
                  <w:sz w:val="22"/>
                </w:rPr>
                <w:t>2</w:t>
              </w:r>
            </w:hyperlink>
          </w:p>
        </w:tc>
      </w:tr>
      <w:tr w:rsidR="00600A79" w14:paraId="5748DB0C" w14:textId="77777777" w:rsidTr="00600A79">
        <w:trPr>
          <w:tblHeader/>
        </w:trPr>
        <w:tc>
          <w:tcPr>
            <w:tcW w:w="8459" w:type="dxa"/>
          </w:tcPr>
          <w:p w14:paraId="522A1E33" w14:textId="77777777" w:rsidR="00600A79" w:rsidRPr="00600A79" w:rsidRDefault="00600A79" w:rsidP="00600A79">
            <w:pPr>
              <w:rPr>
                <w:rFonts w:cstheme="minorHAnsi"/>
                <w:sz w:val="22"/>
              </w:rPr>
            </w:pPr>
            <w:r w:rsidRPr="00600A79">
              <w:rPr>
                <w:rFonts w:cstheme="minorHAnsi"/>
                <w:sz w:val="22"/>
              </w:rPr>
              <w:t>Spot check for unusual routes of administration</w:t>
            </w:r>
          </w:p>
        </w:tc>
        <w:sdt>
          <w:sdtPr>
            <w:rPr>
              <w:rFonts w:cstheme="minorHAnsi"/>
              <w:sz w:val="22"/>
            </w:rPr>
            <w:id w:val="173696342"/>
            <w14:checkbox>
              <w14:checked w14:val="0"/>
              <w14:checkedState w14:val="2612" w14:font="MS Gothic"/>
              <w14:uncheckedState w14:val="2610" w14:font="MS Gothic"/>
            </w14:checkbox>
          </w:sdtPr>
          <w:sdtEndPr/>
          <w:sdtContent>
            <w:tc>
              <w:tcPr>
                <w:tcW w:w="1439" w:type="dxa"/>
              </w:tcPr>
              <w:p w14:paraId="34D56FB8"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7B2BB843" w14:textId="54CA8874" w:rsidR="00600A79" w:rsidRPr="00600A79" w:rsidRDefault="00C02A3A" w:rsidP="00600A79">
            <w:pPr>
              <w:jc w:val="center"/>
              <w:rPr>
                <w:rFonts w:cstheme="minorHAnsi"/>
                <w:sz w:val="22"/>
              </w:rPr>
            </w:pPr>
            <w:hyperlink w:anchor="_Spot_check_for" w:history="1">
              <w:r w:rsidR="00600A79" w:rsidRPr="00600A79">
                <w:rPr>
                  <w:rStyle w:val="Hyperlink"/>
                  <w:rFonts w:cstheme="minorHAnsi"/>
                  <w:sz w:val="22"/>
                </w:rPr>
                <w:t>3</w:t>
              </w:r>
            </w:hyperlink>
          </w:p>
        </w:tc>
      </w:tr>
      <w:tr w:rsidR="00600A79" w14:paraId="41535E7B" w14:textId="77777777" w:rsidTr="00600A79">
        <w:trPr>
          <w:tblHeader/>
        </w:trPr>
        <w:tc>
          <w:tcPr>
            <w:tcW w:w="8459" w:type="dxa"/>
          </w:tcPr>
          <w:p w14:paraId="21084D2D" w14:textId="77777777" w:rsidR="00600A79" w:rsidRPr="00600A79" w:rsidRDefault="00600A79" w:rsidP="00600A79">
            <w:pPr>
              <w:rPr>
                <w:rFonts w:cstheme="minorHAnsi"/>
                <w:sz w:val="22"/>
              </w:rPr>
            </w:pPr>
            <w:r w:rsidRPr="00600A79">
              <w:rPr>
                <w:rFonts w:cstheme="minorHAnsi"/>
                <w:sz w:val="22"/>
              </w:rPr>
              <w:t>Compare data in eMAR/BCMA to data in vendor software</w:t>
            </w:r>
          </w:p>
        </w:tc>
        <w:sdt>
          <w:sdtPr>
            <w:rPr>
              <w:rFonts w:cstheme="minorHAnsi"/>
              <w:sz w:val="22"/>
            </w:rPr>
            <w:id w:val="-351255972"/>
            <w14:checkbox>
              <w14:checked w14:val="0"/>
              <w14:checkedState w14:val="2612" w14:font="MS Gothic"/>
              <w14:uncheckedState w14:val="2610" w14:font="MS Gothic"/>
            </w14:checkbox>
          </w:sdtPr>
          <w:sdtEndPr/>
          <w:sdtContent>
            <w:tc>
              <w:tcPr>
                <w:tcW w:w="1439" w:type="dxa"/>
              </w:tcPr>
              <w:p w14:paraId="56858DD0"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5C9E55ED" w14:textId="4D8F206F" w:rsidR="00600A79" w:rsidRPr="00600A79" w:rsidRDefault="00C02A3A" w:rsidP="00600A79">
            <w:pPr>
              <w:jc w:val="center"/>
              <w:rPr>
                <w:rFonts w:cstheme="minorHAnsi"/>
                <w:sz w:val="22"/>
              </w:rPr>
            </w:pPr>
            <w:hyperlink w:anchor="_Compare_data_in" w:history="1">
              <w:r w:rsidR="00912684">
                <w:rPr>
                  <w:rStyle w:val="Hyperlink"/>
                  <w:rFonts w:cstheme="minorHAnsi"/>
                  <w:sz w:val="22"/>
                </w:rPr>
                <w:t>3</w:t>
              </w:r>
            </w:hyperlink>
          </w:p>
        </w:tc>
      </w:tr>
      <w:tr w:rsidR="00600A79" w14:paraId="301F6EFC" w14:textId="77777777" w:rsidTr="00600A79">
        <w:trPr>
          <w:tblHeader/>
        </w:trPr>
        <w:tc>
          <w:tcPr>
            <w:tcW w:w="8459" w:type="dxa"/>
          </w:tcPr>
          <w:p w14:paraId="365C786A" w14:textId="77777777" w:rsidR="00600A79" w:rsidRPr="00600A79" w:rsidRDefault="00600A79" w:rsidP="00600A79">
            <w:pPr>
              <w:rPr>
                <w:rFonts w:cstheme="minorHAnsi"/>
                <w:sz w:val="22"/>
              </w:rPr>
            </w:pPr>
            <w:r w:rsidRPr="00600A79">
              <w:rPr>
                <w:rFonts w:cstheme="minorHAnsi"/>
                <w:sz w:val="22"/>
              </w:rPr>
              <w:t>Review patient-level scenarios</w:t>
            </w:r>
          </w:p>
        </w:tc>
        <w:sdt>
          <w:sdtPr>
            <w:rPr>
              <w:rFonts w:cstheme="minorHAnsi"/>
              <w:sz w:val="22"/>
            </w:rPr>
            <w:id w:val="-1011375392"/>
            <w14:checkbox>
              <w14:checked w14:val="0"/>
              <w14:checkedState w14:val="2612" w14:font="MS Gothic"/>
              <w14:uncheckedState w14:val="2610" w14:font="MS Gothic"/>
            </w14:checkbox>
          </w:sdtPr>
          <w:sdtEndPr/>
          <w:sdtContent>
            <w:tc>
              <w:tcPr>
                <w:tcW w:w="1439" w:type="dxa"/>
              </w:tcPr>
              <w:p w14:paraId="14844B49"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3248DBA7" w14:textId="1CA08BAB" w:rsidR="00600A79" w:rsidRPr="00600A79" w:rsidRDefault="00C02A3A" w:rsidP="00600A79">
            <w:pPr>
              <w:jc w:val="center"/>
              <w:rPr>
                <w:rFonts w:cstheme="minorHAnsi"/>
                <w:sz w:val="22"/>
              </w:rPr>
            </w:pPr>
            <w:hyperlink w:anchor="_Review_patient-level_scenarios" w:history="1">
              <w:r w:rsidR="00912684">
                <w:rPr>
                  <w:rStyle w:val="Hyperlink"/>
                  <w:rFonts w:cstheme="minorHAnsi"/>
                  <w:sz w:val="22"/>
                </w:rPr>
                <w:t>3</w:t>
              </w:r>
            </w:hyperlink>
          </w:p>
        </w:tc>
      </w:tr>
      <w:tr w:rsidR="00600A79" w14:paraId="42B5C23F" w14:textId="77777777" w:rsidTr="00600A79">
        <w:trPr>
          <w:tblHeader/>
        </w:trPr>
        <w:tc>
          <w:tcPr>
            <w:tcW w:w="8459" w:type="dxa"/>
          </w:tcPr>
          <w:p w14:paraId="40F180CE" w14:textId="3453FDAA" w:rsidR="00600A79" w:rsidRPr="00600A79" w:rsidRDefault="00600A79" w:rsidP="00600A79">
            <w:pPr>
              <w:rPr>
                <w:rFonts w:cstheme="minorHAnsi"/>
                <w:sz w:val="22"/>
              </w:rPr>
            </w:pPr>
            <w:r w:rsidRPr="00600A79">
              <w:rPr>
                <w:rFonts w:cstheme="minorHAnsi"/>
                <w:sz w:val="22"/>
              </w:rPr>
              <w:t xml:space="preserve">Confirm appropriate use of N/A versus </w:t>
            </w:r>
            <w:r w:rsidR="005D68E4">
              <w:rPr>
                <w:rFonts w:cstheme="minorHAnsi"/>
                <w:sz w:val="22"/>
              </w:rPr>
              <w:t>zero</w:t>
            </w:r>
          </w:p>
        </w:tc>
        <w:sdt>
          <w:sdtPr>
            <w:rPr>
              <w:rFonts w:cstheme="minorHAnsi"/>
              <w:sz w:val="22"/>
            </w:rPr>
            <w:id w:val="-751895181"/>
            <w14:checkbox>
              <w14:checked w14:val="0"/>
              <w14:checkedState w14:val="2612" w14:font="MS Gothic"/>
              <w14:uncheckedState w14:val="2610" w14:font="MS Gothic"/>
            </w14:checkbox>
          </w:sdtPr>
          <w:sdtEndPr/>
          <w:sdtContent>
            <w:tc>
              <w:tcPr>
                <w:tcW w:w="1439" w:type="dxa"/>
              </w:tcPr>
              <w:p w14:paraId="0BE72EB7"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3EF7C7B8" w14:textId="2A8388ED" w:rsidR="00600A79" w:rsidRPr="00600A79" w:rsidRDefault="00C02A3A" w:rsidP="00600A79">
            <w:pPr>
              <w:jc w:val="center"/>
              <w:rPr>
                <w:rFonts w:cstheme="minorHAnsi"/>
                <w:sz w:val="22"/>
              </w:rPr>
            </w:pPr>
            <w:hyperlink w:anchor="_Confirm_appropriate_use" w:history="1">
              <w:r w:rsidR="00912684">
                <w:rPr>
                  <w:rStyle w:val="Hyperlink"/>
                  <w:rFonts w:cstheme="minorHAnsi"/>
                  <w:sz w:val="22"/>
                </w:rPr>
                <w:t>4</w:t>
              </w:r>
            </w:hyperlink>
          </w:p>
        </w:tc>
      </w:tr>
      <w:tr w:rsidR="001801E2" w14:paraId="5B7D7ABD" w14:textId="77777777" w:rsidTr="001801E2">
        <w:trPr>
          <w:tblHeader/>
        </w:trPr>
        <w:tc>
          <w:tcPr>
            <w:tcW w:w="8459" w:type="dxa"/>
            <w:tcBorders>
              <w:right w:val="nil"/>
            </w:tcBorders>
          </w:tcPr>
          <w:p w14:paraId="53CBA07A" w14:textId="77777777" w:rsidR="001801E2" w:rsidRPr="00600A79" w:rsidRDefault="001801E2" w:rsidP="00600A79">
            <w:pPr>
              <w:rPr>
                <w:rFonts w:cstheme="minorHAnsi"/>
                <w:sz w:val="22"/>
              </w:rPr>
            </w:pPr>
          </w:p>
        </w:tc>
        <w:tc>
          <w:tcPr>
            <w:tcW w:w="1439" w:type="dxa"/>
            <w:tcBorders>
              <w:left w:val="nil"/>
              <w:right w:val="nil"/>
            </w:tcBorders>
          </w:tcPr>
          <w:p w14:paraId="45D8472E" w14:textId="77777777" w:rsidR="001801E2" w:rsidRDefault="001801E2" w:rsidP="00600A79">
            <w:pPr>
              <w:jc w:val="center"/>
              <w:rPr>
                <w:rFonts w:cstheme="minorHAnsi"/>
                <w:sz w:val="22"/>
              </w:rPr>
            </w:pPr>
          </w:p>
        </w:tc>
        <w:tc>
          <w:tcPr>
            <w:tcW w:w="892" w:type="dxa"/>
            <w:tcBorders>
              <w:left w:val="nil"/>
            </w:tcBorders>
          </w:tcPr>
          <w:p w14:paraId="152F87E8" w14:textId="77777777" w:rsidR="001801E2" w:rsidRDefault="001801E2" w:rsidP="00600A79">
            <w:pPr>
              <w:jc w:val="center"/>
            </w:pPr>
          </w:p>
        </w:tc>
      </w:tr>
      <w:tr w:rsidR="00600A79" w14:paraId="0128FE1E" w14:textId="77777777" w:rsidTr="00600A79">
        <w:trPr>
          <w:tblHeader/>
        </w:trPr>
        <w:tc>
          <w:tcPr>
            <w:tcW w:w="8459" w:type="dxa"/>
            <w:shd w:val="clear" w:color="auto" w:fill="D9D9D9" w:themeFill="background1" w:themeFillShade="D9"/>
          </w:tcPr>
          <w:p w14:paraId="057FB69D" w14:textId="77777777" w:rsidR="00600A79" w:rsidRPr="00600A79" w:rsidRDefault="00600A79" w:rsidP="00600A79">
            <w:pPr>
              <w:rPr>
                <w:rFonts w:cstheme="minorHAnsi"/>
                <w:b/>
                <w:sz w:val="22"/>
              </w:rPr>
            </w:pPr>
            <w:r w:rsidRPr="00600A79">
              <w:rPr>
                <w:rFonts w:cstheme="minorHAnsi"/>
                <w:b/>
                <w:sz w:val="22"/>
              </w:rPr>
              <w:t>Section B: Validation of Data Aggregations &amp; Calculations</w:t>
            </w:r>
          </w:p>
        </w:tc>
        <w:sdt>
          <w:sdtPr>
            <w:rPr>
              <w:rFonts w:cstheme="minorHAnsi"/>
              <w:sz w:val="22"/>
            </w:rPr>
            <w:id w:val="1979101460"/>
            <w14:checkbox>
              <w14:checked w14:val="0"/>
              <w14:checkedState w14:val="2612" w14:font="MS Gothic"/>
              <w14:uncheckedState w14:val="2610" w14:font="MS Gothic"/>
            </w14:checkbox>
          </w:sdtPr>
          <w:sdtEndPr/>
          <w:sdtContent>
            <w:tc>
              <w:tcPr>
                <w:tcW w:w="1439" w:type="dxa"/>
              </w:tcPr>
              <w:p w14:paraId="0F8D4C9A"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3AC05FD3" w14:textId="1DD35D18" w:rsidR="00600A79" w:rsidRPr="00600A79" w:rsidRDefault="00C02A3A" w:rsidP="00600A79">
            <w:pPr>
              <w:jc w:val="center"/>
              <w:rPr>
                <w:rFonts w:cstheme="minorHAnsi"/>
                <w:sz w:val="22"/>
              </w:rPr>
            </w:pPr>
            <w:hyperlink w:anchor="_Section_B._Validation" w:history="1">
              <w:r w:rsidR="00912684">
                <w:rPr>
                  <w:rStyle w:val="Hyperlink"/>
                  <w:rFonts w:cstheme="minorHAnsi"/>
                  <w:sz w:val="22"/>
                </w:rPr>
                <w:t>5</w:t>
              </w:r>
            </w:hyperlink>
          </w:p>
        </w:tc>
      </w:tr>
      <w:tr w:rsidR="00600A79" w14:paraId="787000A0" w14:textId="77777777" w:rsidTr="00600A79">
        <w:trPr>
          <w:tblHeader/>
        </w:trPr>
        <w:tc>
          <w:tcPr>
            <w:tcW w:w="8459" w:type="dxa"/>
          </w:tcPr>
          <w:p w14:paraId="1CA97DEC" w14:textId="77777777" w:rsidR="00600A79" w:rsidRPr="00600A79" w:rsidRDefault="00600A79" w:rsidP="00600A79">
            <w:pPr>
              <w:rPr>
                <w:rFonts w:cstheme="minorHAnsi"/>
                <w:sz w:val="22"/>
              </w:rPr>
            </w:pPr>
            <w:r w:rsidRPr="00600A79">
              <w:rPr>
                <w:rFonts w:cstheme="minorHAnsi"/>
                <w:sz w:val="22"/>
              </w:rPr>
              <w:t>Review locations mapped in NHSN</w:t>
            </w:r>
          </w:p>
        </w:tc>
        <w:sdt>
          <w:sdtPr>
            <w:rPr>
              <w:rFonts w:cstheme="minorHAnsi"/>
              <w:sz w:val="22"/>
            </w:rPr>
            <w:id w:val="-915315634"/>
            <w14:checkbox>
              <w14:checked w14:val="0"/>
              <w14:checkedState w14:val="2612" w14:font="MS Gothic"/>
              <w14:uncheckedState w14:val="2610" w14:font="MS Gothic"/>
            </w14:checkbox>
          </w:sdtPr>
          <w:sdtEndPr/>
          <w:sdtContent>
            <w:tc>
              <w:tcPr>
                <w:tcW w:w="1439" w:type="dxa"/>
              </w:tcPr>
              <w:p w14:paraId="2D5082FB"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04BD97AA" w14:textId="48B88FF9" w:rsidR="00600A79" w:rsidRPr="00600A79" w:rsidRDefault="00C02A3A" w:rsidP="00600A79">
            <w:pPr>
              <w:jc w:val="center"/>
              <w:rPr>
                <w:rFonts w:cstheme="minorHAnsi"/>
                <w:sz w:val="22"/>
              </w:rPr>
            </w:pPr>
            <w:hyperlink w:anchor="_Review_locations_mapped" w:history="1">
              <w:r w:rsidR="00912684">
                <w:rPr>
                  <w:rStyle w:val="Hyperlink"/>
                  <w:rFonts w:cstheme="minorHAnsi"/>
                  <w:sz w:val="22"/>
                </w:rPr>
                <w:t>5</w:t>
              </w:r>
            </w:hyperlink>
          </w:p>
        </w:tc>
      </w:tr>
      <w:tr w:rsidR="00600A79" w14:paraId="5142466F" w14:textId="77777777" w:rsidTr="00600A79">
        <w:trPr>
          <w:tblHeader/>
        </w:trPr>
        <w:tc>
          <w:tcPr>
            <w:tcW w:w="8459" w:type="dxa"/>
          </w:tcPr>
          <w:p w14:paraId="7BD4F498" w14:textId="04A0CC37" w:rsidR="00600A79" w:rsidRPr="00600A79" w:rsidRDefault="005B4DCE" w:rsidP="00600A79">
            <w:pPr>
              <w:rPr>
                <w:rFonts w:cstheme="minorHAnsi"/>
                <w:sz w:val="22"/>
              </w:rPr>
            </w:pPr>
            <w:r>
              <w:rPr>
                <w:rFonts w:cstheme="minorHAnsi"/>
                <w:sz w:val="22"/>
              </w:rPr>
              <w:t xml:space="preserve">Review aggregations </w:t>
            </w:r>
          </w:p>
        </w:tc>
        <w:sdt>
          <w:sdtPr>
            <w:rPr>
              <w:rFonts w:cstheme="minorHAnsi"/>
              <w:sz w:val="22"/>
            </w:rPr>
            <w:id w:val="1306965748"/>
            <w14:checkbox>
              <w14:checked w14:val="0"/>
              <w14:checkedState w14:val="2612" w14:font="MS Gothic"/>
              <w14:uncheckedState w14:val="2610" w14:font="MS Gothic"/>
            </w14:checkbox>
          </w:sdtPr>
          <w:sdtEndPr/>
          <w:sdtContent>
            <w:tc>
              <w:tcPr>
                <w:tcW w:w="1439" w:type="dxa"/>
              </w:tcPr>
              <w:p w14:paraId="33B85432"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4182C813" w14:textId="0420ED76" w:rsidR="00600A79" w:rsidRPr="00600A79" w:rsidRDefault="00C02A3A" w:rsidP="00600A79">
            <w:pPr>
              <w:jc w:val="center"/>
              <w:rPr>
                <w:rFonts w:cstheme="minorHAnsi"/>
                <w:sz w:val="22"/>
              </w:rPr>
            </w:pPr>
            <w:hyperlink w:anchor="_Review_aggregations" w:history="1">
              <w:r w:rsidR="00912684">
                <w:rPr>
                  <w:rStyle w:val="Hyperlink"/>
                  <w:rFonts w:cstheme="minorHAnsi"/>
                  <w:sz w:val="22"/>
                </w:rPr>
                <w:t>5</w:t>
              </w:r>
            </w:hyperlink>
          </w:p>
        </w:tc>
      </w:tr>
      <w:tr w:rsidR="00600A79" w14:paraId="6077C8AA" w14:textId="77777777" w:rsidTr="00600A79">
        <w:trPr>
          <w:tblHeader/>
        </w:trPr>
        <w:tc>
          <w:tcPr>
            <w:tcW w:w="8459" w:type="dxa"/>
          </w:tcPr>
          <w:p w14:paraId="75DD7F30" w14:textId="77777777" w:rsidR="00600A79" w:rsidRPr="00600A79" w:rsidRDefault="00600A79" w:rsidP="00600A79">
            <w:pPr>
              <w:rPr>
                <w:rFonts w:cstheme="minorHAnsi"/>
                <w:sz w:val="22"/>
              </w:rPr>
            </w:pPr>
            <w:r w:rsidRPr="00600A79">
              <w:rPr>
                <w:rFonts w:cstheme="minorHAnsi"/>
                <w:sz w:val="22"/>
              </w:rPr>
              <w:t xml:space="preserve">Compare AU &amp; HAI denominators </w:t>
            </w:r>
          </w:p>
        </w:tc>
        <w:sdt>
          <w:sdtPr>
            <w:rPr>
              <w:rFonts w:cstheme="minorHAnsi"/>
              <w:sz w:val="22"/>
            </w:rPr>
            <w:id w:val="1896388588"/>
            <w14:checkbox>
              <w14:checked w14:val="0"/>
              <w14:checkedState w14:val="2612" w14:font="MS Gothic"/>
              <w14:uncheckedState w14:val="2610" w14:font="MS Gothic"/>
            </w14:checkbox>
          </w:sdtPr>
          <w:sdtEndPr/>
          <w:sdtContent>
            <w:tc>
              <w:tcPr>
                <w:tcW w:w="1439" w:type="dxa"/>
              </w:tcPr>
              <w:p w14:paraId="4D653B17"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3F98B580" w14:textId="69D39314" w:rsidR="00600A79" w:rsidRPr="00600A79" w:rsidRDefault="00C02A3A" w:rsidP="00600A79">
            <w:pPr>
              <w:jc w:val="center"/>
              <w:rPr>
                <w:rFonts w:cstheme="minorHAnsi"/>
                <w:sz w:val="22"/>
              </w:rPr>
            </w:pPr>
            <w:hyperlink w:anchor="_Compare_AU_and" w:history="1">
              <w:r w:rsidR="00912684">
                <w:rPr>
                  <w:rStyle w:val="Hyperlink"/>
                  <w:rFonts w:cstheme="minorHAnsi"/>
                  <w:sz w:val="22"/>
                </w:rPr>
                <w:t>8</w:t>
              </w:r>
            </w:hyperlink>
          </w:p>
        </w:tc>
      </w:tr>
      <w:tr w:rsidR="001801E2" w14:paraId="2CBE20F0" w14:textId="77777777" w:rsidTr="001801E2">
        <w:trPr>
          <w:tblHeader/>
        </w:trPr>
        <w:tc>
          <w:tcPr>
            <w:tcW w:w="8459" w:type="dxa"/>
            <w:tcBorders>
              <w:right w:val="nil"/>
            </w:tcBorders>
          </w:tcPr>
          <w:p w14:paraId="3108BD25" w14:textId="77777777" w:rsidR="001801E2" w:rsidRPr="00600A79" w:rsidRDefault="001801E2" w:rsidP="00600A79">
            <w:pPr>
              <w:rPr>
                <w:rFonts w:cstheme="minorHAnsi"/>
                <w:sz w:val="22"/>
              </w:rPr>
            </w:pPr>
          </w:p>
        </w:tc>
        <w:tc>
          <w:tcPr>
            <w:tcW w:w="1439" w:type="dxa"/>
            <w:tcBorders>
              <w:left w:val="nil"/>
              <w:right w:val="nil"/>
            </w:tcBorders>
          </w:tcPr>
          <w:p w14:paraId="374D0D3B" w14:textId="77777777" w:rsidR="001801E2" w:rsidRDefault="001801E2" w:rsidP="00600A79">
            <w:pPr>
              <w:jc w:val="center"/>
              <w:rPr>
                <w:rFonts w:cstheme="minorHAnsi"/>
                <w:sz w:val="22"/>
              </w:rPr>
            </w:pPr>
          </w:p>
        </w:tc>
        <w:tc>
          <w:tcPr>
            <w:tcW w:w="892" w:type="dxa"/>
            <w:tcBorders>
              <w:left w:val="nil"/>
            </w:tcBorders>
          </w:tcPr>
          <w:p w14:paraId="220173A4" w14:textId="77777777" w:rsidR="001801E2" w:rsidRDefault="001801E2" w:rsidP="00600A79">
            <w:pPr>
              <w:jc w:val="center"/>
            </w:pPr>
          </w:p>
        </w:tc>
      </w:tr>
      <w:tr w:rsidR="00600A79" w14:paraId="0594A05B" w14:textId="77777777" w:rsidTr="00600A79">
        <w:trPr>
          <w:tblHeader/>
        </w:trPr>
        <w:tc>
          <w:tcPr>
            <w:tcW w:w="8459" w:type="dxa"/>
            <w:shd w:val="clear" w:color="auto" w:fill="D9D9D9" w:themeFill="background1" w:themeFillShade="D9"/>
          </w:tcPr>
          <w:p w14:paraId="36D6507A" w14:textId="01F47DF5" w:rsidR="00600A79" w:rsidRPr="00600A79" w:rsidRDefault="00600A79" w:rsidP="00600A79">
            <w:pPr>
              <w:rPr>
                <w:rFonts w:cstheme="minorHAnsi"/>
                <w:b/>
                <w:sz w:val="22"/>
              </w:rPr>
            </w:pPr>
            <w:r w:rsidRPr="00600A79">
              <w:rPr>
                <w:rFonts w:cstheme="minorHAnsi"/>
                <w:b/>
                <w:sz w:val="22"/>
              </w:rPr>
              <w:t>Section C: Spot Check Data Submitted to NHSN</w:t>
            </w:r>
          </w:p>
        </w:tc>
        <w:sdt>
          <w:sdtPr>
            <w:rPr>
              <w:rFonts w:cstheme="minorHAnsi"/>
              <w:sz w:val="22"/>
            </w:rPr>
            <w:id w:val="815995702"/>
            <w14:checkbox>
              <w14:checked w14:val="0"/>
              <w14:checkedState w14:val="2612" w14:font="MS Gothic"/>
              <w14:uncheckedState w14:val="2610" w14:font="MS Gothic"/>
            </w14:checkbox>
          </w:sdtPr>
          <w:sdtEndPr/>
          <w:sdtContent>
            <w:tc>
              <w:tcPr>
                <w:tcW w:w="1439" w:type="dxa"/>
              </w:tcPr>
              <w:p w14:paraId="56DA1D67"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08A6E465" w14:textId="0AA28A89" w:rsidR="00600A79" w:rsidRPr="00600A79" w:rsidRDefault="00C02A3A" w:rsidP="00600A79">
            <w:pPr>
              <w:jc w:val="center"/>
              <w:rPr>
                <w:rFonts w:cstheme="minorHAnsi"/>
                <w:sz w:val="22"/>
              </w:rPr>
            </w:pPr>
            <w:hyperlink w:anchor="_Section_C._Spot" w:history="1">
              <w:r w:rsidR="00912684">
                <w:rPr>
                  <w:rStyle w:val="Hyperlink"/>
                  <w:rFonts w:cstheme="minorHAnsi"/>
                  <w:sz w:val="22"/>
                </w:rPr>
                <w:t>11</w:t>
              </w:r>
            </w:hyperlink>
          </w:p>
        </w:tc>
      </w:tr>
      <w:tr w:rsidR="005B4DCE" w14:paraId="101ADAD1" w14:textId="77777777" w:rsidTr="00600A79">
        <w:trPr>
          <w:tblHeader/>
        </w:trPr>
        <w:tc>
          <w:tcPr>
            <w:tcW w:w="8459" w:type="dxa"/>
          </w:tcPr>
          <w:p w14:paraId="0841904A" w14:textId="1A91E849" w:rsidR="005B4DCE" w:rsidRPr="00600A79" w:rsidRDefault="005B4DCE" w:rsidP="00600A79">
            <w:pPr>
              <w:rPr>
                <w:rFonts w:cstheme="minorHAnsi"/>
                <w:sz w:val="22"/>
              </w:rPr>
            </w:pPr>
            <w:r>
              <w:rPr>
                <w:rFonts w:cstheme="minorHAnsi"/>
                <w:sz w:val="22"/>
              </w:rPr>
              <w:t>Us</w:t>
            </w:r>
            <w:r w:rsidR="002F2B22">
              <w:rPr>
                <w:rFonts w:cstheme="minorHAnsi"/>
                <w:sz w:val="22"/>
              </w:rPr>
              <w:t>e</w:t>
            </w:r>
            <w:r>
              <w:rPr>
                <w:rFonts w:cstheme="minorHAnsi"/>
                <w:sz w:val="22"/>
              </w:rPr>
              <w:t xml:space="preserve"> the AU Option Data Quality Line List within NHSN</w:t>
            </w:r>
          </w:p>
        </w:tc>
        <w:sdt>
          <w:sdtPr>
            <w:rPr>
              <w:rFonts w:cstheme="minorHAnsi"/>
              <w:sz w:val="22"/>
            </w:rPr>
            <w:id w:val="1355609528"/>
            <w14:checkbox>
              <w14:checked w14:val="0"/>
              <w14:checkedState w14:val="2612" w14:font="MS Gothic"/>
              <w14:uncheckedState w14:val="2610" w14:font="MS Gothic"/>
            </w14:checkbox>
          </w:sdtPr>
          <w:sdtEndPr/>
          <w:sdtContent>
            <w:tc>
              <w:tcPr>
                <w:tcW w:w="1439" w:type="dxa"/>
              </w:tcPr>
              <w:p w14:paraId="56491BEE" w14:textId="09F31D70" w:rsidR="005B4DCE" w:rsidRDefault="005B4DCE"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4DC16A61" w14:textId="7AE4C0AC" w:rsidR="005B4DCE" w:rsidRPr="00912684" w:rsidRDefault="00C02A3A" w:rsidP="00600A79">
            <w:pPr>
              <w:jc w:val="center"/>
              <w:rPr>
                <w:sz w:val="22"/>
              </w:rPr>
            </w:pPr>
            <w:hyperlink w:anchor="_Use_the_AU" w:history="1">
              <w:r w:rsidR="00912684" w:rsidRPr="00912684">
                <w:rPr>
                  <w:rStyle w:val="Hyperlink"/>
                  <w:sz w:val="22"/>
                </w:rPr>
                <w:t>11</w:t>
              </w:r>
            </w:hyperlink>
          </w:p>
        </w:tc>
      </w:tr>
      <w:tr w:rsidR="00600A79" w14:paraId="7DBC5376" w14:textId="77777777" w:rsidTr="00600A79">
        <w:trPr>
          <w:tblHeader/>
        </w:trPr>
        <w:tc>
          <w:tcPr>
            <w:tcW w:w="8459" w:type="dxa"/>
          </w:tcPr>
          <w:p w14:paraId="31D8763C" w14:textId="77777777" w:rsidR="00600A79" w:rsidRPr="00600A79" w:rsidRDefault="00600A79" w:rsidP="00600A79">
            <w:pPr>
              <w:rPr>
                <w:rFonts w:cstheme="minorHAnsi"/>
                <w:sz w:val="22"/>
              </w:rPr>
            </w:pPr>
            <w:r w:rsidRPr="00600A79">
              <w:rPr>
                <w:rFonts w:cstheme="minorHAnsi"/>
                <w:sz w:val="22"/>
              </w:rPr>
              <w:t>Review less common routes of administration</w:t>
            </w:r>
          </w:p>
        </w:tc>
        <w:sdt>
          <w:sdtPr>
            <w:rPr>
              <w:rFonts w:cstheme="minorHAnsi"/>
              <w:sz w:val="22"/>
            </w:rPr>
            <w:id w:val="724024311"/>
            <w14:checkbox>
              <w14:checked w14:val="0"/>
              <w14:checkedState w14:val="2612" w14:font="MS Gothic"/>
              <w14:uncheckedState w14:val="2610" w14:font="MS Gothic"/>
            </w14:checkbox>
          </w:sdtPr>
          <w:sdtEndPr/>
          <w:sdtContent>
            <w:tc>
              <w:tcPr>
                <w:tcW w:w="1439" w:type="dxa"/>
              </w:tcPr>
              <w:p w14:paraId="583CB7F5"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2C6A1BE1" w14:textId="7C73D93D" w:rsidR="00600A79" w:rsidRPr="00600A79" w:rsidRDefault="00C02A3A" w:rsidP="00600A79">
            <w:pPr>
              <w:jc w:val="center"/>
              <w:rPr>
                <w:rFonts w:cstheme="minorHAnsi"/>
                <w:sz w:val="22"/>
              </w:rPr>
            </w:pPr>
            <w:hyperlink w:anchor="_Review_less_common" w:history="1">
              <w:r w:rsidR="00912684">
                <w:rPr>
                  <w:rStyle w:val="Hyperlink"/>
                  <w:rFonts w:cstheme="minorHAnsi"/>
                  <w:sz w:val="22"/>
                </w:rPr>
                <w:t>11</w:t>
              </w:r>
            </w:hyperlink>
          </w:p>
        </w:tc>
      </w:tr>
      <w:tr w:rsidR="00600A79" w14:paraId="34CDE3D8" w14:textId="77777777" w:rsidTr="00600A79">
        <w:trPr>
          <w:tblHeader/>
        </w:trPr>
        <w:tc>
          <w:tcPr>
            <w:tcW w:w="8459" w:type="dxa"/>
          </w:tcPr>
          <w:p w14:paraId="3CDAD612" w14:textId="208D8EFD" w:rsidR="00600A79" w:rsidRPr="00600A79" w:rsidRDefault="00600A79" w:rsidP="00600A79">
            <w:pPr>
              <w:rPr>
                <w:rFonts w:cstheme="minorHAnsi"/>
                <w:sz w:val="22"/>
              </w:rPr>
            </w:pPr>
            <w:r w:rsidRPr="00600A79">
              <w:rPr>
                <w:rFonts w:cstheme="minorHAnsi"/>
                <w:sz w:val="22"/>
              </w:rPr>
              <w:t>Evaluate location</w:t>
            </w:r>
            <w:r w:rsidR="002F2B22">
              <w:rPr>
                <w:rFonts w:cstheme="minorHAnsi"/>
                <w:sz w:val="22"/>
              </w:rPr>
              <w:t xml:space="preserve"> </w:t>
            </w:r>
            <w:r w:rsidRPr="00600A79">
              <w:rPr>
                <w:rFonts w:cstheme="minorHAnsi"/>
                <w:sz w:val="22"/>
              </w:rPr>
              <w:t>specific expected patterns</w:t>
            </w:r>
          </w:p>
        </w:tc>
        <w:sdt>
          <w:sdtPr>
            <w:rPr>
              <w:rFonts w:cstheme="minorHAnsi"/>
              <w:sz w:val="22"/>
            </w:rPr>
            <w:id w:val="-528102469"/>
            <w14:checkbox>
              <w14:checked w14:val="0"/>
              <w14:checkedState w14:val="2612" w14:font="MS Gothic"/>
              <w14:uncheckedState w14:val="2610" w14:font="MS Gothic"/>
            </w14:checkbox>
          </w:sdtPr>
          <w:sdtEndPr/>
          <w:sdtContent>
            <w:tc>
              <w:tcPr>
                <w:tcW w:w="1439" w:type="dxa"/>
              </w:tcPr>
              <w:p w14:paraId="32534249"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3F22CAE1" w14:textId="4D2B9F6C" w:rsidR="00600A79" w:rsidRPr="00600A79" w:rsidRDefault="00C02A3A" w:rsidP="00600A79">
            <w:pPr>
              <w:jc w:val="center"/>
              <w:rPr>
                <w:rFonts w:cstheme="minorHAnsi"/>
                <w:sz w:val="22"/>
              </w:rPr>
            </w:pPr>
            <w:hyperlink w:anchor="_Evaluate_location_specific" w:history="1">
              <w:r w:rsidR="00912684">
                <w:rPr>
                  <w:rStyle w:val="Hyperlink"/>
                  <w:rFonts w:cstheme="minorHAnsi"/>
                  <w:sz w:val="22"/>
                </w:rPr>
                <w:t>12</w:t>
              </w:r>
            </w:hyperlink>
          </w:p>
        </w:tc>
      </w:tr>
      <w:tr w:rsidR="00600A79" w14:paraId="46080B0A" w14:textId="77777777" w:rsidTr="00600A79">
        <w:trPr>
          <w:tblHeader/>
        </w:trPr>
        <w:tc>
          <w:tcPr>
            <w:tcW w:w="8459" w:type="dxa"/>
          </w:tcPr>
          <w:p w14:paraId="59AAA198" w14:textId="04371E16" w:rsidR="00600A79" w:rsidRPr="00600A79" w:rsidRDefault="00600A79" w:rsidP="00600A79">
            <w:pPr>
              <w:rPr>
                <w:rFonts w:cstheme="minorHAnsi"/>
                <w:sz w:val="22"/>
              </w:rPr>
            </w:pPr>
            <w:r w:rsidRPr="00600A79">
              <w:rPr>
                <w:rFonts w:cstheme="minorHAnsi"/>
                <w:sz w:val="22"/>
              </w:rPr>
              <w:t>Evaluate drug</w:t>
            </w:r>
            <w:r w:rsidR="002F2B22">
              <w:rPr>
                <w:rFonts w:cstheme="minorHAnsi"/>
                <w:sz w:val="22"/>
              </w:rPr>
              <w:t xml:space="preserve"> </w:t>
            </w:r>
            <w:r w:rsidRPr="00600A79">
              <w:rPr>
                <w:rFonts w:cstheme="minorHAnsi"/>
                <w:sz w:val="22"/>
              </w:rPr>
              <w:t>specific expected patterns</w:t>
            </w:r>
          </w:p>
        </w:tc>
        <w:sdt>
          <w:sdtPr>
            <w:rPr>
              <w:rFonts w:cstheme="minorHAnsi"/>
              <w:sz w:val="22"/>
            </w:rPr>
            <w:id w:val="-992951688"/>
            <w14:checkbox>
              <w14:checked w14:val="0"/>
              <w14:checkedState w14:val="2612" w14:font="MS Gothic"/>
              <w14:uncheckedState w14:val="2610" w14:font="MS Gothic"/>
            </w14:checkbox>
          </w:sdtPr>
          <w:sdtEndPr/>
          <w:sdtContent>
            <w:tc>
              <w:tcPr>
                <w:tcW w:w="1439" w:type="dxa"/>
              </w:tcPr>
              <w:p w14:paraId="0206330B"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42E0D2E9" w14:textId="6D0C5800" w:rsidR="00600A79" w:rsidRPr="00600A79" w:rsidRDefault="00C02A3A" w:rsidP="00600A79">
            <w:pPr>
              <w:jc w:val="center"/>
              <w:rPr>
                <w:rFonts w:cstheme="minorHAnsi"/>
                <w:sz w:val="22"/>
              </w:rPr>
            </w:pPr>
            <w:hyperlink w:anchor="_Evaluate_drug_specific" w:history="1">
              <w:r w:rsidR="00912684">
                <w:rPr>
                  <w:rStyle w:val="Hyperlink"/>
                  <w:rFonts w:cstheme="minorHAnsi"/>
                  <w:sz w:val="22"/>
                </w:rPr>
                <w:t>13</w:t>
              </w:r>
            </w:hyperlink>
          </w:p>
        </w:tc>
      </w:tr>
      <w:tr w:rsidR="00600A79" w14:paraId="7BD98134" w14:textId="77777777" w:rsidTr="00600A79">
        <w:trPr>
          <w:tblHeader/>
        </w:trPr>
        <w:tc>
          <w:tcPr>
            <w:tcW w:w="8459" w:type="dxa"/>
          </w:tcPr>
          <w:p w14:paraId="3D9C59AC" w14:textId="504930F0" w:rsidR="00600A79" w:rsidRPr="00600A79" w:rsidRDefault="002F2B22" w:rsidP="00600A79">
            <w:pPr>
              <w:rPr>
                <w:rFonts w:cstheme="minorHAnsi"/>
                <w:sz w:val="22"/>
              </w:rPr>
            </w:pPr>
            <w:r>
              <w:rPr>
                <w:rFonts w:cstheme="minorHAnsi"/>
                <w:sz w:val="22"/>
              </w:rPr>
              <w:t>Review aggregations</w:t>
            </w:r>
          </w:p>
        </w:tc>
        <w:sdt>
          <w:sdtPr>
            <w:rPr>
              <w:rFonts w:cstheme="minorHAnsi"/>
              <w:sz w:val="22"/>
            </w:rPr>
            <w:id w:val="669460359"/>
            <w14:checkbox>
              <w14:checked w14:val="0"/>
              <w14:checkedState w14:val="2612" w14:font="MS Gothic"/>
              <w14:uncheckedState w14:val="2610" w14:font="MS Gothic"/>
            </w14:checkbox>
          </w:sdtPr>
          <w:sdtEndPr/>
          <w:sdtContent>
            <w:tc>
              <w:tcPr>
                <w:tcW w:w="1439" w:type="dxa"/>
              </w:tcPr>
              <w:p w14:paraId="3228E990"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6694F720" w14:textId="40280E95" w:rsidR="00600A79" w:rsidRPr="00600A79" w:rsidRDefault="00C02A3A" w:rsidP="00600A79">
            <w:pPr>
              <w:jc w:val="center"/>
              <w:rPr>
                <w:rFonts w:cstheme="minorHAnsi"/>
                <w:sz w:val="22"/>
              </w:rPr>
            </w:pPr>
            <w:hyperlink w:anchor="_Review_aggregations_1" w:history="1">
              <w:r w:rsidR="00912684">
                <w:rPr>
                  <w:rStyle w:val="Hyperlink"/>
                  <w:rFonts w:cstheme="minorHAnsi"/>
                  <w:sz w:val="22"/>
                </w:rPr>
                <w:t>14</w:t>
              </w:r>
            </w:hyperlink>
          </w:p>
        </w:tc>
      </w:tr>
      <w:tr w:rsidR="00600A79" w14:paraId="3F2CDD38" w14:textId="77777777" w:rsidTr="00600A79">
        <w:trPr>
          <w:tblHeader/>
        </w:trPr>
        <w:tc>
          <w:tcPr>
            <w:tcW w:w="8459" w:type="dxa"/>
          </w:tcPr>
          <w:p w14:paraId="0A302D7E" w14:textId="77777777" w:rsidR="00600A79" w:rsidRPr="00600A79" w:rsidRDefault="00600A79" w:rsidP="00600A79">
            <w:pPr>
              <w:rPr>
                <w:rFonts w:cstheme="minorHAnsi"/>
                <w:sz w:val="22"/>
              </w:rPr>
            </w:pPr>
            <w:r w:rsidRPr="00600A79">
              <w:rPr>
                <w:rFonts w:cstheme="minorHAnsi"/>
                <w:sz w:val="22"/>
              </w:rPr>
              <w:t>Compare AU &amp; HAI denominators</w:t>
            </w:r>
          </w:p>
        </w:tc>
        <w:sdt>
          <w:sdtPr>
            <w:rPr>
              <w:rFonts w:cstheme="minorHAnsi"/>
              <w:sz w:val="22"/>
            </w:rPr>
            <w:id w:val="-1745182140"/>
            <w14:checkbox>
              <w14:checked w14:val="0"/>
              <w14:checkedState w14:val="2612" w14:font="MS Gothic"/>
              <w14:uncheckedState w14:val="2610" w14:font="MS Gothic"/>
            </w14:checkbox>
          </w:sdtPr>
          <w:sdtEndPr/>
          <w:sdtContent>
            <w:tc>
              <w:tcPr>
                <w:tcW w:w="1439" w:type="dxa"/>
              </w:tcPr>
              <w:p w14:paraId="754DFEBB" w14:textId="77777777" w:rsidR="00600A79" w:rsidRPr="00600A79" w:rsidRDefault="00600A79"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4C324278" w14:textId="6C86ED94" w:rsidR="00600A79" w:rsidRPr="00600A79" w:rsidRDefault="00C02A3A" w:rsidP="00600A79">
            <w:pPr>
              <w:jc w:val="center"/>
              <w:rPr>
                <w:rFonts w:cstheme="minorHAnsi"/>
                <w:sz w:val="22"/>
              </w:rPr>
            </w:pPr>
            <w:hyperlink w:anchor="_Compare_AU_and_1" w:history="1">
              <w:r w:rsidR="00912684">
                <w:rPr>
                  <w:rStyle w:val="Hyperlink"/>
                  <w:rFonts w:cstheme="minorHAnsi"/>
                  <w:sz w:val="22"/>
                </w:rPr>
                <w:t>15</w:t>
              </w:r>
            </w:hyperlink>
          </w:p>
        </w:tc>
      </w:tr>
      <w:tr w:rsidR="00503721" w14:paraId="2BB00859" w14:textId="77777777" w:rsidTr="00600A79">
        <w:trPr>
          <w:tblHeader/>
        </w:trPr>
        <w:tc>
          <w:tcPr>
            <w:tcW w:w="8459" w:type="dxa"/>
          </w:tcPr>
          <w:p w14:paraId="5F075F30" w14:textId="77777777" w:rsidR="00503721" w:rsidRPr="00600A79" w:rsidRDefault="00503721" w:rsidP="00600A79">
            <w:pPr>
              <w:rPr>
                <w:rFonts w:cstheme="minorHAnsi"/>
                <w:sz w:val="22"/>
              </w:rPr>
            </w:pPr>
          </w:p>
        </w:tc>
        <w:tc>
          <w:tcPr>
            <w:tcW w:w="1439" w:type="dxa"/>
          </w:tcPr>
          <w:p w14:paraId="38DB9A1E" w14:textId="77777777" w:rsidR="00503721" w:rsidRDefault="00503721" w:rsidP="00600A79">
            <w:pPr>
              <w:jc w:val="center"/>
              <w:rPr>
                <w:rFonts w:cstheme="minorHAnsi"/>
                <w:sz w:val="22"/>
              </w:rPr>
            </w:pPr>
          </w:p>
        </w:tc>
        <w:tc>
          <w:tcPr>
            <w:tcW w:w="892" w:type="dxa"/>
          </w:tcPr>
          <w:p w14:paraId="5BB43708" w14:textId="77777777" w:rsidR="00503721" w:rsidRDefault="00503721" w:rsidP="00600A79">
            <w:pPr>
              <w:jc w:val="center"/>
            </w:pPr>
          </w:p>
        </w:tc>
      </w:tr>
      <w:tr w:rsidR="00503721" w14:paraId="10C22876" w14:textId="77777777" w:rsidTr="00503721">
        <w:trPr>
          <w:tblHeader/>
        </w:trPr>
        <w:tc>
          <w:tcPr>
            <w:tcW w:w="8459" w:type="dxa"/>
            <w:shd w:val="clear" w:color="auto" w:fill="D9D9D9" w:themeFill="background1" w:themeFillShade="D9"/>
          </w:tcPr>
          <w:p w14:paraId="128F3596" w14:textId="3A533EE8" w:rsidR="00503721" w:rsidRPr="00503721" w:rsidRDefault="00503721" w:rsidP="00600A79">
            <w:pPr>
              <w:rPr>
                <w:rFonts w:cstheme="minorHAnsi"/>
                <w:b/>
                <w:bCs/>
                <w:sz w:val="22"/>
              </w:rPr>
            </w:pPr>
            <w:r w:rsidRPr="00503721">
              <w:rPr>
                <w:rFonts w:cstheme="minorHAnsi"/>
                <w:b/>
                <w:bCs/>
                <w:sz w:val="22"/>
              </w:rPr>
              <w:t>Appendix</w:t>
            </w:r>
            <w:r w:rsidR="00177598">
              <w:rPr>
                <w:rFonts w:cstheme="minorHAnsi"/>
                <w:b/>
                <w:bCs/>
                <w:sz w:val="22"/>
              </w:rPr>
              <w:t>: Links to Referenced Documents</w:t>
            </w:r>
          </w:p>
        </w:tc>
        <w:sdt>
          <w:sdtPr>
            <w:rPr>
              <w:rFonts w:cstheme="minorHAnsi"/>
              <w:sz w:val="22"/>
            </w:rPr>
            <w:id w:val="-213885835"/>
            <w14:checkbox>
              <w14:checked w14:val="0"/>
              <w14:checkedState w14:val="2612" w14:font="MS Gothic"/>
              <w14:uncheckedState w14:val="2610" w14:font="MS Gothic"/>
            </w14:checkbox>
          </w:sdtPr>
          <w:sdtEndPr/>
          <w:sdtContent>
            <w:tc>
              <w:tcPr>
                <w:tcW w:w="1439" w:type="dxa"/>
              </w:tcPr>
              <w:p w14:paraId="1B077C15" w14:textId="1FEC0FC9" w:rsidR="00503721" w:rsidRDefault="00912684" w:rsidP="00600A79">
                <w:pPr>
                  <w:jc w:val="center"/>
                  <w:rPr>
                    <w:rFonts w:cstheme="minorHAnsi"/>
                    <w:sz w:val="22"/>
                  </w:rPr>
                </w:pPr>
                <w:r w:rsidRPr="00600A79">
                  <w:rPr>
                    <w:rFonts w:ascii="Segoe UI Symbol" w:eastAsia="MS Gothic" w:hAnsi="Segoe UI Symbol" w:cs="Segoe UI Symbol"/>
                    <w:sz w:val="22"/>
                  </w:rPr>
                  <w:t>☐</w:t>
                </w:r>
              </w:p>
            </w:tc>
          </w:sdtContent>
        </w:sdt>
        <w:tc>
          <w:tcPr>
            <w:tcW w:w="892" w:type="dxa"/>
          </w:tcPr>
          <w:p w14:paraId="092FFB23" w14:textId="662C4319" w:rsidR="00503721" w:rsidRPr="00912684" w:rsidRDefault="00C02A3A" w:rsidP="00600A79">
            <w:pPr>
              <w:jc w:val="center"/>
              <w:rPr>
                <w:sz w:val="22"/>
              </w:rPr>
            </w:pPr>
            <w:hyperlink w:anchor="_Appendix:_Links_to" w:history="1">
              <w:r w:rsidR="00912684" w:rsidRPr="00912684">
                <w:rPr>
                  <w:rStyle w:val="Hyperlink"/>
                  <w:sz w:val="22"/>
                </w:rPr>
                <w:t>17</w:t>
              </w:r>
            </w:hyperlink>
          </w:p>
        </w:tc>
      </w:tr>
    </w:tbl>
    <w:p w14:paraId="7B7D1FC2" w14:textId="77777777" w:rsidR="00BC1B7E" w:rsidRDefault="00BC1B7E" w:rsidP="00EF31B1">
      <w:pPr>
        <w:pStyle w:val="Heading2"/>
        <w:sectPr w:rsidR="00BC1B7E" w:rsidSect="003D38E6">
          <w:headerReference w:type="even" r:id="rId13"/>
          <w:headerReference w:type="default" r:id="rId14"/>
          <w:footerReference w:type="even" r:id="rId15"/>
          <w:footerReference w:type="default" r:id="rId16"/>
          <w:headerReference w:type="first" r:id="rId17"/>
          <w:footerReference w:type="first" r:id="rId18"/>
          <w:pgSz w:w="12240" w:h="15840" w:code="1"/>
          <w:pgMar w:top="540" w:right="720" w:bottom="720" w:left="720" w:header="720" w:footer="288" w:gutter="0"/>
          <w:cols w:space="720"/>
          <w:titlePg/>
          <w:docGrid w:linePitch="360"/>
        </w:sectPr>
      </w:pPr>
    </w:p>
    <w:p w14:paraId="5F651E5C" w14:textId="14A2A37B" w:rsidR="0067592C" w:rsidRPr="0067592C" w:rsidRDefault="00EF31B1" w:rsidP="009F042A">
      <w:pPr>
        <w:pStyle w:val="Heading2"/>
        <w:spacing w:line="240" w:lineRule="auto"/>
      </w:pPr>
      <w:bookmarkStart w:id="0" w:name="_Section_A._Manual"/>
      <w:bookmarkEnd w:id="0"/>
      <w:r w:rsidRPr="00EF31B1">
        <w:lastRenderedPageBreak/>
        <w:t>Section A. Manual Validation of eMAR/BCMA data feeds to vendor software</w:t>
      </w:r>
    </w:p>
    <w:p w14:paraId="2C9CDDC6" w14:textId="77777777" w:rsidR="00AF4F1E" w:rsidRPr="005457F8" w:rsidRDefault="00AF4F1E" w:rsidP="005457F8">
      <w:pPr>
        <w:pStyle w:val="NoSpacing"/>
        <w:rPr>
          <w:sz w:val="21"/>
          <w:szCs w:val="21"/>
        </w:rPr>
      </w:pPr>
      <w:r w:rsidRPr="005457F8">
        <w:rPr>
          <w:sz w:val="21"/>
          <w:szCs w:val="21"/>
        </w:rPr>
        <w:t>This section will help you confirm the connection between your eMAR/BCMA data feed within your Electronic Health Record (EHR) and the vendor system you will be using to submit AU Option data to NHSN. If you’ll be using your EHR system to submit AU Option data to NHSN, use the questions to ensure the EHR system is accurately capturing these data.</w:t>
      </w:r>
    </w:p>
    <w:p w14:paraId="7E6C56B4" w14:textId="77777777" w:rsidR="005457F8" w:rsidRDefault="005457F8" w:rsidP="005457F8">
      <w:pPr>
        <w:pStyle w:val="NoSpacing"/>
        <w:rPr>
          <w:b/>
          <w:bCs/>
          <w:sz w:val="21"/>
          <w:szCs w:val="21"/>
        </w:rPr>
      </w:pPr>
    </w:p>
    <w:p w14:paraId="5F651E5D" w14:textId="0DE01F52" w:rsidR="002D62E0" w:rsidRDefault="00AF4F1E" w:rsidP="005457F8">
      <w:pPr>
        <w:pStyle w:val="NoSpacing"/>
        <w:rPr>
          <w:sz w:val="21"/>
          <w:szCs w:val="21"/>
        </w:rPr>
      </w:pPr>
      <w:r w:rsidRPr="005457F8">
        <w:rPr>
          <w:b/>
          <w:bCs/>
          <w:sz w:val="21"/>
          <w:szCs w:val="21"/>
        </w:rPr>
        <w:t>Methodology</w:t>
      </w:r>
      <w:r w:rsidRPr="005457F8">
        <w:rPr>
          <w:sz w:val="21"/>
          <w:szCs w:val="21"/>
        </w:rPr>
        <w:t xml:space="preserve">: </w:t>
      </w:r>
      <w:r w:rsidR="005C0DED">
        <w:rPr>
          <w:sz w:val="21"/>
          <w:szCs w:val="21"/>
        </w:rPr>
        <w:t>Depending on available resources, the v</w:t>
      </w:r>
      <w:r w:rsidRPr="005457F8">
        <w:rPr>
          <w:sz w:val="21"/>
          <w:szCs w:val="21"/>
        </w:rPr>
        <w:t xml:space="preserve">alidator should generate </w:t>
      </w:r>
      <w:r w:rsidR="009F042A">
        <w:rPr>
          <w:sz w:val="21"/>
          <w:szCs w:val="21"/>
        </w:rPr>
        <w:t xml:space="preserve">a </w:t>
      </w:r>
      <w:r w:rsidRPr="005457F8">
        <w:rPr>
          <w:sz w:val="21"/>
          <w:szCs w:val="21"/>
        </w:rPr>
        <w:t>1</w:t>
      </w:r>
      <w:r w:rsidR="005C0DED">
        <w:rPr>
          <w:sz w:val="21"/>
          <w:szCs w:val="21"/>
        </w:rPr>
        <w:t xml:space="preserve"> </w:t>
      </w:r>
      <w:r w:rsidRPr="005457F8">
        <w:rPr>
          <w:sz w:val="21"/>
          <w:szCs w:val="21"/>
        </w:rPr>
        <w:t>month</w:t>
      </w:r>
      <w:r w:rsidR="005C0DED">
        <w:rPr>
          <w:sz w:val="21"/>
          <w:szCs w:val="21"/>
        </w:rPr>
        <w:t xml:space="preserve"> or 7 day</w:t>
      </w:r>
      <w:r w:rsidRPr="005457F8">
        <w:rPr>
          <w:sz w:val="21"/>
          <w:szCs w:val="21"/>
        </w:rPr>
        <w:t xml:space="preserve"> output (line list of agents administered for each day of the validation period) from the system being used to submit AU Option data to NHSN as manual review reference (hereafter referred to as a line list) for the validation process. Line list of agents administered should be per day, per patient, per patient care location. It should include fields such as patient identifier, antimicrobial agent, route of administration, date of administration, and location of patient for all inpatient locations, emergency departments</w:t>
      </w:r>
      <w:r w:rsidR="00DA038D">
        <w:rPr>
          <w:sz w:val="21"/>
          <w:szCs w:val="21"/>
        </w:rPr>
        <w:t xml:space="preserve"> (EDs)</w:t>
      </w:r>
      <w:r w:rsidRPr="005457F8">
        <w:rPr>
          <w:sz w:val="21"/>
          <w:szCs w:val="21"/>
        </w:rPr>
        <w:t>, and 24-hour observation locations as applicable.</w:t>
      </w:r>
    </w:p>
    <w:p w14:paraId="50DECBF2" w14:textId="77777777" w:rsidR="005457F8" w:rsidRPr="005457F8" w:rsidRDefault="005457F8" w:rsidP="005457F8">
      <w:pPr>
        <w:pStyle w:val="NoSpacing"/>
        <w:rPr>
          <w:sz w:val="21"/>
          <w:szCs w:val="21"/>
        </w:rPr>
      </w:pPr>
    </w:p>
    <w:p w14:paraId="0663BB4C" w14:textId="0CE14AD6" w:rsidR="00AF4F1E" w:rsidRDefault="00AA6010" w:rsidP="00AF4F1E">
      <w:pPr>
        <w:pStyle w:val="Heading3"/>
        <w:numPr>
          <w:ilvl w:val="0"/>
          <w:numId w:val="1"/>
        </w:numPr>
      </w:pPr>
      <w:bookmarkStart w:id="1" w:name="_Review_line_list"/>
      <w:bookmarkEnd w:id="1"/>
      <w:r>
        <w:t>Review</w:t>
      </w:r>
      <w:r w:rsidR="00AF4F1E" w:rsidRPr="00AF4F1E">
        <w:t xml:space="preserve"> line list for antimicrobial agents and route</w:t>
      </w:r>
      <w:r w:rsidR="00F561DF">
        <w:t>s</w:t>
      </w:r>
      <w:r w:rsidR="00AF4F1E" w:rsidRPr="00AF4F1E">
        <w:t xml:space="preserve"> of administration</w:t>
      </w:r>
    </w:p>
    <w:p w14:paraId="2FDA9A8A" w14:textId="0D2AF02C" w:rsidR="00B838A9" w:rsidRPr="00B838A9" w:rsidRDefault="00B838A9" w:rsidP="00B838A9">
      <w:pPr>
        <w:pStyle w:val="Heading4"/>
        <w:ind w:left="720"/>
      </w:pPr>
      <w:r>
        <w:t>Reviewing the antimicrobials</w:t>
      </w:r>
    </w:p>
    <w:p w14:paraId="3D28CA19" w14:textId="4C757EA4" w:rsidR="00AF4F1E" w:rsidRDefault="00DA038D" w:rsidP="001539ED">
      <w:pPr>
        <w:pStyle w:val="ListParagraph"/>
        <w:numPr>
          <w:ilvl w:val="0"/>
          <w:numId w:val="2"/>
        </w:numPr>
      </w:pPr>
      <w:r w:rsidRPr="00E7261C">
        <w:rPr>
          <w:b/>
          <w:bCs/>
        </w:rPr>
        <w:t>Verify:</w:t>
      </w:r>
      <w:r>
        <w:t xml:space="preserve"> </w:t>
      </w:r>
      <w:r w:rsidR="00B757B9">
        <w:t xml:space="preserve">Use Appendix B of the </w:t>
      </w:r>
      <w:hyperlink r:id="rId19" w:history="1">
        <w:r w:rsidR="00B757B9" w:rsidRPr="00B757B9">
          <w:rPr>
            <w:rStyle w:val="Hyperlink"/>
          </w:rPr>
          <w:t>AUR Module Protocol</w:t>
        </w:r>
      </w:hyperlink>
      <w:r w:rsidR="00B757B9">
        <w:t xml:space="preserve"> </w:t>
      </w:r>
      <w:r w:rsidR="004922BB">
        <w:t>to check the</w:t>
      </w:r>
      <w:r w:rsidR="00AF4F1E" w:rsidRPr="00AF4F1E">
        <w:t xml:space="preserve"> agents that appeared in your line list</w:t>
      </w:r>
      <w:r w:rsidR="004922BB">
        <w:t xml:space="preserve">. If you’d like the list of agents from the previous calendar year, please reach out to </w:t>
      </w:r>
      <w:hyperlink r:id="rId20" w:history="1">
        <w:r w:rsidR="004922BB" w:rsidRPr="00BB653C">
          <w:rPr>
            <w:rStyle w:val="Hyperlink"/>
          </w:rPr>
          <w:t>NHSN@cdc.gov</w:t>
        </w:r>
      </w:hyperlink>
      <w:r w:rsidR="004922BB">
        <w:t xml:space="preserve">.  </w:t>
      </w:r>
    </w:p>
    <w:p w14:paraId="2BFAC248" w14:textId="07C1C14C" w:rsidR="004A6F5A" w:rsidRDefault="004A6F5A" w:rsidP="004A6F5A"/>
    <w:p w14:paraId="4771150F" w14:textId="52882F98" w:rsidR="004A6F5A" w:rsidRDefault="004A6F5A" w:rsidP="004A6F5A">
      <w:pPr>
        <w:pStyle w:val="ListParagraph"/>
        <w:numPr>
          <w:ilvl w:val="0"/>
          <w:numId w:val="2"/>
        </w:numPr>
      </w:pPr>
      <w:r w:rsidRPr="00E7261C">
        <w:rPr>
          <w:b/>
          <w:bCs/>
        </w:rPr>
        <w:t>Question:</w:t>
      </w:r>
      <w:r w:rsidRPr="004A6F5A">
        <w:t xml:space="preserve"> Of those agents that did </w:t>
      </w:r>
      <w:r w:rsidRPr="001539ED">
        <w:rPr>
          <w:u w:val="single"/>
        </w:rPr>
        <w:t>not</w:t>
      </w:r>
      <w:r w:rsidRPr="004A6F5A">
        <w:t xml:space="preserve"> appear in the line list, are these rarely used agents at the facility and therefore, it is reasonable that they do not appear within this given </w:t>
      </w:r>
      <w:r w:rsidR="00AC7D5A" w:rsidRPr="004A6F5A">
        <w:t>period</w:t>
      </w:r>
      <w:r w:rsidRPr="004A6F5A">
        <w:t xml:space="preserve">? (Y/N) </w:t>
      </w:r>
    </w:p>
    <w:p w14:paraId="76B48A1E" w14:textId="77777777" w:rsidR="00DA038D" w:rsidRPr="004A6F5A" w:rsidRDefault="00DA038D" w:rsidP="00E7261C"/>
    <w:p w14:paraId="4C69092F" w14:textId="33D9C6AD" w:rsidR="004A6F5A" w:rsidRDefault="004A6F5A" w:rsidP="004A6F5A">
      <w:pPr>
        <w:pStyle w:val="ListParagraph"/>
        <w:numPr>
          <w:ilvl w:val="0"/>
          <w:numId w:val="2"/>
        </w:numPr>
      </w:pPr>
      <w:r w:rsidRPr="00E7261C">
        <w:rPr>
          <w:b/>
          <w:bCs/>
        </w:rPr>
        <w:t>Question:</w:t>
      </w:r>
      <w:r>
        <w:t xml:space="preserve"> How many non-formulary agents did you find on the data feed line list?</w:t>
      </w:r>
    </w:p>
    <w:p w14:paraId="6D421E58" w14:textId="72351A90" w:rsidR="00DA038D" w:rsidRDefault="00DA038D" w:rsidP="00E7261C">
      <w:pPr>
        <w:pStyle w:val="ListParagraph"/>
      </w:pPr>
    </w:p>
    <w:p w14:paraId="7A48FCEC" w14:textId="77777777" w:rsidR="00AC48F4" w:rsidRDefault="00AC48F4" w:rsidP="00E7261C">
      <w:pPr>
        <w:pStyle w:val="ListParagraph"/>
      </w:pPr>
    </w:p>
    <w:p w14:paraId="2F212D31" w14:textId="4D96C823" w:rsidR="004A6F5A" w:rsidRDefault="004A6F5A" w:rsidP="004A6F5A">
      <w:pPr>
        <w:pStyle w:val="ListParagraph"/>
        <w:numPr>
          <w:ilvl w:val="0"/>
          <w:numId w:val="2"/>
        </w:numPr>
      </w:pPr>
      <w:r w:rsidRPr="00E7261C">
        <w:rPr>
          <w:b/>
          <w:bCs/>
        </w:rPr>
        <w:t>Question:</w:t>
      </w:r>
      <w:r>
        <w:t xml:space="preserve"> If you found no non-formulary agents in the line list, are you certain</w:t>
      </w:r>
      <w:r w:rsidR="00AC7D5A">
        <w:t xml:space="preserve"> the vendor system is capturing</w:t>
      </w:r>
      <w:r>
        <w:t xml:space="preserve"> non-formulary agents? How did you verify this? </w:t>
      </w:r>
    </w:p>
    <w:p w14:paraId="23A73CC8" w14:textId="77777777" w:rsidR="00DA038D" w:rsidRPr="00AF4F1E" w:rsidRDefault="00DA038D" w:rsidP="00E7261C"/>
    <w:p w14:paraId="5F651E5E" w14:textId="405926A5" w:rsidR="00DC57CC" w:rsidRDefault="00B838A9" w:rsidP="00B838A9">
      <w:pPr>
        <w:pStyle w:val="Heading4"/>
        <w:ind w:firstLine="720"/>
      </w:pPr>
      <w:r>
        <w:t xml:space="preserve">Reviewing the </w:t>
      </w:r>
      <w:r w:rsidR="00F561DF">
        <w:t>r</w:t>
      </w:r>
      <w:r>
        <w:t xml:space="preserve">outes of </w:t>
      </w:r>
      <w:r w:rsidR="00F561DF">
        <w:t>a</w:t>
      </w:r>
      <w:r>
        <w:t>dministration</w:t>
      </w:r>
    </w:p>
    <w:p w14:paraId="48DAA87E" w14:textId="6C5B93C3" w:rsidR="00B838A9" w:rsidRPr="00C04DA6" w:rsidRDefault="00B838A9" w:rsidP="00F561DF">
      <w:pPr>
        <w:pStyle w:val="NoSpacing"/>
        <w:ind w:firstLine="720"/>
        <w:rPr>
          <w:i/>
          <w:iCs/>
          <w:sz w:val="21"/>
          <w:szCs w:val="21"/>
        </w:rPr>
      </w:pPr>
      <w:r w:rsidRPr="00C04DA6">
        <w:rPr>
          <w:i/>
          <w:iCs/>
          <w:sz w:val="21"/>
          <w:szCs w:val="21"/>
        </w:rPr>
        <w:t>For questions answered as “no”, we recommend listing an explanation for your internal reference.</w:t>
      </w:r>
    </w:p>
    <w:p w14:paraId="5480BEB0" w14:textId="5AC2D114" w:rsidR="00B838A9" w:rsidRPr="00C04DA6" w:rsidRDefault="00B838A9" w:rsidP="00F561DF">
      <w:pPr>
        <w:pStyle w:val="NoSpacing"/>
        <w:numPr>
          <w:ilvl w:val="0"/>
          <w:numId w:val="2"/>
        </w:numPr>
        <w:rPr>
          <w:sz w:val="21"/>
          <w:szCs w:val="21"/>
        </w:rPr>
      </w:pPr>
      <w:r w:rsidRPr="00C04DA6">
        <w:rPr>
          <w:b/>
          <w:bCs/>
          <w:sz w:val="21"/>
          <w:szCs w:val="21"/>
        </w:rPr>
        <w:t>Question:</w:t>
      </w:r>
      <w:r w:rsidRPr="00C04DA6">
        <w:rPr>
          <w:sz w:val="21"/>
          <w:szCs w:val="21"/>
        </w:rPr>
        <w:t xml:space="preserve"> Did the line list include intramuscular (IM) administered ceftriaxone or any other agents administered via the IM route? (Y/N)</w:t>
      </w:r>
    </w:p>
    <w:p w14:paraId="6A2049F7" w14:textId="52A5A33F" w:rsidR="00B838A9" w:rsidRPr="00C04DA6" w:rsidRDefault="00B838A9" w:rsidP="00F561DF">
      <w:pPr>
        <w:pStyle w:val="NoSpacing"/>
        <w:ind w:firstLine="720"/>
        <w:rPr>
          <w:sz w:val="21"/>
          <w:szCs w:val="21"/>
        </w:rPr>
      </w:pPr>
      <w:r w:rsidRPr="00C04DA6">
        <w:rPr>
          <w:b/>
          <w:bCs/>
          <w:sz w:val="21"/>
          <w:szCs w:val="21"/>
        </w:rPr>
        <w:t>Note:</w:t>
      </w:r>
      <w:r w:rsidRPr="00C04DA6">
        <w:rPr>
          <w:sz w:val="21"/>
          <w:szCs w:val="21"/>
        </w:rPr>
        <w:t xml:space="preserve"> Prescribers most commonly use this route in the </w:t>
      </w:r>
      <w:r w:rsidR="00DA038D" w:rsidRPr="00C04DA6">
        <w:rPr>
          <w:sz w:val="21"/>
          <w:szCs w:val="21"/>
        </w:rPr>
        <w:t>ED</w:t>
      </w:r>
      <w:r w:rsidRPr="00C04DA6">
        <w:rPr>
          <w:sz w:val="21"/>
          <w:szCs w:val="21"/>
        </w:rPr>
        <w:t>.</w:t>
      </w:r>
    </w:p>
    <w:p w14:paraId="74FB720D" w14:textId="6D5343F9" w:rsidR="0065281C" w:rsidRPr="00C04DA6" w:rsidRDefault="0065281C" w:rsidP="00F561DF">
      <w:pPr>
        <w:pStyle w:val="NoSpacing"/>
        <w:ind w:firstLine="720"/>
        <w:rPr>
          <w:sz w:val="21"/>
          <w:szCs w:val="21"/>
        </w:rPr>
      </w:pPr>
    </w:p>
    <w:p w14:paraId="2E638CFC" w14:textId="77777777" w:rsidR="0065281C" w:rsidRPr="00C04DA6" w:rsidRDefault="0065281C" w:rsidP="00F561DF">
      <w:pPr>
        <w:pStyle w:val="NoSpacing"/>
        <w:ind w:firstLine="720"/>
        <w:rPr>
          <w:sz w:val="21"/>
          <w:szCs w:val="21"/>
        </w:rPr>
      </w:pPr>
    </w:p>
    <w:p w14:paraId="40318E23" w14:textId="332B2C31" w:rsidR="00B838A9" w:rsidRPr="00C04DA6" w:rsidRDefault="00B838A9" w:rsidP="00F561DF">
      <w:pPr>
        <w:pStyle w:val="NoSpacing"/>
        <w:numPr>
          <w:ilvl w:val="0"/>
          <w:numId w:val="2"/>
        </w:numPr>
        <w:rPr>
          <w:sz w:val="21"/>
          <w:szCs w:val="21"/>
        </w:rPr>
      </w:pPr>
      <w:r w:rsidRPr="00C04DA6">
        <w:rPr>
          <w:b/>
          <w:bCs/>
          <w:sz w:val="21"/>
          <w:szCs w:val="21"/>
        </w:rPr>
        <w:t>Question:</w:t>
      </w:r>
      <w:r w:rsidRPr="00C04DA6">
        <w:rPr>
          <w:sz w:val="21"/>
          <w:szCs w:val="21"/>
        </w:rPr>
        <w:t xml:space="preserve"> Did the line list include amikacin, gentamicin, tobramycin, aztreonam, or zanamivir administered through the respiratory tract? (Y/N)</w:t>
      </w:r>
    </w:p>
    <w:p w14:paraId="4826BB37" w14:textId="1A4B2D58" w:rsidR="00B838A9" w:rsidRPr="00C04DA6" w:rsidRDefault="00B838A9" w:rsidP="00F561DF">
      <w:pPr>
        <w:pStyle w:val="NoSpacing"/>
        <w:ind w:firstLine="720"/>
        <w:rPr>
          <w:sz w:val="21"/>
          <w:szCs w:val="21"/>
        </w:rPr>
      </w:pPr>
      <w:r w:rsidRPr="00C04DA6">
        <w:rPr>
          <w:b/>
          <w:bCs/>
          <w:sz w:val="21"/>
          <w:szCs w:val="21"/>
        </w:rPr>
        <w:t>Note:</w:t>
      </w:r>
      <w:r w:rsidRPr="00C04DA6">
        <w:rPr>
          <w:sz w:val="21"/>
          <w:szCs w:val="21"/>
        </w:rPr>
        <w:t xml:space="preserve"> Zanamivir is anti-influenza agent and thus prescribers may only use during influenza season.</w:t>
      </w:r>
    </w:p>
    <w:p w14:paraId="10E91968" w14:textId="3C247E2F" w:rsidR="00B838A9" w:rsidRPr="00C04DA6" w:rsidRDefault="00B838A9" w:rsidP="00B838A9">
      <w:pPr>
        <w:rPr>
          <w:szCs w:val="21"/>
          <w:u w:val="single"/>
        </w:rPr>
      </w:pPr>
    </w:p>
    <w:p w14:paraId="5F09945C" w14:textId="77777777" w:rsidR="0065281C" w:rsidRDefault="0065281C" w:rsidP="00B838A9">
      <w:pPr>
        <w:rPr>
          <w:u w:val="single"/>
        </w:rPr>
      </w:pPr>
    </w:p>
    <w:p w14:paraId="12E78AF4" w14:textId="77777777" w:rsidR="00AC48F4" w:rsidRDefault="00AC48F4" w:rsidP="00F561DF">
      <w:pPr>
        <w:pStyle w:val="Heading3"/>
        <w:numPr>
          <w:ilvl w:val="0"/>
          <w:numId w:val="1"/>
        </w:numPr>
        <w:sectPr w:rsidR="00AC48F4" w:rsidSect="003D38E6">
          <w:headerReference w:type="first" r:id="rId21"/>
          <w:footerReference w:type="first" r:id="rId22"/>
          <w:pgSz w:w="12240" w:h="15840" w:code="1"/>
          <w:pgMar w:top="540" w:right="720" w:bottom="720" w:left="720" w:header="720" w:footer="288" w:gutter="0"/>
          <w:cols w:space="720"/>
          <w:titlePg/>
          <w:docGrid w:linePitch="360"/>
        </w:sectPr>
      </w:pPr>
    </w:p>
    <w:p w14:paraId="03CFCF15" w14:textId="4C1313B3" w:rsidR="00F561DF" w:rsidRDefault="00F561DF" w:rsidP="00F561DF">
      <w:pPr>
        <w:pStyle w:val="Heading3"/>
        <w:numPr>
          <w:ilvl w:val="0"/>
          <w:numId w:val="1"/>
        </w:numPr>
      </w:pPr>
      <w:bookmarkStart w:id="2" w:name="_Spot_check_for"/>
      <w:bookmarkEnd w:id="2"/>
      <w:r>
        <w:lastRenderedPageBreak/>
        <w:t>Spot check for unusual routes of administration</w:t>
      </w:r>
    </w:p>
    <w:p w14:paraId="17EBC4F2" w14:textId="77777777" w:rsidR="00F561DF" w:rsidRPr="00C04DA6" w:rsidRDefault="00F561DF" w:rsidP="00F561DF">
      <w:pPr>
        <w:pStyle w:val="NoSpacing"/>
        <w:ind w:firstLine="720"/>
        <w:rPr>
          <w:sz w:val="21"/>
          <w:szCs w:val="21"/>
        </w:rPr>
      </w:pPr>
      <w:r w:rsidRPr="00C04DA6">
        <w:rPr>
          <w:b/>
          <w:bCs/>
          <w:sz w:val="21"/>
          <w:szCs w:val="21"/>
        </w:rPr>
        <w:t>Methodology:</w:t>
      </w:r>
      <w:r w:rsidRPr="00C04DA6">
        <w:rPr>
          <w:sz w:val="21"/>
          <w:szCs w:val="21"/>
        </w:rPr>
        <w:t xml:space="preserve"> Use the line list to confirm that at least one instance of each of the following occurs.</w:t>
      </w:r>
    </w:p>
    <w:p w14:paraId="4AEF27B8" w14:textId="2C88D277" w:rsidR="00F561DF" w:rsidRPr="00C04DA6" w:rsidRDefault="00F561DF" w:rsidP="00F561DF">
      <w:pPr>
        <w:pStyle w:val="NoSpacing"/>
        <w:ind w:left="720"/>
        <w:rPr>
          <w:sz w:val="21"/>
          <w:szCs w:val="21"/>
        </w:rPr>
      </w:pPr>
      <w:r w:rsidRPr="00C04DA6">
        <w:rPr>
          <w:i/>
          <w:iCs/>
          <w:sz w:val="21"/>
          <w:szCs w:val="21"/>
        </w:rPr>
        <w:t>For items answered as “no”, we recommend listing an explanation for your internal reference.</w:t>
      </w:r>
      <w:r w:rsidRPr="00C04DA6">
        <w:rPr>
          <w:sz w:val="21"/>
          <w:szCs w:val="21"/>
        </w:rPr>
        <w:t xml:space="preserve"> Consider reviewing a longer period to potentially capture the administration of rarer drugs/route</w:t>
      </w:r>
      <w:r w:rsidR="0067471A">
        <w:rPr>
          <w:sz w:val="21"/>
          <w:szCs w:val="21"/>
        </w:rPr>
        <w:t>s</w:t>
      </w:r>
      <w:r w:rsidRPr="00C04DA6">
        <w:rPr>
          <w:sz w:val="21"/>
          <w:szCs w:val="21"/>
        </w:rPr>
        <w:t xml:space="preserve">. </w:t>
      </w:r>
    </w:p>
    <w:p w14:paraId="43A8AC18" w14:textId="77777777" w:rsidR="00F61D38" w:rsidRPr="00C04DA6" w:rsidRDefault="00F61D38" w:rsidP="00F561DF">
      <w:pPr>
        <w:pStyle w:val="NoSpacing"/>
        <w:ind w:left="720"/>
        <w:rPr>
          <w:sz w:val="21"/>
          <w:szCs w:val="21"/>
        </w:rPr>
      </w:pPr>
    </w:p>
    <w:p w14:paraId="788FDA9D" w14:textId="0D8D6B9C" w:rsidR="00F561DF" w:rsidRPr="00C04DA6" w:rsidRDefault="00F561DF" w:rsidP="00F561DF">
      <w:pPr>
        <w:pStyle w:val="NoSpacing"/>
        <w:numPr>
          <w:ilvl w:val="0"/>
          <w:numId w:val="3"/>
        </w:numPr>
        <w:rPr>
          <w:sz w:val="21"/>
          <w:szCs w:val="21"/>
        </w:rPr>
      </w:pPr>
      <w:r w:rsidRPr="00C04DA6">
        <w:rPr>
          <w:b/>
          <w:bCs/>
          <w:sz w:val="21"/>
          <w:szCs w:val="21"/>
        </w:rPr>
        <w:t>Verify:</w:t>
      </w:r>
      <w:r w:rsidRPr="00C04DA6">
        <w:rPr>
          <w:sz w:val="21"/>
          <w:szCs w:val="21"/>
        </w:rPr>
        <w:t xml:space="preserve"> System is accurately capturing continuous or extended infusions (for example, piperacillin-tazobactam) if used at your facility. (Y/N/NA)</w:t>
      </w:r>
    </w:p>
    <w:p w14:paraId="0565FF84" w14:textId="35081524" w:rsidR="0065281C" w:rsidRPr="00C04DA6" w:rsidRDefault="0065281C" w:rsidP="0065281C">
      <w:pPr>
        <w:pStyle w:val="NoSpacing"/>
        <w:rPr>
          <w:sz w:val="21"/>
          <w:szCs w:val="21"/>
        </w:rPr>
      </w:pPr>
    </w:p>
    <w:p w14:paraId="121FC3AC" w14:textId="77777777" w:rsidR="0065281C" w:rsidRPr="00C04DA6" w:rsidRDefault="0065281C" w:rsidP="00E7261C">
      <w:pPr>
        <w:pStyle w:val="NoSpacing"/>
        <w:rPr>
          <w:sz w:val="21"/>
          <w:szCs w:val="21"/>
        </w:rPr>
      </w:pPr>
    </w:p>
    <w:p w14:paraId="41C2BE55" w14:textId="67A25CCC" w:rsidR="00F561DF" w:rsidRPr="00C04DA6" w:rsidRDefault="00F561DF" w:rsidP="00F561DF">
      <w:pPr>
        <w:pStyle w:val="NoSpacing"/>
        <w:numPr>
          <w:ilvl w:val="0"/>
          <w:numId w:val="3"/>
        </w:numPr>
        <w:rPr>
          <w:sz w:val="21"/>
          <w:szCs w:val="21"/>
        </w:rPr>
      </w:pPr>
      <w:r w:rsidRPr="00C04DA6">
        <w:rPr>
          <w:b/>
          <w:bCs/>
          <w:sz w:val="21"/>
          <w:szCs w:val="21"/>
        </w:rPr>
        <w:t>Verify:</w:t>
      </w:r>
      <w:r w:rsidRPr="00C04DA6">
        <w:rPr>
          <w:sz w:val="21"/>
          <w:szCs w:val="21"/>
        </w:rPr>
        <w:t xml:space="preserve"> Vancomycin digestive includes rectal administration in rare cases when used at your facility. (Y/N/NA)</w:t>
      </w:r>
    </w:p>
    <w:p w14:paraId="5ACEEA9B" w14:textId="4F0B16BF" w:rsidR="0065281C" w:rsidRPr="00C04DA6" w:rsidRDefault="0065281C" w:rsidP="0065281C">
      <w:pPr>
        <w:pStyle w:val="NoSpacing"/>
        <w:rPr>
          <w:sz w:val="21"/>
          <w:szCs w:val="21"/>
        </w:rPr>
      </w:pPr>
    </w:p>
    <w:p w14:paraId="77748070" w14:textId="77777777" w:rsidR="0065281C" w:rsidRPr="00C04DA6" w:rsidRDefault="0065281C" w:rsidP="00E7261C">
      <w:pPr>
        <w:pStyle w:val="NoSpacing"/>
        <w:rPr>
          <w:sz w:val="21"/>
          <w:szCs w:val="21"/>
        </w:rPr>
      </w:pPr>
    </w:p>
    <w:p w14:paraId="02A184FC" w14:textId="270B6E3D" w:rsidR="00F561DF" w:rsidRPr="00C04DA6" w:rsidRDefault="00F561DF" w:rsidP="00F561DF">
      <w:pPr>
        <w:pStyle w:val="NoSpacing"/>
        <w:numPr>
          <w:ilvl w:val="0"/>
          <w:numId w:val="3"/>
        </w:numPr>
        <w:rPr>
          <w:sz w:val="21"/>
          <w:szCs w:val="21"/>
        </w:rPr>
      </w:pPr>
      <w:r w:rsidRPr="00C04DA6">
        <w:rPr>
          <w:b/>
          <w:bCs/>
          <w:sz w:val="21"/>
          <w:szCs w:val="21"/>
        </w:rPr>
        <w:t>Verify:</w:t>
      </w:r>
      <w:r w:rsidRPr="00C04DA6">
        <w:rPr>
          <w:sz w:val="21"/>
          <w:szCs w:val="21"/>
        </w:rPr>
        <w:t xml:space="preserve"> System captures the parenteral formulation of vancomycin administered orally for </w:t>
      </w:r>
      <w:r w:rsidRPr="001539ED">
        <w:rPr>
          <w:i/>
          <w:iCs/>
          <w:sz w:val="21"/>
          <w:szCs w:val="21"/>
        </w:rPr>
        <w:t>C. difficile</w:t>
      </w:r>
      <w:r w:rsidRPr="00C04DA6">
        <w:rPr>
          <w:sz w:val="21"/>
          <w:szCs w:val="21"/>
        </w:rPr>
        <w:t xml:space="preserve"> as digestive rather than IV route. (Y/N)</w:t>
      </w:r>
    </w:p>
    <w:p w14:paraId="2E66DC0A" w14:textId="3B14488B" w:rsidR="0065281C" w:rsidRPr="00C04DA6" w:rsidRDefault="0065281C" w:rsidP="0065281C">
      <w:pPr>
        <w:pStyle w:val="NoSpacing"/>
        <w:rPr>
          <w:sz w:val="21"/>
          <w:szCs w:val="21"/>
        </w:rPr>
      </w:pPr>
    </w:p>
    <w:p w14:paraId="142FDF54" w14:textId="77777777" w:rsidR="0065281C" w:rsidRPr="00C04DA6" w:rsidRDefault="0065281C" w:rsidP="00E7261C">
      <w:pPr>
        <w:pStyle w:val="NoSpacing"/>
        <w:rPr>
          <w:sz w:val="21"/>
          <w:szCs w:val="21"/>
        </w:rPr>
      </w:pPr>
    </w:p>
    <w:p w14:paraId="4DA75288" w14:textId="0B976366" w:rsidR="00F561DF" w:rsidRPr="00C04DA6" w:rsidRDefault="00F561DF" w:rsidP="00F561DF">
      <w:pPr>
        <w:pStyle w:val="NoSpacing"/>
        <w:numPr>
          <w:ilvl w:val="0"/>
          <w:numId w:val="3"/>
        </w:numPr>
        <w:rPr>
          <w:sz w:val="21"/>
          <w:szCs w:val="21"/>
        </w:rPr>
      </w:pPr>
      <w:r w:rsidRPr="00C04DA6">
        <w:rPr>
          <w:b/>
          <w:bCs/>
          <w:sz w:val="21"/>
          <w:szCs w:val="21"/>
        </w:rPr>
        <w:t>Verify:</w:t>
      </w:r>
      <w:r w:rsidRPr="00C04DA6">
        <w:rPr>
          <w:sz w:val="21"/>
          <w:szCs w:val="21"/>
        </w:rPr>
        <w:t xml:space="preserve"> System accurately captures naso-gastric (for example, ciprofloxacin, levofloxacin, moxifloxacin, or posaconazole) administrations. (Y/N)</w:t>
      </w:r>
    </w:p>
    <w:p w14:paraId="49CCF747" w14:textId="5737339C" w:rsidR="0065281C" w:rsidRDefault="0065281C" w:rsidP="0065281C">
      <w:pPr>
        <w:pStyle w:val="NoSpacing"/>
      </w:pPr>
    </w:p>
    <w:p w14:paraId="7BC3D92F" w14:textId="77777777" w:rsidR="0065281C" w:rsidRDefault="0065281C" w:rsidP="00E7261C">
      <w:pPr>
        <w:pStyle w:val="NoSpacing"/>
      </w:pPr>
    </w:p>
    <w:p w14:paraId="670CA21C" w14:textId="681EFAAE" w:rsidR="00F561DF" w:rsidRDefault="00F561DF" w:rsidP="00F561DF">
      <w:pPr>
        <w:pStyle w:val="NoSpacing"/>
      </w:pPr>
    </w:p>
    <w:p w14:paraId="42569B0A" w14:textId="7ABB165E" w:rsidR="00F561DF" w:rsidRPr="00F561DF" w:rsidRDefault="0026439E" w:rsidP="0026439E">
      <w:pPr>
        <w:pStyle w:val="Heading3"/>
        <w:numPr>
          <w:ilvl w:val="0"/>
          <w:numId w:val="1"/>
        </w:numPr>
      </w:pPr>
      <w:bookmarkStart w:id="3" w:name="_Compare_data_in"/>
      <w:bookmarkEnd w:id="3"/>
      <w:r w:rsidRPr="0026439E">
        <w:t xml:space="preserve">Compare </w:t>
      </w:r>
      <w:r w:rsidR="00AA6010">
        <w:t>data in eMAR/BCMA to data in vendor software</w:t>
      </w:r>
    </w:p>
    <w:p w14:paraId="65031F57" w14:textId="77777777" w:rsidR="0026439E" w:rsidRPr="00C04DA6" w:rsidRDefault="0026439E" w:rsidP="0026439E">
      <w:pPr>
        <w:pStyle w:val="NoSpacing"/>
        <w:ind w:firstLine="720"/>
        <w:rPr>
          <w:sz w:val="21"/>
          <w:szCs w:val="21"/>
        </w:rPr>
      </w:pPr>
      <w:r w:rsidRPr="00C04DA6">
        <w:rPr>
          <w:b/>
          <w:bCs/>
          <w:sz w:val="21"/>
          <w:szCs w:val="21"/>
        </w:rPr>
        <w:t>Note:</w:t>
      </w:r>
      <w:r w:rsidRPr="00C04DA6">
        <w:rPr>
          <w:sz w:val="21"/>
          <w:szCs w:val="21"/>
        </w:rPr>
        <w:t xml:space="preserve"> If you’ll be using your EHR system to submit AU Option data to NHSN, you can skip this section. </w:t>
      </w:r>
    </w:p>
    <w:p w14:paraId="0C5C54C2" w14:textId="77777777" w:rsidR="0026439E" w:rsidRPr="00C04DA6" w:rsidRDefault="0026439E" w:rsidP="0026439E">
      <w:pPr>
        <w:pStyle w:val="NoSpacing"/>
        <w:ind w:left="720"/>
        <w:rPr>
          <w:sz w:val="21"/>
          <w:szCs w:val="21"/>
        </w:rPr>
      </w:pPr>
      <w:r w:rsidRPr="00C04DA6">
        <w:rPr>
          <w:b/>
          <w:bCs/>
          <w:sz w:val="21"/>
          <w:szCs w:val="21"/>
        </w:rPr>
        <w:t>Methodology:</w:t>
      </w:r>
      <w:r w:rsidRPr="00C04DA6">
        <w:rPr>
          <w:sz w:val="21"/>
          <w:szCs w:val="21"/>
        </w:rPr>
        <w:t xml:space="preserve"> Pick Option A or Option B. Your vendor may have additional tools available for facilitation of this section. </w:t>
      </w:r>
      <w:r w:rsidRPr="00C04DA6">
        <w:rPr>
          <w:sz w:val="21"/>
          <w:szCs w:val="21"/>
          <w:u w:val="single"/>
        </w:rPr>
        <w:t>We recommend contacting your vendor prior to starting this section.</w:t>
      </w:r>
    </w:p>
    <w:p w14:paraId="170CE955" w14:textId="77777777" w:rsidR="0065281C" w:rsidRPr="00C04DA6" w:rsidRDefault="0065281C" w:rsidP="0026439E">
      <w:pPr>
        <w:pStyle w:val="NoSpacing"/>
        <w:ind w:left="720"/>
        <w:rPr>
          <w:b/>
          <w:bCs/>
          <w:sz w:val="21"/>
          <w:szCs w:val="21"/>
        </w:rPr>
      </w:pPr>
    </w:p>
    <w:p w14:paraId="4D2C4F0C" w14:textId="3BCC5AC5" w:rsidR="0026439E" w:rsidRPr="00C04DA6" w:rsidRDefault="0026439E" w:rsidP="0026439E">
      <w:pPr>
        <w:pStyle w:val="NoSpacing"/>
        <w:ind w:left="720"/>
        <w:rPr>
          <w:sz w:val="21"/>
          <w:szCs w:val="21"/>
        </w:rPr>
      </w:pPr>
      <w:r w:rsidRPr="00C04DA6">
        <w:rPr>
          <w:b/>
          <w:bCs/>
          <w:sz w:val="21"/>
          <w:szCs w:val="21"/>
        </w:rPr>
        <w:t>Option A:</w:t>
      </w:r>
      <w:r w:rsidRPr="00C04DA6">
        <w:rPr>
          <w:sz w:val="21"/>
          <w:szCs w:val="21"/>
        </w:rPr>
        <w:t xml:space="preserve"> For those that </w:t>
      </w:r>
      <w:r w:rsidRPr="00C04DA6">
        <w:rPr>
          <w:sz w:val="21"/>
          <w:szCs w:val="21"/>
          <w:u w:val="single"/>
        </w:rPr>
        <w:t>can</w:t>
      </w:r>
      <w:r w:rsidRPr="00C04DA6">
        <w:rPr>
          <w:sz w:val="21"/>
          <w:szCs w:val="21"/>
        </w:rPr>
        <w:t xml:space="preserve"> create a hospital based eMAR report: manually validate whether the </w:t>
      </w:r>
      <w:r w:rsidR="0067471A" w:rsidRPr="00C04DA6">
        <w:rPr>
          <w:sz w:val="21"/>
          <w:szCs w:val="21"/>
        </w:rPr>
        <w:t>administered</w:t>
      </w:r>
      <w:r w:rsidR="0067471A" w:rsidRPr="00C04DA6" w:rsidDel="0067471A">
        <w:rPr>
          <w:sz w:val="21"/>
          <w:szCs w:val="21"/>
        </w:rPr>
        <w:t xml:space="preserve"> </w:t>
      </w:r>
      <w:r w:rsidRPr="00C04DA6">
        <w:rPr>
          <w:sz w:val="21"/>
          <w:szCs w:val="21"/>
        </w:rPr>
        <w:t>antimicrobials and routes are identical for each location per calendar day during the specified validation time period.</w:t>
      </w:r>
    </w:p>
    <w:p w14:paraId="37E15E85" w14:textId="77777777" w:rsidR="0026439E" w:rsidRPr="00C04DA6" w:rsidRDefault="0026439E" w:rsidP="0026439E">
      <w:pPr>
        <w:pStyle w:val="NoSpacing"/>
        <w:rPr>
          <w:sz w:val="21"/>
          <w:szCs w:val="21"/>
        </w:rPr>
      </w:pPr>
    </w:p>
    <w:p w14:paraId="4F502847" w14:textId="3B34D7D1" w:rsidR="0026439E" w:rsidRPr="00C04DA6" w:rsidRDefault="0026439E" w:rsidP="0026439E">
      <w:pPr>
        <w:pStyle w:val="NoSpacing"/>
        <w:ind w:left="720"/>
        <w:rPr>
          <w:sz w:val="21"/>
          <w:szCs w:val="21"/>
        </w:rPr>
      </w:pPr>
      <w:r w:rsidRPr="00C04DA6">
        <w:rPr>
          <w:b/>
          <w:bCs/>
          <w:sz w:val="21"/>
          <w:szCs w:val="21"/>
        </w:rPr>
        <w:t>Option B:</w:t>
      </w:r>
      <w:r w:rsidRPr="00C04DA6">
        <w:rPr>
          <w:sz w:val="21"/>
          <w:szCs w:val="21"/>
        </w:rPr>
        <w:t xml:space="preserve"> For those that are </w:t>
      </w:r>
      <w:r w:rsidRPr="00C04DA6">
        <w:rPr>
          <w:sz w:val="21"/>
          <w:szCs w:val="21"/>
          <w:u w:val="single"/>
        </w:rPr>
        <w:t>unable</w:t>
      </w:r>
      <w:r w:rsidRPr="00C04DA6">
        <w:rPr>
          <w:sz w:val="21"/>
          <w:szCs w:val="21"/>
        </w:rPr>
        <w:t xml:space="preserve"> to create a hospital based eMAR report: manually confirm eMAR/BCMA through the EMR of individual patients. We recommend using ten patients per patient care location in three separate patient care locations. Please manually validate whether the </w:t>
      </w:r>
      <w:r w:rsidR="0067471A" w:rsidRPr="00C04DA6">
        <w:rPr>
          <w:sz w:val="21"/>
          <w:szCs w:val="21"/>
        </w:rPr>
        <w:t xml:space="preserve">administered </w:t>
      </w:r>
      <w:r w:rsidRPr="00C04DA6">
        <w:rPr>
          <w:sz w:val="21"/>
          <w:szCs w:val="21"/>
        </w:rPr>
        <w:t>antimicrobials and routes are identical for each location per calendar day during the specified validation time period.</w:t>
      </w:r>
    </w:p>
    <w:p w14:paraId="16900B34" w14:textId="77777777" w:rsidR="00F61D38" w:rsidRPr="00C04DA6" w:rsidRDefault="00F61D38" w:rsidP="0026439E">
      <w:pPr>
        <w:pStyle w:val="NoSpacing"/>
        <w:ind w:left="720"/>
        <w:rPr>
          <w:sz w:val="21"/>
          <w:szCs w:val="21"/>
        </w:rPr>
      </w:pPr>
    </w:p>
    <w:p w14:paraId="27F6724F" w14:textId="1E6B9323" w:rsidR="0026439E" w:rsidRPr="00C04DA6" w:rsidRDefault="0026439E" w:rsidP="0026439E">
      <w:pPr>
        <w:pStyle w:val="NoSpacing"/>
        <w:numPr>
          <w:ilvl w:val="0"/>
          <w:numId w:val="5"/>
        </w:numPr>
        <w:rPr>
          <w:sz w:val="21"/>
          <w:szCs w:val="21"/>
        </w:rPr>
      </w:pPr>
      <w:r w:rsidRPr="00C04DA6">
        <w:rPr>
          <w:b/>
          <w:bCs/>
          <w:sz w:val="21"/>
          <w:szCs w:val="21"/>
        </w:rPr>
        <w:t>Question:</w:t>
      </w:r>
      <w:r w:rsidRPr="00C04DA6">
        <w:rPr>
          <w:sz w:val="21"/>
          <w:szCs w:val="21"/>
        </w:rPr>
        <w:t xml:space="preserve"> Which locations did you check (minimum of three units, ideally with a lot of transfer to each other)?</w:t>
      </w:r>
    </w:p>
    <w:p w14:paraId="1FF858BE" w14:textId="15713F40" w:rsidR="00CB5167" w:rsidRPr="00C04DA6" w:rsidRDefault="00CB5167" w:rsidP="00CB5167">
      <w:pPr>
        <w:pStyle w:val="NoSpacing"/>
        <w:rPr>
          <w:sz w:val="21"/>
          <w:szCs w:val="21"/>
        </w:rPr>
      </w:pPr>
    </w:p>
    <w:p w14:paraId="34944601" w14:textId="77777777" w:rsidR="00CB5167" w:rsidRPr="00C04DA6" w:rsidRDefault="00CB5167" w:rsidP="00E7261C">
      <w:pPr>
        <w:pStyle w:val="NoSpacing"/>
        <w:rPr>
          <w:sz w:val="21"/>
          <w:szCs w:val="21"/>
        </w:rPr>
      </w:pPr>
    </w:p>
    <w:p w14:paraId="6E9A5685" w14:textId="374E6057" w:rsidR="0026439E" w:rsidRPr="00C04DA6" w:rsidRDefault="0026439E" w:rsidP="0026439E">
      <w:pPr>
        <w:pStyle w:val="NoSpacing"/>
        <w:numPr>
          <w:ilvl w:val="0"/>
          <w:numId w:val="5"/>
        </w:numPr>
        <w:rPr>
          <w:sz w:val="21"/>
          <w:szCs w:val="21"/>
        </w:rPr>
      </w:pPr>
      <w:r w:rsidRPr="00C04DA6">
        <w:rPr>
          <w:b/>
          <w:bCs/>
          <w:sz w:val="21"/>
          <w:szCs w:val="21"/>
        </w:rPr>
        <w:t>Question:</w:t>
      </w:r>
      <w:r w:rsidRPr="00C04DA6">
        <w:rPr>
          <w:sz w:val="21"/>
          <w:szCs w:val="21"/>
        </w:rPr>
        <w:t xml:space="preserve"> How many patients did you check per location?</w:t>
      </w:r>
    </w:p>
    <w:p w14:paraId="54D2CA7D" w14:textId="35AEF1EE" w:rsidR="00CB5167" w:rsidRPr="00C04DA6" w:rsidRDefault="00CB5167" w:rsidP="00CB5167">
      <w:pPr>
        <w:pStyle w:val="NoSpacing"/>
        <w:rPr>
          <w:sz w:val="21"/>
          <w:szCs w:val="21"/>
        </w:rPr>
      </w:pPr>
    </w:p>
    <w:p w14:paraId="13840D1B" w14:textId="77777777" w:rsidR="00CB5167" w:rsidRPr="00C04DA6" w:rsidRDefault="00CB5167" w:rsidP="00E7261C">
      <w:pPr>
        <w:pStyle w:val="NoSpacing"/>
        <w:rPr>
          <w:sz w:val="21"/>
          <w:szCs w:val="21"/>
        </w:rPr>
      </w:pPr>
    </w:p>
    <w:p w14:paraId="7A41F930" w14:textId="4BF78FE3" w:rsidR="0026439E" w:rsidRPr="00C04DA6" w:rsidRDefault="0026439E" w:rsidP="0026439E">
      <w:pPr>
        <w:pStyle w:val="NoSpacing"/>
        <w:numPr>
          <w:ilvl w:val="0"/>
          <w:numId w:val="5"/>
        </w:numPr>
        <w:rPr>
          <w:sz w:val="21"/>
          <w:szCs w:val="21"/>
        </w:rPr>
      </w:pPr>
      <w:r w:rsidRPr="00C04DA6">
        <w:rPr>
          <w:b/>
          <w:bCs/>
          <w:sz w:val="21"/>
          <w:szCs w:val="21"/>
        </w:rPr>
        <w:t>Question:</w:t>
      </w:r>
      <w:r w:rsidRPr="00C04DA6">
        <w:rPr>
          <w:sz w:val="21"/>
          <w:szCs w:val="21"/>
        </w:rPr>
        <w:t xml:space="preserve"> Please describe any inconsistencies you identified and how you addressed the issues.</w:t>
      </w:r>
    </w:p>
    <w:p w14:paraId="7357D173" w14:textId="0B0B2EC1" w:rsidR="00CB5167" w:rsidRDefault="00CB5167" w:rsidP="00CB5167">
      <w:pPr>
        <w:pStyle w:val="NoSpacing"/>
      </w:pPr>
    </w:p>
    <w:p w14:paraId="470D4CE6" w14:textId="24DAC4A7" w:rsidR="00CB5167" w:rsidRDefault="00CB5167" w:rsidP="00CB5167">
      <w:pPr>
        <w:pStyle w:val="NoSpacing"/>
      </w:pPr>
    </w:p>
    <w:p w14:paraId="32B1D8C7" w14:textId="6BD61465" w:rsidR="008F5740" w:rsidRDefault="008F5740" w:rsidP="008F5740">
      <w:pPr>
        <w:pStyle w:val="NoSpacing"/>
      </w:pPr>
    </w:p>
    <w:p w14:paraId="0ED9592F" w14:textId="76560523" w:rsidR="008F5740" w:rsidRDefault="008F5740" w:rsidP="008F5740">
      <w:pPr>
        <w:pStyle w:val="Heading3"/>
        <w:numPr>
          <w:ilvl w:val="0"/>
          <w:numId w:val="1"/>
        </w:numPr>
      </w:pPr>
      <w:bookmarkStart w:id="4" w:name="_Review_patient-level_scenarios"/>
      <w:bookmarkEnd w:id="4"/>
      <w:r>
        <w:t>Review patient-level scenarios</w:t>
      </w:r>
    </w:p>
    <w:p w14:paraId="505E8D2E" w14:textId="7BB61596" w:rsidR="008F5740" w:rsidRPr="00C04DA6" w:rsidRDefault="008F5740" w:rsidP="009F1676">
      <w:pPr>
        <w:pStyle w:val="NoSpacing"/>
        <w:ind w:left="720"/>
        <w:rPr>
          <w:sz w:val="21"/>
          <w:szCs w:val="21"/>
        </w:rPr>
      </w:pPr>
      <w:r w:rsidRPr="00C04DA6">
        <w:rPr>
          <w:b/>
          <w:bCs/>
          <w:sz w:val="21"/>
          <w:szCs w:val="21"/>
        </w:rPr>
        <w:t>Note:</w:t>
      </w:r>
      <w:r w:rsidRPr="00C04DA6">
        <w:rPr>
          <w:sz w:val="21"/>
          <w:szCs w:val="21"/>
        </w:rPr>
        <w:t xml:space="preserve"> If you’ll be using your EHR system to submit AU Option data to NHSN, you will not have anything to compare </w:t>
      </w:r>
      <w:r w:rsidR="00533935" w:rsidRPr="00C04DA6">
        <w:rPr>
          <w:sz w:val="21"/>
          <w:szCs w:val="21"/>
        </w:rPr>
        <w:t>to,</w:t>
      </w:r>
      <w:r w:rsidRPr="00C04DA6">
        <w:rPr>
          <w:sz w:val="21"/>
          <w:szCs w:val="21"/>
        </w:rPr>
        <w:t xml:space="preserve"> but we recommend reviewing patients with the scenarios below to ensure the EHR is accurately capturing these data.</w:t>
      </w:r>
    </w:p>
    <w:p w14:paraId="7E38E6F7" w14:textId="5E0BDFD7" w:rsidR="008F5740" w:rsidRPr="00C04DA6" w:rsidRDefault="008F5740" w:rsidP="009F1676">
      <w:pPr>
        <w:pStyle w:val="NoSpacing"/>
        <w:ind w:left="720"/>
        <w:rPr>
          <w:sz w:val="21"/>
          <w:szCs w:val="21"/>
        </w:rPr>
      </w:pPr>
      <w:r w:rsidRPr="00C04DA6">
        <w:rPr>
          <w:b/>
          <w:bCs/>
          <w:sz w:val="21"/>
          <w:szCs w:val="21"/>
        </w:rPr>
        <w:t>Methodology:</w:t>
      </w:r>
      <w:r w:rsidRPr="00C04DA6">
        <w:rPr>
          <w:sz w:val="21"/>
          <w:szCs w:val="21"/>
        </w:rPr>
        <w:t xml:space="preserve"> Compare the line list to the hospital-based eMAR report or use manual eMAR/BCMA confirmation to review the following patient-level scenarios. We recommend reviewing five patients per scenario. Your vendor may have additional tools available for facilitation of this section. </w:t>
      </w:r>
      <w:r w:rsidRPr="00C04DA6">
        <w:rPr>
          <w:sz w:val="21"/>
          <w:szCs w:val="21"/>
          <w:u w:val="single"/>
        </w:rPr>
        <w:t>We recommend contacting your vendor prior to starting this section.</w:t>
      </w:r>
    </w:p>
    <w:p w14:paraId="08972043" w14:textId="77777777" w:rsidR="00CB5167" w:rsidRPr="00C04DA6" w:rsidRDefault="00CB5167" w:rsidP="009F1676">
      <w:pPr>
        <w:pStyle w:val="NoSpacing"/>
        <w:ind w:left="720"/>
        <w:rPr>
          <w:sz w:val="21"/>
          <w:szCs w:val="21"/>
        </w:rPr>
      </w:pPr>
    </w:p>
    <w:p w14:paraId="680184AB" w14:textId="1901EC1A" w:rsidR="008F5740" w:rsidRPr="00C04DA6" w:rsidRDefault="008F5740" w:rsidP="009F1676">
      <w:pPr>
        <w:pStyle w:val="NoSpacing"/>
        <w:numPr>
          <w:ilvl w:val="0"/>
          <w:numId w:val="6"/>
        </w:numPr>
        <w:rPr>
          <w:sz w:val="21"/>
          <w:szCs w:val="21"/>
        </w:rPr>
      </w:pPr>
      <w:r w:rsidRPr="00C04DA6">
        <w:rPr>
          <w:b/>
          <w:bCs/>
          <w:sz w:val="21"/>
          <w:szCs w:val="21"/>
        </w:rPr>
        <w:lastRenderedPageBreak/>
        <w:t>Verify:</w:t>
      </w:r>
      <w:r w:rsidRPr="00C04DA6">
        <w:rPr>
          <w:sz w:val="21"/>
          <w:szCs w:val="21"/>
        </w:rPr>
        <w:t xml:space="preserve"> Some facilities place patients in an inpatient location that have a patient status of “observation” instead of “inpatient”.</w:t>
      </w:r>
      <w:r w:rsidR="00763556">
        <w:rPr>
          <w:sz w:val="21"/>
          <w:szCs w:val="21"/>
        </w:rPr>
        <w:t xml:space="preserve"> Other facilities may have a designated outpatient 24-hour observation unit to house these patients during their time at the facility.</w:t>
      </w:r>
      <w:r w:rsidRPr="00C04DA6">
        <w:rPr>
          <w:sz w:val="21"/>
          <w:szCs w:val="21"/>
        </w:rPr>
        <w:t xml:space="preserve"> Review patients in an </w:t>
      </w:r>
      <w:r w:rsidRPr="001539ED">
        <w:rPr>
          <w:sz w:val="21"/>
          <w:szCs w:val="21"/>
          <w:u w:val="single"/>
        </w:rPr>
        <w:t>inpatient</w:t>
      </w:r>
      <w:r w:rsidRPr="00C04DA6">
        <w:rPr>
          <w:sz w:val="21"/>
          <w:szCs w:val="21"/>
        </w:rPr>
        <w:t xml:space="preserve"> location with “observation” status to confirm that the patients’ administrations were correctly attributed to the inpatient location in which they were housed at the time of the administration. (Y/N)</w:t>
      </w:r>
    </w:p>
    <w:p w14:paraId="3ECA17C4" w14:textId="38DEDAA1" w:rsidR="009F1676" w:rsidRPr="00C04DA6" w:rsidRDefault="008F5740" w:rsidP="009F1676">
      <w:pPr>
        <w:pStyle w:val="NoSpacing"/>
        <w:ind w:left="720"/>
        <w:rPr>
          <w:sz w:val="21"/>
          <w:szCs w:val="21"/>
        </w:rPr>
      </w:pPr>
      <w:r w:rsidRPr="00C04DA6">
        <w:rPr>
          <w:b/>
          <w:bCs/>
          <w:sz w:val="21"/>
          <w:szCs w:val="21"/>
        </w:rPr>
        <w:t>Note:</w:t>
      </w:r>
      <w:r w:rsidRPr="00C04DA6">
        <w:rPr>
          <w:sz w:val="21"/>
          <w:szCs w:val="21"/>
        </w:rPr>
        <w:t xml:space="preserve"> The vendor software should include these patients in the antimicrobial days (numerator) and days present (denominator) for the location in which they are physically located regardless of patient status (for example, inpatient, observation, emergency).</w:t>
      </w:r>
    </w:p>
    <w:p w14:paraId="58761805" w14:textId="4584673C" w:rsidR="00F61D38" w:rsidRPr="00C04DA6" w:rsidRDefault="00F61D38" w:rsidP="009F1676">
      <w:pPr>
        <w:pStyle w:val="NoSpacing"/>
        <w:ind w:left="720"/>
        <w:rPr>
          <w:sz w:val="21"/>
          <w:szCs w:val="21"/>
        </w:rPr>
      </w:pPr>
    </w:p>
    <w:p w14:paraId="03794676" w14:textId="5E90D24A" w:rsidR="00F61D38" w:rsidRPr="00C04DA6" w:rsidRDefault="00F61D38" w:rsidP="009F1676">
      <w:pPr>
        <w:pStyle w:val="NoSpacing"/>
        <w:ind w:left="720"/>
        <w:rPr>
          <w:sz w:val="21"/>
          <w:szCs w:val="21"/>
        </w:rPr>
      </w:pPr>
    </w:p>
    <w:p w14:paraId="74E04E46" w14:textId="5C27DB20" w:rsidR="00F61D38" w:rsidRPr="00C04DA6" w:rsidRDefault="00F61D38" w:rsidP="009F1676">
      <w:pPr>
        <w:pStyle w:val="NoSpacing"/>
        <w:ind w:left="720"/>
        <w:rPr>
          <w:sz w:val="21"/>
          <w:szCs w:val="21"/>
        </w:rPr>
      </w:pPr>
    </w:p>
    <w:p w14:paraId="45718CF3" w14:textId="1DF68B04" w:rsidR="008F5740" w:rsidRPr="00C04DA6" w:rsidRDefault="008F5740" w:rsidP="009F1676">
      <w:pPr>
        <w:pStyle w:val="NoSpacing"/>
        <w:numPr>
          <w:ilvl w:val="0"/>
          <w:numId w:val="6"/>
        </w:numPr>
        <w:rPr>
          <w:sz w:val="21"/>
          <w:szCs w:val="21"/>
        </w:rPr>
      </w:pPr>
      <w:r w:rsidRPr="00C04DA6">
        <w:rPr>
          <w:b/>
          <w:bCs/>
          <w:sz w:val="21"/>
          <w:szCs w:val="21"/>
        </w:rPr>
        <w:t>Verify:</w:t>
      </w:r>
      <w:r w:rsidRPr="00C04DA6">
        <w:rPr>
          <w:sz w:val="21"/>
          <w:szCs w:val="21"/>
        </w:rPr>
        <w:t xml:space="preserve"> Review patients admitted to an inpatient location through the ED</w:t>
      </w:r>
      <w:r w:rsidR="00763556">
        <w:rPr>
          <w:sz w:val="21"/>
          <w:szCs w:val="21"/>
        </w:rPr>
        <w:t xml:space="preserve"> and/or 24-hour observation location</w:t>
      </w:r>
      <w:r w:rsidRPr="00C04DA6">
        <w:rPr>
          <w:sz w:val="21"/>
          <w:szCs w:val="21"/>
        </w:rPr>
        <w:t xml:space="preserve"> to confirm the</w:t>
      </w:r>
      <w:r w:rsidR="00533935" w:rsidRPr="00C04DA6">
        <w:rPr>
          <w:sz w:val="21"/>
          <w:szCs w:val="21"/>
        </w:rPr>
        <w:t xml:space="preserve"> vendor system is attributing</w:t>
      </w:r>
      <w:r w:rsidRPr="00C04DA6">
        <w:rPr>
          <w:sz w:val="21"/>
          <w:szCs w:val="21"/>
        </w:rPr>
        <w:t xml:space="preserve"> antimicrobials administered in the ED</w:t>
      </w:r>
      <w:r w:rsidR="00763556">
        <w:rPr>
          <w:sz w:val="21"/>
          <w:szCs w:val="21"/>
        </w:rPr>
        <w:t xml:space="preserve"> and/or 24-hour observation location</w:t>
      </w:r>
      <w:r w:rsidRPr="00C04DA6">
        <w:rPr>
          <w:sz w:val="21"/>
          <w:szCs w:val="21"/>
        </w:rPr>
        <w:t xml:space="preserve"> to the ED</w:t>
      </w:r>
      <w:r w:rsidR="00763556">
        <w:rPr>
          <w:sz w:val="21"/>
          <w:szCs w:val="21"/>
        </w:rPr>
        <w:t xml:space="preserve"> and/or 24-hour observation location</w:t>
      </w:r>
      <w:r w:rsidRPr="00C04DA6">
        <w:rPr>
          <w:sz w:val="21"/>
          <w:szCs w:val="21"/>
        </w:rPr>
        <w:t xml:space="preserve"> while the antimicrobials administered in the inpatient location are attributed to the inpatient location. (Y/N)</w:t>
      </w:r>
    </w:p>
    <w:p w14:paraId="7EE6ABEE" w14:textId="725EC2B1" w:rsidR="00F61D38" w:rsidRPr="00C04DA6" w:rsidRDefault="00F61D38" w:rsidP="00F61D38">
      <w:pPr>
        <w:pStyle w:val="NoSpacing"/>
        <w:rPr>
          <w:sz w:val="21"/>
          <w:szCs w:val="21"/>
        </w:rPr>
      </w:pPr>
    </w:p>
    <w:p w14:paraId="385FFC9C" w14:textId="15372273" w:rsidR="00F61D38" w:rsidRDefault="00F61D38" w:rsidP="00F61D38">
      <w:pPr>
        <w:pStyle w:val="NoSpacing"/>
        <w:rPr>
          <w:sz w:val="21"/>
          <w:szCs w:val="21"/>
        </w:rPr>
      </w:pPr>
    </w:p>
    <w:p w14:paraId="06AA9BD4" w14:textId="77777777" w:rsidR="005D68E4" w:rsidRPr="00C04DA6" w:rsidRDefault="005D68E4" w:rsidP="00F61D38">
      <w:pPr>
        <w:pStyle w:val="NoSpacing"/>
        <w:rPr>
          <w:sz w:val="21"/>
          <w:szCs w:val="21"/>
        </w:rPr>
      </w:pPr>
    </w:p>
    <w:p w14:paraId="0D41D5FC" w14:textId="298B2578" w:rsidR="008F5740" w:rsidRPr="00C04DA6" w:rsidRDefault="008F5740" w:rsidP="009F1676">
      <w:pPr>
        <w:pStyle w:val="NoSpacing"/>
        <w:numPr>
          <w:ilvl w:val="0"/>
          <w:numId w:val="6"/>
        </w:numPr>
        <w:rPr>
          <w:sz w:val="21"/>
          <w:szCs w:val="21"/>
        </w:rPr>
      </w:pPr>
      <w:r w:rsidRPr="00C04DA6">
        <w:rPr>
          <w:b/>
          <w:bCs/>
          <w:sz w:val="21"/>
          <w:szCs w:val="21"/>
        </w:rPr>
        <w:t>Verify:</w:t>
      </w:r>
      <w:r w:rsidRPr="00C04DA6">
        <w:rPr>
          <w:sz w:val="21"/>
          <w:szCs w:val="21"/>
        </w:rPr>
        <w:t xml:space="preserve"> Review patients transferred to and from the Operating Room and/or Interventional Radiology to confirm antimicrobials administered to the patient in the various locations were correctly attributed to the location in which they received the antimicrobial (in other words, confirm an antimicrobial given in the Operating Room is correctly attributed to the Operating Room while an antimicrobial given in the location of the patient prior to the Operating Room is attributed to that location). (Y/N)</w:t>
      </w:r>
    </w:p>
    <w:p w14:paraId="5A29301A" w14:textId="79274888" w:rsidR="00F61D38" w:rsidRPr="00C04DA6" w:rsidRDefault="00F61D38" w:rsidP="00F61D38">
      <w:pPr>
        <w:pStyle w:val="NoSpacing"/>
        <w:rPr>
          <w:sz w:val="21"/>
          <w:szCs w:val="21"/>
        </w:rPr>
      </w:pPr>
    </w:p>
    <w:p w14:paraId="7316899B" w14:textId="42A9F76B" w:rsidR="00F61D38" w:rsidRPr="00C04DA6" w:rsidRDefault="00F61D38" w:rsidP="00F61D38">
      <w:pPr>
        <w:pStyle w:val="NoSpacing"/>
        <w:rPr>
          <w:sz w:val="21"/>
          <w:szCs w:val="21"/>
        </w:rPr>
      </w:pPr>
    </w:p>
    <w:p w14:paraId="0D85A44F" w14:textId="77777777" w:rsidR="00F61D38" w:rsidRPr="00C04DA6" w:rsidRDefault="00F61D38" w:rsidP="00E7261C">
      <w:pPr>
        <w:pStyle w:val="NoSpacing"/>
        <w:rPr>
          <w:sz w:val="21"/>
          <w:szCs w:val="21"/>
        </w:rPr>
      </w:pPr>
    </w:p>
    <w:p w14:paraId="37906214" w14:textId="77777777" w:rsidR="009F1676" w:rsidRPr="00C04DA6" w:rsidRDefault="009F1676" w:rsidP="009F1676">
      <w:pPr>
        <w:pStyle w:val="NoSpacing"/>
        <w:numPr>
          <w:ilvl w:val="0"/>
          <w:numId w:val="6"/>
        </w:numPr>
        <w:rPr>
          <w:sz w:val="21"/>
          <w:szCs w:val="21"/>
        </w:rPr>
      </w:pPr>
      <w:r w:rsidRPr="00C04DA6">
        <w:rPr>
          <w:b/>
          <w:bCs/>
          <w:sz w:val="21"/>
          <w:szCs w:val="21"/>
        </w:rPr>
        <w:t>Verify:</w:t>
      </w:r>
      <w:r w:rsidRPr="00C04DA6">
        <w:rPr>
          <w:sz w:val="21"/>
          <w:szCs w:val="21"/>
        </w:rPr>
        <w:t xml:space="preserve"> Review newborns housed in the room with their mothers to confirm whether the vendor system includes antimicrobials given to the newborn in a NHSN Nursery/NICU location or in with the mother’s NHSN Labor &amp; Delivery Ward, Postpartum Ward, and/or Labor/Delivery/Recovery/Postpartum Suite [LDRP] location. (Y/N/NA)</w:t>
      </w:r>
    </w:p>
    <w:p w14:paraId="390F7D39" w14:textId="5AFD1568" w:rsidR="009F1676" w:rsidRPr="00C04DA6" w:rsidRDefault="009F1676" w:rsidP="009F1676">
      <w:pPr>
        <w:pStyle w:val="NoSpacing"/>
        <w:ind w:left="720"/>
        <w:rPr>
          <w:sz w:val="21"/>
          <w:szCs w:val="21"/>
        </w:rPr>
      </w:pPr>
      <w:r w:rsidRPr="00C04DA6">
        <w:rPr>
          <w:b/>
          <w:bCs/>
          <w:sz w:val="21"/>
          <w:szCs w:val="21"/>
        </w:rPr>
        <w:t>Note:</w:t>
      </w:r>
      <w:r w:rsidRPr="00C04DA6">
        <w:rPr>
          <w:sz w:val="21"/>
          <w:szCs w:val="21"/>
        </w:rPr>
        <w:t xml:space="preserve"> If possible, NHSN recommends capturing babies housed in the room with their mothers in a separate “virtual” Nursery/NICU location within NHSN for the most accurate risk adjustment. </w:t>
      </w:r>
    </w:p>
    <w:p w14:paraId="3A2B2527" w14:textId="243D1200" w:rsidR="00F61D38" w:rsidRDefault="00F61D38" w:rsidP="009F1676">
      <w:pPr>
        <w:pStyle w:val="NoSpacing"/>
        <w:ind w:left="720"/>
      </w:pPr>
    </w:p>
    <w:p w14:paraId="55E852C1" w14:textId="77777777" w:rsidR="00F61D38" w:rsidRDefault="00F61D38" w:rsidP="009F1676">
      <w:pPr>
        <w:pStyle w:val="NoSpacing"/>
        <w:ind w:left="720"/>
      </w:pPr>
    </w:p>
    <w:p w14:paraId="6B261378" w14:textId="2243B306" w:rsidR="009F1676" w:rsidRDefault="009F1676" w:rsidP="009F1676">
      <w:pPr>
        <w:pStyle w:val="NoSpacing"/>
        <w:ind w:left="720"/>
      </w:pPr>
    </w:p>
    <w:p w14:paraId="1A37B351" w14:textId="00C5A833" w:rsidR="009F1676" w:rsidRDefault="00AA6010" w:rsidP="009F1676">
      <w:pPr>
        <w:pStyle w:val="Heading3"/>
        <w:numPr>
          <w:ilvl w:val="0"/>
          <w:numId w:val="1"/>
        </w:numPr>
      </w:pPr>
      <w:bookmarkStart w:id="5" w:name="_Confirm_appropriate_use"/>
      <w:bookmarkEnd w:id="5"/>
      <w:r>
        <w:t>Confirm a</w:t>
      </w:r>
      <w:r w:rsidR="009F1676">
        <w:t xml:space="preserve">ppropriate use of N/A </w:t>
      </w:r>
      <w:r>
        <w:t>versus</w:t>
      </w:r>
      <w:r w:rsidR="009F1676">
        <w:t xml:space="preserve"> zero</w:t>
      </w:r>
    </w:p>
    <w:p w14:paraId="7DA6CDF2" w14:textId="75483E5F" w:rsidR="00DC0428" w:rsidRPr="00C04DA6" w:rsidRDefault="00DC0428" w:rsidP="00DC0428">
      <w:pPr>
        <w:pStyle w:val="NoSpacing"/>
        <w:ind w:left="720"/>
        <w:rPr>
          <w:sz w:val="21"/>
          <w:szCs w:val="21"/>
        </w:rPr>
      </w:pPr>
      <w:r w:rsidRPr="00C04DA6">
        <w:rPr>
          <w:b/>
          <w:bCs/>
          <w:sz w:val="21"/>
          <w:szCs w:val="21"/>
        </w:rPr>
        <w:t>Note:</w:t>
      </w:r>
      <w:r w:rsidRPr="00C04DA6">
        <w:rPr>
          <w:sz w:val="21"/>
          <w:szCs w:val="21"/>
        </w:rPr>
        <w:t xml:space="preserve"> According to the AU Option protocol “Not applicable (N/A)” is used when an antimicrobial can’t be electronically captured from eMAR/BCMA while “0” is used when the facility had no patients administered the drug and/or route(s) during the given month.</w:t>
      </w:r>
      <w:r w:rsidR="00E246CB">
        <w:rPr>
          <w:sz w:val="21"/>
          <w:szCs w:val="21"/>
        </w:rPr>
        <w:t xml:space="preserve"> Facilities should only use “NA” for non-formulary agents when those agents, if administered, cannot be accurately electronically captured by the eMAR/BCMA system.</w:t>
      </w:r>
      <w:r w:rsidR="00E246CB" w:rsidRPr="00E246CB">
        <w:rPr>
          <w:sz w:val="21"/>
          <w:szCs w:val="21"/>
        </w:rPr>
        <w:t xml:space="preserve"> </w:t>
      </w:r>
      <w:r w:rsidR="00E246CB">
        <w:rPr>
          <w:sz w:val="21"/>
          <w:szCs w:val="21"/>
        </w:rPr>
        <w:t>NHSN expects facilities to consistently report “NA” across all locations and FacWideIN and across months.</w:t>
      </w:r>
    </w:p>
    <w:p w14:paraId="54B35C9C" w14:textId="77777777" w:rsidR="00F61D38" w:rsidRPr="00C04DA6" w:rsidRDefault="00F61D38" w:rsidP="00DC0428">
      <w:pPr>
        <w:pStyle w:val="NoSpacing"/>
        <w:ind w:left="720"/>
        <w:rPr>
          <w:sz w:val="21"/>
          <w:szCs w:val="21"/>
        </w:rPr>
      </w:pPr>
    </w:p>
    <w:p w14:paraId="0337BA6C" w14:textId="3EA13879" w:rsidR="00DC0428" w:rsidRPr="00C04DA6" w:rsidRDefault="00DC0428" w:rsidP="00DC0428">
      <w:pPr>
        <w:pStyle w:val="NoSpacing"/>
        <w:numPr>
          <w:ilvl w:val="0"/>
          <w:numId w:val="7"/>
        </w:numPr>
        <w:rPr>
          <w:sz w:val="21"/>
          <w:szCs w:val="21"/>
        </w:rPr>
      </w:pPr>
      <w:r w:rsidRPr="00C04DA6">
        <w:rPr>
          <w:b/>
          <w:bCs/>
          <w:sz w:val="21"/>
          <w:szCs w:val="21"/>
        </w:rPr>
        <w:t>Question:</w:t>
      </w:r>
      <w:r w:rsidRPr="00C04DA6">
        <w:rPr>
          <w:sz w:val="21"/>
          <w:szCs w:val="21"/>
        </w:rPr>
        <w:t xml:space="preserve"> Have you identified any antimicrobial agents and/or routes of administration that would require N/A? (Y/N) If so, please list these. Please describe any inconsistencies you identified and how you addressed the issues.</w:t>
      </w:r>
    </w:p>
    <w:p w14:paraId="78240BB1" w14:textId="4C3CC2A6" w:rsidR="00DC0428" w:rsidRDefault="00DC0428" w:rsidP="00DC0428"/>
    <w:p w14:paraId="6A598218" w14:textId="77777777" w:rsidR="00F61D38" w:rsidRDefault="00F61D38" w:rsidP="00DC0428"/>
    <w:p w14:paraId="3F560E8C" w14:textId="77777777" w:rsidR="00432044" w:rsidRDefault="00432044" w:rsidP="00E7261C">
      <w:pPr>
        <w:jc w:val="right"/>
      </w:pPr>
    </w:p>
    <w:p w14:paraId="2E2BB51F" w14:textId="77777777" w:rsidR="00432044" w:rsidRDefault="00432044" w:rsidP="00E7261C">
      <w:pPr>
        <w:jc w:val="right"/>
      </w:pPr>
    </w:p>
    <w:p w14:paraId="5204412E" w14:textId="6378D90D" w:rsidR="00DC0428" w:rsidRDefault="00DC0428" w:rsidP="00E7261C">
      <w:pPr>
        <w:jc w:val="right"/>
      </w:pPr>
      <w:r>
        <w:t>End Section A: Manual validation of eMAR/BCMA data feeds to vendor software</w:t>
      </w:r>
    </w:p>
    <w:p w14:paraId="17DC6D87" w14:textId="77777777" w:rsidR="0088511C" w:rsidRDefault="0088511C" w:rsidP="00DC0428">
      <w:pPr>
        <w:sectPr w:rsidR="0088511C" w:rsidSect="003D38E6">
          <w:pgSz w:w="12240" w:h="15840" w:code="1"/>
          <w:pgMar w:top="540" w:right="720" w:bottom="720" w:left="720" w:header="720" w:footer="288" w:gutter="0"/>
          <w:cols w:space="720"/>
          <w:titlePg/>
          <w:docGrid w:linePitch="360"/>
        </w:sectPr>
      </w:pPr>
    </w:p>
    <w:p w14:paraId="03519353" w14:textId="5DE7F709" w:rsidR="0088511C" w:rsidRDefault="0088511C" w:rsidP="0088511C">
      <w:pPr>
        <w:pStyle w:val="Heading2"/>
      </w:pPr>
      <w:bookmarkStart w:id="6" w:name="_Section_B._Validation"/>
      <w:bookmarkEnd w:id="6"/>
      <w:r>
        <w:lastRenderedPageBreak/>
        <w:t>Section B</w:t>
      </w:r>
      <w:r w:rsidR="005457F8">
        <w:t>.</w:t>
      </w:r>
      <w:r>
        <w:t xml:space="preserve"> Validation of </w:t>
      </w:r>
      <w:r w:rsidR="005B4DCE">
        <w:t>data aggregations and calculations</w:t>
      </w:r>
    </w:p>
    <w:p w14:paraId="5604289C" w14:textId="3F8FF4D3" w:rsidR="0088511C" w:rsidRDefault="00CF6697" w:rsidP="00CF6697">
      <w:pPr>
        <w:pStyle w:val="Heading3"/>
        <w:numPr>
          <w:ilvl w:val="0"/>
          <w:numId w:val="8"/>
        </w:numPr>
      </w:pPr>
      <w:bookmarkStart w:id="7" w:name="_Review_locations_mapped"/>
      <w:bookmarkEnd w:id="7"/>
      <w:r>
        <w:t>Review locations mapped in NHSN</w:t>
      </w:r>
    </w:p>
    <w:p w14:paraId="647606AC" w14:textId="33D328DD" w:rsidR="00CF6697" w:rsidRDefault="00CF6697" w:rsidP="00CF6697">
      <w:pPr>
        <w:pStyle w:val="NoSpacing"/>
        <w:ind w:left="720"/>
        <w:rPr>
          <w:sz w:val="21"/>
          <w:szCs w:val="21"/>
        </w:rPr>
      </w:pPr>
      <w:r w:rsidRPr="00E7261C">
        <w:rPr>
          <w:b/>
          <w:bCs/>
          <w:sz w:val="21"/>
          <w:szCs w:val="21"/>
        </w:rPr>
        <w:t>Methodology:</w:t>
      </w:r>
      <w:r w:rsidRPr="002D2D40">
        <w:rPr>
          <w:sz w:val="21"/>
          <w:szCs w:val="21"/>
        </w:rPr>
        <w:t xml:space="preserve"> With the NHSN Facility Administrator (or representative from Infection Control), review the NHSN Locations used for reporting to NHSN. </w:t>
      </w:r>
      <w:r w:rsidRPr="00E7261C">
        <w:rPr>
          <w:sz w:val="21"/>
          <w:szCs w:val="21"/>
          <w:u w:val="single"/>
        </w:rPr>
        <w:t>Facilities should use the same NHSN Locations for ALL NHSN reporting including HAI and AU.</w:t>
      </w:r>
      <w:r w:rsidRPr="002D2D40">
        <w:rPr>
          <w:sz w:val="21"/>
          <w:szCs w:val="21"/>
        </w:rPr>
        <w:t xml:space="preserve"> Review in the NHSN Location Manager or export the list of locations used within NHSN facility. Within NHSN: Facility &gt; Locations &gt; Export Location List.</w:t>
      </w:r>
    </w:p>
    <w:p w14:paraId="46D37C4E" w14:textId="77777777" w:rsidR="00103DF8" w:rsidRPr="002D2D40" w:rsidRDefault="00103DF8" w:rsidP="00CF6697">
      <w:pPr>
        <w:pStyle w:val="NoSpacing"/>
        <w:ind w:left="720"/>
        <w:rPr>
          <w:sz w:val="21"/>
          <w:szCs w:val="21"/>
        </w:rPr>
      </w:pPr>
    </w:p>
    <w:p w14:paraId="1EEAEEFF" w14:textId="7329C184" w:rsidR="00CF6697" w:rsidRPr="002D2D40" w:rsidRDefault="00CF6697" w:rsidP="00CF6697">
      <w:pPr>
        <w:pStyle w:val="NoSpacing"/>
        <w:numPr>
          <w:ilvl w:val="0"/>
          <w:numId w:val="9"/>
        </w:numPr>
        <w:rPr>
          <w:sz w:val="21"/>
          <w:szCs w:val="21"/>
        </w:rPr>
      </w:pPr>
      <w:r w:rsidRPr="00E7261C">
        <w:rPr>
          <w:b/>
          <w:bCs/>
          <w:sz w:val="21"/>
          <w:szCs w:val="21"/>
        </w:rPr>
        <w:t>Verify:</w:t>
      </w:r>
      <w:r w:rsidRPr="002D2D40">
        <w:rPr>
          <w:sz w:val="21"/>
          <w:szCs w:val="21"/>
        </w:rPr>
        <w:t xml:space="preserve"> All physical inpatient locations, as well as outpatient Emergency Department</w:t>
      </w:r>
      <w:r w:rsidR="005464A4">
        <w:rPr>
          <w:sz w:val="21"/>
          <w:szCs w:val="21"/>
        </w:rPr>
        <w:t xml:space="preserve">s </w:t>
      </w:r>
      <w:r w:rsidRPr="002D2D40">
        <w:rPr>
          <w:sz w:val="21"/>
          <w:szCs w:val="21"/>
        </w:rPr>
        <w:t>(</w:t>
      </w:r>
      <w:r w:rsidR="005464A4">
        <w:rPr>
          <w:sz w:val="21"/>
          <w:szCs w:val="21"/>
        </w:rPr>
        <w:t>ED</w:t>
      </w:r>
      <w:r w:rsidRPr="002D2D40">
        <w:rPr>
          <w:sz w:val="21"/>
          <w:szCs w:val="21"/>
        </w:rPr>
        <w:t>s) and 24-hour observation unit(s), are mapped in the NHSN Facility to the appropriate CDC Location Description</w:t>
      </w:r>
      <w:r w:rsidR="005464A4">
        <w:rPr>
          <w:sz w:val="21"/>
          <w:szCs w:val="21"/>
        </w:rPr>
        <w:t xml:space="preserve"> outlined in the </w:t>
      </w:r>
      <w:hyperlink r:id="rId23" w:history="1">
        <w:r w:rsidR="005464A4" w:rsidRPr="005464A4">
          <w:rPr>
            <w:rStyle w:val="Hyperlink"/>
            <w:sz w:val="21"/>
            <w:szCs w:val="21"/>
          </w:rPr>
          <w:t>NHSN Locations Chapter</w:t>
        </w:r>
      </w:hyperlink>
      <w:r w:rsidRPr="002D2D40">
        <w:rPr>
          <w:sz w:val="21"/>
          <w:szCs w:val="21"/>
        </w:rPr>
        <w:t xml:space="preserve">.  (Y/N) </w:t>
      </w:r>
    </w:p>
    <w:p w14:paraId="35DF5F70" w14:textId="3A5483E5" w:rsidR="00CF6697" w:rsidRDefault="00CF6697" w:rsidP="00CF6697">
      <w:pPr>
        <w:pStyle w:val="NoSpacing"/>
        <w:ind w:left="720"/>
        <w:rPr>
          <w:sz w:val="21"/>
          <w:szCs w:val="21"/>
        </w:rPr>
      </w:pPr>
      <w:r w:rsidRPr="00E7261C">
        <w:rPr>
          <w:sz w:val="21"/>
          <w:szCs w:val="21"/>
          <w:u w:val="single"/>
        </w:rPr>
        <w:t>With approval from the NHSN Facility Administrator</w:t>
      </w:r>
      <w:r w:rsidRPr="002D2D40">
        <w:rPr>
          <w:sz w:val="21"/>
          <w:szCs w:val="21"/>
        </w:rPr>
        <w:t xml:space="preserve">, update any locations that have changed patient mix since the last review (for example, changed from medical ward to medical/surgical ward). </w:t>
      </w:r>
    </w:p>
    <w:p w14:paraId="5754AD93" w14:textId="6693C1E2" w:rsidR="00103DF8" w:rsidRDefault="00103DF8" w:rsidP="00CF6697">
      <w:pPr>
        <w:pStyle w:val="NoSpacing"/>
        <w:ind w:left="720"/>
        <w:rPr>
          <w:sz w:val="21"/>
          <w:szCs w:val="21"/>
        </w:rPr>
      </w:pPr>
    </w:p>
    <w:p w14:paraId="4D81E101" w14:textId="77777777" w:rsidR="00103DF8" w:rsidRPr="002D2D40" w:rsidRDefault="00103DF8" w:rsidP="00CF6697">
      <w:pPr>
        <w:pStyle w:val="NoSpacing"/>
        <w:ind w:left="720"/>
        <w:rPr>
          <w:sz w:val="21"/>
          <w:szCs w:val="21"/>
        </w:rPr>
      </w:pPr>
    </w:p>
    <w:p w14:paraId="5CD8F257" w14:textId="0AA1BE68" w:rsidR="00CF6697" w:rsidRDefault="00CF6697" w:rsidP="00CF6697">
      <w:pPr>
        <w:pStyle w:val="NoSpacing"/>
        <w:numPr>
          <w:ilvl w:val="0"/>
          <w:numId w:val="9"/>
        </w:numPr>
        <w:rPr>
          <w:sz w:val="21"/>
          <w:szCs w:val="21"/>
        </w:rPr>
      </w:pPr>
      <w:r w:rsidRPr="00E7261C">
        <w:rPr>
          <w:b/>
          <w:bCs/>
          <w:sz w:val="21"/>
          <w:szCs w:val="21"/>
        </w:rPr>
        <w:t>Verify:</w:t>
      </w:r>
      <w:r w:rsidRPr="002D2D40">
        <w:rPr>
          <w:sz w:val="21"/>
          <w:szCs w:val="21"/>
        </w:rPr>
        <w:t xml:space="preserve"> All NHSN locations, especially the “Your Code” and CDC Location Description, match the locations in your vendor software. (Y/N)   </w:t>
      </w:r>
    </w:p>
    <w:p w14:paraId="7A12437D" w14:textId="29B41CF4" w:rsidR="00103DF8" w:rsidRDefault="00103DF8" w:rsidP="00103DF8">
      <w:pPr>
        <w:pStyle w:val="NoSpacing"/>
        <w:rPr>
          <w:sz w:val="21"/>
          <w:szCs w:val="21"/>
        </w:rPr>
      </w:pPr>
    </w:p>
    <w:p w14:paraId="7DC790EE" w14:textId="77777777" w:rsidR="00103DF8" w:rsidRPr="002D2D40" w:rsidRDefault="00103DF8" w:rsidP="00E7261C">
      <w:pPr>
        <w:pStyle w:val="NoSpacing"/>
        <w:rPr>
          <w:sz w:val="21"/>
          <w:szCs w:val="21"/>
        </w:rPr>
      </w:pPr>
    </w:p>
    <w:p w14:paraId="1257A395" w14:textId="6C1007EC" w:rsidR="00CF6697" w:rsidRDefault="00CF6697" w:rsidP="00CF6697">
      <w:pPr>
        <w:pStyle w:val="NoSpacing"/>
        <w:numPr>
          <w:ilvl w:val="0"/>
          <w:numId w:val="9"/>
        </w:numPr>
        <w:rPr>
          <w:sz w:val="21"/>
          <w:szCs w:val="21"/>
        </w:rPr>
      </w:pPr>
      <w:r w:rsidRPr="00E7261C">
        <w:rPr>
          <w:b/>
          <w:bCs/>
          <w:sz w:val="21"/>
          <w:szCs w:val="21"/>
        </w:rPr>
        <w:t>Verify:</w:t>
      </w:r>
      <w:r w:rsidRPr="002D2D40">
        <w:rPr>
          <w:sz w:val="21"/>
          <w:szCs w:val="21"/>
        </w:rPr>
        <w:t xml:space="preserve"> With approval from the NHSN Facility Administrator, inactivate all locations no longer housing patients from both the NHSN Location manager and the vendor software. (Y/N)</w:t>
      </w:r>
    </w:p>
    <w:p w14:paraId="3E0CE68A" w14:textId="0FF51513" w:rsidR="00103DF8" w:rsidRDefault="00103DF8" w:rsidP="00103DF8">
      <w:pPr>
        <w:pStyle w:val="NoSpacing"/>
        <w:rPr>
          <w:sz w:val="21"/>
          <w:szCs w:val="21"/>
        </w:rPr>
      </w:pPr>
    </w:p>
    <w:p w14:paraId="483644AE" w14:textId="77777777" w:rsidR="00103DF8" w:rsidRPr="002D2D40" w:rsidRDefault="00103DF8" w:rsidP="00E7261C">
      <w:pPr>
        <w:pStyle w:val="NoSpacing"/>
        <w:rPr>
          <w:sz w:val="21"/>
          <w:szCs w:val="21"/>
        </w:rPr>
      </w:pPr>
    </w:p>
    <w:p w14:paraId="26274A73" w14:textId="1163EA51" w:rsidR="00CF6697" w:rsidRDefault="00CF6697" w:rsidP="00CF6697">
      <w:pPr>
        <w:pStyle w:val="NoSpacing"/>
        <w:numPr>
          <w:ilvl w:val="0"/>
          <w:numId w:val="9"/>
        </w:numPr>
        <w:rPr>
          <w:sz w:val="21"/>
          <w:szCs w:val="21"/>
        </w:rPr>
      </w:pPr>
      <w:r w:rsidRPr="00E7261C">
        <w:rPr>
          <w:b/>
          <w:bCs/>
          <w:sz w:val="21"/>
          <w:szCs w:val="21"/>
        </w:rPr>
        <w:t>Verify:</w:t>
      </w:r>
      <w:r w:rsidRPr="002D2D40">
        <w:rPr>
          <w:sz w:val="21"/>
          <w:szCs w:val="21"/>
        </w:rPr>
        <w:t xml:space="preserve"> Of the locations mapped in your NHSN facility, confirm that your vendor system can </w:t>
      </w:r>
      <w:r w:rsidRPr="00E7261C">
        <w:rPr>
          <w:sz w:val="21"/>
          <w:szCs w:val="21"/>
          <w:u w:val="single"/>
        </w:rPr>
        <w:t>accurately electronically</w:t>
      </w:r>
      <w:r w:rsidRPr="002D2D40">
        <w:rPr>
          <w:sz w:val="21"/>
          <w:szCs w:val="21"/>
        </w:rPr>
        <w:t xml:space="preserve"> capture both the numerator (antimicrobial days) and denominator (days present). </w:t>
      </w:r>
      <w:r w:rsidR="005464A4">
        <w:rPr>
          <w:sz w:val="21"/>
          <w:szCs w:val="21"/>
        </w:rPr>
        <w:t>The vendor system should be EX</w:t>
      </w:r>
      <w:r w:rsidR="0038510A">
        <w:rPr>
          <w:sz w:val="21"/>
          <w:szCs w:val="21"/>
        </w:rPr>
        <w:t>C</w:t>
      </w:r>
      <w:r w:rsidR="005464A4">
        <w:rPr>
          <w:sz w:val="21"/>
          <w:szCs w:val="21"/>
        </w:rPr>
        <w:t>LUDING a</w:t>
      </w:r>
      <w:r w:rsidRPr="002D2D40">
        <w:rPr>
          <w:sz w:val="21"/>
          <w:szCs w:val="21"/>
        </w:rPr>
        <w:t>ny locations in which the system cannot accurately capture either the antimicrobial days and/or the days present from the location specific and FacWideIN NHSN AU data submission. (for example, if the vendor system cannot accurately capture the antimicrobial administrations in the Operating Room, then the system should exclude the Operating Room from all AU Option submissions) (Y/N)</w:t>
      </w:r>
    </w:p>
    <w:p w14:paraId="3FC86F08" w14:textId="0758558F" w:rsidR="00103DF8" w:rsidRDefault="00103DF8" w:rsidP="00103DF8">
      <w:pPr>
        <w:pStyle w:val="NoSpacing"/>
        <w:rPr>
          <w:sz w:val="21"/>
          <w:szCs w:val="21"/>
        </w:rPr>
      </w:pPr>
    </w:p>
    <w:p w14:paraId="62D705A5" w14:textId="77777777" w:rsidR="00103DF8" w:rsidRPr="002D2D40" w:rsidRDefault="00103DF8" w:rsidP="00E7261C">
      <w:pPr>
        <w:pStyle w:val="NoSpacing"/>
        <w:rPr>
          <w:sz w:val="21"/>
          <w:szCs w:val="21"/>
        </w:rPr>
      </w:pPr>
    </w:p>
    <w:p w14:paraId="6D08BB0D" w14:textId="77777777" w:rsidR="00CF6697" w:rsidRPr="002D2D40" w:rsidRDefault="00CF6697" w:rsidP="00CF6697">
      <w:pPr>
        <w:pStyle w:val="NoSpacing"/>
        <w:ind w:left="720"/>
        <w:rPr>
          <w:sz w:val="21"/>
          <w:szCs w:val="21"/>
        </w:rPr>
      </w:pPr>
    </w:p>
    <w:p w14:paraId="62491F9D" w14:textId="3DEBBE15" w:rsidR="00CF6697" w:rsidRDefault="00CF6697" w:rsidP="00CF6697">
      <w:pPr>
        <w:pStyle w:val="Heading3"/>
        <w:numPr>
          <w:ilvl w:val="0"/>
          <w:numId w:val="8"/>
        </w:numPr>
      </w:pPr>
      <w:bookmarkStart w:id="8" w:name="_Review_aggregations"/>
      <w:bookmarkEnd w:id="8"/>
      <w:r>
        <w:t>Review aggregations</w:t>
      </w:r>
    </w:p>
    <w:p w14:paraId="45E1EC2D" w14:textId="51BA26BB" w:rsidR="007A15F8" w:rsidRDefault="007A15F8" w:rsidP="007A15F8">
      <w:pPr>
        <w:pStyle w:val="Heading4"/>
        <w:ind w:left="720"/>
      </w:pPr>
      <w:r>
        <w:t>Aggregating the routes of administration</w:t>
      </w:r>
    </w:p>
    <w:p w14:paraId="70F96458" w14:textId="2A972D3C" w:rsidR="007A15F8" w:rsidRPr="002D2D40" w:rsidRDefault="007A15F8" w:rsidP="007A15F8">
      <w:pPr>
        <w:pStyle w:val="NoSpacing"/>
        <w:ind w:left="720"/>
        <w:rPr>
          <w:sz w:val="21"/>
          <w:szCs w:val="21"/>
        </w:rPr>
      </w:pPr>
      <w:r w:rsidRPr="00E7261C">
        <w:rPr>
          <w:b/>
          <w:bCs/>
          <w:sz w:val="21"/>
          <w:szCs w:val="21"/>
        </w:rPr>
        <w:t>Methodology</w:t>
      </w:r>
      <w:r w:rsidRPr="002D2D40">
        <w:rPr>
          <w:sz w:val="21"/>
          <w:szCs w:val="21"/>
        </w:rPr>
        <w:t>: Choose three commonly used drugs, administer</w:t>
      </w:r>
      <w:r w:rsidR="0067471A">
        <w:rPr>
          <w:sz w:val="21"/>
          <w:szCs w:val="21"/>
        </w:rPr>
        <w:t>ed</w:t>
      </w:r>
      <w:r w:rsidRPr="002D2D40">
        <w:rPr>
          <w:sz w:val="21"/>
          <w:szCs w:val="21"/>
        </w:rPr>
        <w:t xml:space="preserve"> via more than one route, to confirm both the individual routes and the total antimicrobial day counts are correct. Review five patients per drug.</w:t>
      </w:r>
    </w:p>
    <w:p w14:paraId="44746814" w14:textId="1843DF8D" w:rsidR="007A15F8" w:rsidRDefault="007A15F8" w:rsidP="007A15F8">
      <w:pPr>
        <w:pStyle w:val="NoSpacing"/>
        <w:ind w:left="720"/>
        <w:rPr>
          <w:sz w:val="21"/>
          <w:szCs w:val="21"/>
        </w:rPr>
      </w:pPr>
      <w:r w:rsidRPr="00E7261C">
        <w:rPr>
          <w:b/>
          <w:bCs/>
          <w:sz w:val="21"/>
          <w:szCs w:val="21"/>
        </w:rPr>
        <w:t>Example</w:t>
      </w:r>
      <w:r w:rsidRPr="002D2D40">
        <w:rPr>
          <w:sz w:val="21"/>
          <w:szCs w:val="21"/>
        </w:rPr>
        <w:t xml:space="preserve">: Per </w:t>
      </w:r>
      <w:hyperlink r:id="rId24" w:history="1">
        <w:r w:rsidRPr="005464A4">
          <w:rPr>
            <w:rStyle w:val="Hyperlink"/>
            <w:sz w:val="21"/>
            <w:szCs w:val="21"/>
          </w:rPr>
          <w:t>AU Option protocol</w:t>
        </w:r>
      </w:hyperlink>
      <w:r w:rsidRPr="002D2D40">
        <w:rPr>
          <w:sz w:val="21"/>
          <w:szCs w:val="21"/>
        </w:rPr>
        <w:t>, a patient administered ciprofloxacin intravenously and orally on the same day would be attributed “one ciprofloxacin Day (Total)”; the stratification by route would be “one ciprofloxacin Day (IV)” and “one ciprofloxacin Day (Digestive)”. In these cases, the sum of the routes of administration should be greater than the total drug-specific antimicrobial day count.</w:t>
      </w:r>
    </w:p>
    <w:p w14:paraId="2396B6C2" w14:textId="77777777" w:rsidR="00103DF8" w:rsidRPr="002D2D40" w:rsidRDefault="00103DF8" w:rsidP="007A15F8">
      <w:pPr>
        <w:pStyle w:val="NoSpacing"/>
        <w:ind w:left="720"/>
        <w:rPr>
          <w:sz w:val="21"/>
          <w:szCs w:val="21"/>
        </w:rPr>
      </w:pPr>
    </w:p>
    <w:p w14:paraId="17E7F750" w14:textId="7EE3E721" w:rsidR="00CF6697" w:rsidRDefault="007A15F8" w:rsidP="007A15F8">
      <w:pPr>
        <w:pStyle w:val="NoSpacing"/>
        <w:numPr>
          <w:ilvl w:val="0"/>
          <w:numId w:val="10"/>
        </w:numPr>
        <w:rPr>
          <w:sz w:val="21"/>
          <w:szCs w:val="21"/>
        </w:rPr>
      </w:pPr>
      <w:r w:rsidRPr="00E7261C">
        <w:rPr>
          <w:b/>
          <w:bCs/>
          <w:sz w:val="21"/>
          <w:szCs w:val="21"/>
        </w:rPr>
        <w:t>Verify</w:t>
      </w:r>
      <w:r w:rsidRPr="002D2D40">
        <w:rPr>
          <w:sz w:val="21"/>
          <w:szCs w:val="21"/>
        </w:rPr>
        <w:t>: For patients receiving the same antimicrobial by two different routes of administration (for example, patient switched from IV to oral antimicrobial formulation) in a calendar day, confirm that the administrations were counted appropriately: one total antimicrobial day and one antimicrobial day for each of the specified routes. (Y/N)</w:t>
      </w:r>
    </w:p>
    <w:p w14:paraId="584044B1" w14:textId="3498229A" w:rsidR="002B2508" w:rsidRDefault="002B2508" w:rsidP="002B2508">
      <w:pPr>
        <w:pStyle w:val="NoSpacing"/>
        <w:rPr>
          <w:sz w:val="21"/>
          <w:szCs w:val="21"/>
        </w:rPr>
      </w:pPr>
    </w:p>
    <w:p w14:paraId="4B7441CA" w14:textId="77777777" w:rsidR="002B2508" w:rsidRPr="002D2D40" w:rsidRDefault="002B2508" w:rsidP="00E7261C">
      <w:pPr>
        <w:pStyle w:val="NoSpacing"/>
        <w:rPr>
          <w:sz w:val="21"/>
          <w:szCs w:val="21"/>
        </w:rPr>
      </w:pPr>
    </w:p>
    <w:p w14:paraId="2D60BB31" w14:textId="48BCABB9" w:rsidR="00DC0428" w:rsidRDefault="007A15F8" w:rsidP="007A15F8">
      <w:pPr>
        <w:pStyle w:val="Heading4"/>
        <w:ind w:left="720"/>
      </w:pPr>
      <w:r>
        <w:t>Aggregating antimicrobial days</w:t>
      </w:r>
    </w:p>
    <w:p w14:paraId="1235D9B9" w14:textId="77777777" w:rsidR="004D2B42" w:rsidRPr="00C04DA6" w:rsidRDefault="004D2B42" w:rsidP="004D2B42">
      <w:pPr>
        <w:pStyle w:val="NoSpacing"/>
        <w:ind w:left="720"/>
        <w:rPr>
          <w:sz w:val="21"/>
          <w:szCs w:val="21"/>
        </w:rPr>
      </w:pPr>
      <w:r w:rsidRPr="00C04DA6">
        <w:rPr>
          <w:b/>
          <w:bCs/>
          <w:sz w:val="21"/>
          <w:szCs w:val="21"/>
        </w:rPr>
        <w:t>Methodology</w:t>
      </w:r>
      <w:r w:rsidRPr="00C04DA6">
        <w:rPr>
          <w:sz w:val="21"/>
          <w:szCs w:val="21"/>
        </w:rPr>
        <w:t xml:space="preserve">: Check with your vendor to determine if there is a mechanism in the vendor system to see aggregated data prior to NHSN upload. If this does not exist in the vendor software, upload 1 month of data for three locations into NHSN to complete these steps. </w:t>
      </w:r>
    </w:p>
    <w:p w14:paraId="36EE4F19" w14:textId="77777777" w:rsidR="004D2B42" w:rsidRPr="00C04DA6" w:rsidRDefault="004D2B42" w:rsidP="004D2B42">
      <w:pPr>
        <w:pStyle w:val="NoSpacing"/>
        <w:rPr>
          <w:sz w:val="21"/>
          <w:szCs w:val="21"/>
        </w:rPr>
      </w:pPr>
    </w:p>
    <w:p w14:paraId="6F5D3118" w14:textId="77777777" w:rsidR="004D2B42" w:rsidRPr="00C04DA6" w:rsidRDefault="004D2B42" w:rsidP="004D2B42">
      <w:pPr>
        <w:pStyle w:val="NoSpacing"/>
        <w:ind w:left="720"/>
        <w:rPr>
          <w:sz w:val="21"/>
          <w:szCs w:val="21"/>
        </w:rPr>
      </w:pPr>
      <w:r w:rsidRPr="00C04DA6">
        <w:rPr>
          <w:sz w:val="21"/>
          <w:szCs w:val="21"/>
        </w:rPr>
        <w:lastRenderedPageBreak/>
        <w:t xml:space="preserve">For three patient care locations during the specified time period, manually validate that vendor software is correctly aggregating the numerator for the total antimicrobial days and sub-stratification based on routes of administration. Additionally, validate that the vendor software is correctly aggregating the days present denominator for the locations. </w:t>
      </w:r>
    </w:p>
    <w:p w14:paraId="65315CB4" w14:textId="77777777" w:rsidR="004D2B42" w:rsidRPr="00C04DA6" w:rsidRDefault="004D2B42" w:rsidP="004D2B42">
      <w:pPr>
        <w:pStyle w:val="NoSpacing"/>
        <w:rPr>
          <w:sz w:val="21"/>
          <w:szCs w:val="21"/>
        </w:rPr>
      </w:pPr>
    </w:p>
    <w:p w14:paraId="31BE5051" w14:textId="32F319B4" w:rsidR="004D2B42" w:rsidRPr="00C04DA6" w:rsidRDefault="004D2B42" w:rsidP="004D2B42">
      <w:pPr>
        <w:pStyle w:val="NoSpacing"/>
        <w:ind w:left="720"/>
        <w:rPr>
          <w:sz w:val="21"/>
          <w:szCs w:val="21"/>
        </w:rPr>
      </w:pPr>
      <w:r w:rsidRPr="00C04DA6">
        <w:rPr>
          <w:sz w:val="21"/>
          <w:szCs w:val="21"/>
        </w:rPr>
        <w:t xml:space="preserve">Consider using the tables below, or something similar in the program of your choice, to compare your aggregations. </w:t>
      </w:r>
      <w:r w:rsidR="00400C1F">
        <w:rPr>
          <w:sz w:val="21"/>
          <w:szCs w:val="21"/>
        </w:rPr>
        <w:t xml:space="preserve">First populate the tables, then answer the questions that follow. </w:t>
      </w:r>
    </w:p>
    <w:p w14:paraId="6D1BEE9E" w14:textId="77777777" w:rsidR="004D2B42" w:rsidRPr="00C04DA6" w:rsidRDefault="004D2B42" w:rsidP="004D2B42">
      <w:pPr>
        <w:pStyle w:val="NoSpacing"/>
        <w:rPr>
          <w:sz w:val="21"/>
          <w:szCs w:val="21"/>
        </w:rPr>
      </w:pPr>
    </w:p>
    <w:p w14:paraId="0914B246" w14:textId="23E0457B" w:rsidR="004D2B42" w:rsidRPr="00C04DA6" w:rsidRDefault="004D2B42" w:rsidP="004D2B42">
      <w:pPr>
        <w:pStyle w:val="NoSpacing"/>
        <w:ind w:left="720"/>
        <w:rPr>
          <w:sz w:val="21"/>
          <w:szCs w:val="21"/>
        </w:rPr>
      </w:pPr>
      <w:r w:rsidRPr="00C04DA6">
        <w:rPr>
          <w:b/>
          <w:bCs/>
          <w:sz w:val="21"/>
          <w:szCs w:val="21"/>
        </w:rPr>
        <w:t>Note:</w:t>
      </w:r>
      <w:r w:rsidRPr="00C04DA6">
        <w:rPr>
          <w:sz w:val="21"/>
          <w:szCs w:val="21"/>
        </w:rPr>
        <w:t xml:space="preserve"> NHSN defines days present as the aggregate number of patients housed in a patient care location (or all inpatient units in the facility for FacWideIN counts) at any time throughout a calendar day during a month. Days present is </w:t>
      </w:r>
      <w:r w:rsidRPr="00C04DA6">
        <w:rPr>
          <w:b/>
          <w:bCs/>
          <w:sz w:val="21"/>
          <w:szCs w:val="21"/>
          <w:u w:val="single"/>
        </w:rPr>
        <w:t>not</w:t>
      </w:r>
      <w:r w:rsidRPr="00C04DA6">
        <w:rPr>
          <w:sz w:val="21"/>
          <w:szCs w:val="21"/>
        </w:rPr>
        <w:t xml:space="preserve"> the same as patient days which NHSN defines as the aggregate number of patients housed in a patient care location during the once daily census count. See the </w:t>
      </w:r>
      <w:hyperlink r:id="rId25" w:history="1">
        <w:r w:rsidRPr="00C04DA6">
          <w:rPr>
            <w:rStyle w:val="Hyperlink"/>
            <w:sz w:val="21"/>
            <w:szCs w:val="21"/>
          </w:rPr>
          <w:t>AUR Module Protocol</w:t>
        </w:r>
      </w:hyperlink>
      <w:r w:rsidRPr="00C04DA6">
        <w:rPr>
          <w:sz w:val="21"/>
          <w:szCs w:val="21"/>
        </w:rPr>
        <w:t xml:space="preserve"> for more details.</w:t>
      </w:r>
    </w:p>
    <w:p w14:paraId="1A35986E" w14:textId="15256C3C" w:rsidR="004D2B42" w:rsidRPr="00C04DA6" w:rsidRDefault="004D2B42" w:rsidP="004D2B42">
      <w:pPr>
        <w:pStyle w:val="NoSpacing"/>
        <w:rPr>
          <w:sz w:val="21"/>
          <w:szCs w:val="21"/>
        </w:rPr>
      </w:pPr>
    </w:p>
    <w:p w14:paraId="57B5FD15" w14:textId="562EA596" w:rsidR="004D2B42" w:rsidRPr="00C04DA6" w:rsidRDefault="004D2B42" w:rsidP="003B0088">
      <w:pPr>
        <w:pStyle w:val="NoSpacing"/>
        <w:ind w:firstLine="720"/>
        <w:rPr>
          <w:sz w:val="21"/>
          <w:szCs w:val="21"/>
        </w:rPr>
      </w:pPr>
      <w:r w:rsidRPr="00C04DA6">
        <w:rPr>
          <w:sz w:val="21"/>
          <w:szCs w:val="21"/>
        </w:rPr>
        <w:t>Month, Year:</w:t>
      </w:r>
    </w:p>
    <w:p w14:paraId="56934C99" w14:textId="18B302F5" w:rsidR="004D2B42" w:rsidRPr="00C04DA6" w:rsidRDefault="004D2B42" w:rsidP="003B0088">
      <w:pPr>
        <w:pStyle w:val="NoSpacing"/>
        <w:ind w:firstLine="720"/>
        <w:rPr>
          <w:sz w:val="21"/>
          <w:szCs w:val="21"/>
        </w:rPr>
      </w:pPr>
      <w:r w:rsidRPr="00C04DA6">
        <w:rPr>
          <w:sz w:val="21"/>
          <w:szCs w:val="21"/>
        </w:rPr>
        <w:t>Location:</w:t>
      </w:r>
    </w:p>
    <w:tbl>
      <w:tblPr>
        <w:tblStyle w:val="TableGrid"/>
        <w:tblW w:w="0" w:type="auto"/>
        <w:tblInd w:w="355" w:type="dxa"/>
        <w:tblLayout w:type="fixed"/>
        <w:tblLook w:val="04A0" w:firstRow="1" w:lastRow="0" w:firstColumn="1" w:lastColumn="0" w:noHBand="0" w:noVBand="1"/>
      </w:tblPr>
      <w:tblGrid>
        <w:gridCol w:w="1530"/>
        <w:gridCol w:w="900"/>
        <w:gridCol w:w="720"/>
        <w:gridCol w:w="720"/>
        <w:gridCol w:w="900"/>
        <w:gridCol w:w="900"/>
        <w:gridCol w:w="900"/>
        <w:gridCol w:w="810"/>
        <w:gridCol w:w="810"/>
        <w:gridCol w:w="900"/>
        <w:gridCol w:w="900"/>
      </w:tblGrid>
      <w:tr w:rsidR="004D2B42" w14:paraId="70EC8CDD" w14:textId="77777777" w:rsidTr="003B0088">
        <w:tc>
          <w:tcPr>
            <w:tcW w:w="1530" w:type="dxa"/>
          </w:tcPr>
          <w:p w14:paraId="1ED3BCB4" w14:textId="77777777" w:rsidR="004D2B42" w:rsidRPr="00CD328D" w:rsidRDefault="004D2B42" w:rsidP="004D2B42">
            <w:pPr>
              <w:pStyle w:val="NoSpacing"/>
              <w:rPr>
                <w:sz w:val="21"/>
                <w:szCs w:val="21"/>
              </w:rPr>
            </w:pPr>
          </w:p>
        </w:tc>
        <w:tc>
          <w:tcPr>
            <w:tcW w:w="4140" w:type="dxa"/>
            <w:gridSpan w:val="5"/>
          </w:tcPr>
          <w:p w14:paraId="55183FDB" w14:textId="45A01CC4" w:rsidR="004D2B42" w:rsidRPr="00CD328D" w:rsidRDefault="004D2B42" w:rsidP="004D2B42">
            <w:pPr>
              <w:pStyle w:val="NoSpacing"/>
              <w:rPr>
                <w:sz w:val="21"/>
                <w:szCs w:val="21"/>
              </w:rPr>
            </w:pPr>
            <w:r w:rsidRPr="00CD328D">
              <w:rPr>
                <w:rFonts w:cs="Arial"/>
                <w:b/>
                <w:sz w:val="21"/>
                <w:szCs w:val="21"/>
              </w:rPr>
              <w:t>Manual Aggregation of Antimicrobial Days</w:t>
            </w:r>
          </w:p>
        </w:tc>
        <w:tc>
          <w:tcPr>
            <w:tcW w:w="4320" w:type="dxa"/>
            <w:gridSpan w:val="5"/>
          </w:tcPr>
          <w:p w14:paraId="28877DA9" w14:textId="2A7C65AE" w:rsidR="004D2B42" w:rsidRPr="00CD328D" w:rsidRDefault="004D2B42" w:rsidP="004D2B42">
            <w:pPr>
              <w:pStyle w:val="NoSpacing"/>
              <w:rPr>
                <w:sz w:val="21"/>
                <w:szCs w:val="21"/>
              </w:rPr>
            </w:pPr>
            <w:r w:rsidRPr="00CD328D">
              <w:rPr>
                <w:rFonts w:cs="Arial"/>
                <w:b/>
                <w:sz w:val="21"/>
                <w:szCs w:val="21"/>
              </w:rPr>
              <w:t>Vendor Software Aggregation of Antimicrobial Days</w:t>
            </w:r>
          </w:p>
        </w:tc>
      </w:tr>
      <w:tr w:rsidR="003B0088" w14:paraId="0045FEF5" w14:textId="77777777" w:rsidTr="003B0088">
        <w:tc>
          <w:tcPr>
            <w:tcW w:w="1530" w:type="dxa"/>
          </w:tcPr>
          <w:p w14:paraId="3DE4FDA3" w14:textId="10F91461" w:rsidR="004D2B42" w:rsidRPr="00CD328D" w:rsidRDefault="004D2B42" w:rsidP="004D2B42">
            <w:pPr>
              <w:pStyle w:val="NoSpacing"/>
              <w:rPr>
                <w:b/>
                <w:bCs/>
                <w:sz w:val="21"/>
                <w:szCs w:val="21"/>
              </w:rPr>
            </w:pPr>
            <w:r w:rsidRPr="00CD328D">
              <w:rPr>
                <w:b/>
                <w:bCs/>
                <w:sz w:val="21"/>
                <w:szCs w:val="21"/>
              </w:rPr>
              <w:t>Drug</w:t>
            </w:r>
          </w:p>
        </w:tc>
        <w:tc>
          <w:tcPr>
            <w:tcW w:w="900" w:type="dxa"/>
          </w:tcPr>
          <w:p w14:paraId="14E319BA" w14:textId="2863FCD7" w:rsidR="004D2B42" w:rsidRPr="00CD328D" w:rsidRDefault="004D2B42" w:rsidP="004D2B42">
            <w:pPr>
              <w:pStyle w:val="NoSpacing"/>
              <w:rPr>
                <w:b/>
                <w:bCs/>
                <w:sz w:val="21"/>
                <w:szCs w:val="21"/>
              </w:rPr>
            </w:pPr>
            <w:r w:rsidRPr="00CD328D">
              <w:rPr>
                <w:rFonts w:cs="Arial"/>
                <w:b/>
                <w:bCs/>
                <w:sz w:val="21"/>
                <w:szCs w:val="21"/>
              </w:rPr>
              <w:t>Total</w:t>
            </w:r>
          </w:p>
        </w:tc>
        <w:tc>
          <w:tcPr>
            <w:tcW w:w="720" w:type="dxa"/>
          </w:tcPr>
          <w:p w14:paraId="675EC14B" w14:textId="1EE78B97" w:rsidR="004D2B42" w:rsidRPr="00CD328D" w:rsidRDefault="004D2B42" w:rsidP="004D2B42">
            <w:pPr>
              <w:pStyle w:val="NoSpacing"/>
              <w:rPr>
                <w:b/>
                <w:bCs/>
                <w:sz w:val="21"/>
                <w:szCs w:val="21"/>
              </w:rPr>
            </w:pPr>
            <w:r w:rsidRPr="00CD328D">
              <w:rPr>
                <w:rFonts w:cs="Arial"/>
                <w:b/>
                <w:bCs/>
                <w:sz w:val="21"/>
                <w:szCs w:val="21"/>
              </w:rPr>
              <w:t>IV</w:t>
            </w:r>
          </w:p>
        </w:tc>
        <w:tc>
          <w:tcPr>
            <w:tcW w:w="720" w:type="dxa"/>
          </w:tcPr>
          <w:p w14:paraId="392A5A73" w14:textId="33E2DE46" w:rsidR="004D2B42" w:rsidRPr="00CD328D" w:rsidRDefault="004D2B42" w:rsidP="004D2B42">
            <w:pPr>
              <w:pStyle w:val="NoSpacing"/>
              <w:rPr>
                <w:b/>
                <w:bCs/>
                <w:sz w:val="21"/>
                <w:szCs w:val="21"/>
              </w:rPr>
            </w:pPr>
            <w:r w:rsidRPr="00CD328D">
              <w:rPr>
                <w:rFonts w:cs="Arial"/>
                <w:b/>
                <w:bCs/>
                <w:sz w:val="21"/>
                <w:szCs w:val="21"/>
              </w:rPr>
              <w:t>IM</w:t>
            </w:r>
          </w:p>
        </w:tc>
        <w:tc>
          <w:tcPr>
            <w:tcW w:w="900" w:type="dxa"/>
          </w:tcPr>
          <w:p w14:paraId="28DCBF73" w14:textId="2175E2AC" w:rsidR="004D2B42" w:rsidRPr="00CD328D" w:rsidRDefault="004D2B42" w:rsidP="004D2B42">
            <w:pPr>
              <w:pStyle w:val="NoSpacing"/>
              <w:rPr>
                <w:b/>
                <w:bCs/>
                <w:sz w:val="21"/>
                <w:szCs w:val="21"/>
              </w:rPr>
            </w:pPr>
            <w:r w:rsidRPr="00CD328D">
              <w:rPr>
                <w:rFonts w:cs="Arial"/>
                <w:b/>
                <w:bCs/>
                <w:sz w:val="21"/>
                <w:szCs w:val="21"/>
              </w:rPr>
              <w:t>Digest</w:t>
            </w:r>
          </w:p>
        </w:tc>
        <w:tc>
          <w:tcPr>
            <w:tcW w:w="900" w:type="dxa"/>
          </w:tcPr>
          <w:p w14:paraId="37A9782B" w14:textId="42859FA6" w:rsidR="004D2B42" w:rsidRPr="00CD328D" w:rsidRDefault="004D2B42" w:rsidP="004D2B42">
            <w:pPr>
              <w:pStyle w:val="NoSpacing"/>
              <w:rPr>
                <w:b/>
                <w:bCs/>
                <w:sz w:val="21"/>
                <w:szCs w:val="21"/>
              </w:rPr>
            </w:pPr>
            <w:r w:rsidRPr="00CD328D">
              <w:rPr>
                <w:rFonts w:cs="Arial"/>
                <w:b/>
                <w:bCs/>
                <w:sz w:val="21"/>
                <w:szCs w:val="21"/>
              </w:rPr>
              <w:t>Resp</w:t>
            </w:r>
          </w:p>
        </w:tc>
        <w:tc>
          <w:tcPr>
            <w:tcW w:w="900" w:type="dxa"/>
          </w:tcPr>
          <w:p w14:paraId="7B73D7D8" w14:textId="1B4A81DE" w:rsidR="004D2B42" w:rsidRPr="00CD328D" w:rsidRDefault="004D2B42" w:rsidP="004D2B42">
            <w:pPr>
              <w:pStyle w:val="NoSpacing"/>
              <w:rPr>
                <w:b/>
                <w:bCs/>
                <w:sz w:val="21"/>
                <w:szCs w:val="21"/>
              </w:rPr>
            </w:pPr>
            <w:r w:rsidRPr="00CD328D">
              <w:rPr>
                <w:rFonts w:cs="Arial"/>
                <w:b/>
                <w:bCs/>
                <w:sz w:val="21"/>
                <w:szCs w:val="21"/>
              </w:rPr>
              <w:t>Total</w:t>
            </w:r>
          </w:p>
        </w:tc>
        <w:tc>
          <w:tcPr>
            <w:tcW w:w="810" w:type="dxa"/>
          </w:tcPr>
          <w:p w14:paraId="262C6B96" w14:textId="1464DDF8" w:rsidR="004D2B42" w:rsidRPr="00CD328D" w:rsidRDefault="004D2B42" w:rsidP="004D2B42">
            <w:pPr>
              <w:pStyle w:val="NoSpacing"/>
              <w:rPr>
                <w:b/>
                <w:bCs/>
                <w:sz w:val="21"/>
                <w:szCs w:val="21"/>
              </w:rPr>
            </w:pPr>
            <w:r w:rsidRPr="00CD328D">
              <w:rPr>
                <w:rFonts w:cs="Arial"/>
                <w:b/>
                <w:bCs/>
                <w:sz w:val="21"/>
                <w:szCs w:val="21"/>
              </w:rPr>
              <w:t>IV</w:t>
            </w:r>
          </w:p>
        </w:tc>
        <w:tc>
          <w:tcPr>
            <w:tcW w:w="810" w:type="dxa"/>
          </w:tcPr>
          <w:p w14:paraId="1128258C" w14:textId="7CA42F08" w:rsidR="004D2B42" w:rsidRPr="00CD328D" w:rsidRDefault="004D2B42" w:rsidP="004D2B42">
            <w:pPr>
              <w:pStyle w:val="NoSpacing"/>
              <w:rPr>
                <w:b/>
                <w:bCs/>
                <w:sz w:val="21"/>
                <w:szCs w:val="21"/>
              </w:rPr>
            </w:pPr>
            <w:r w:rsidRPr="00CD328D">
              <w:rPr>
                <w:rFonts w:cs="Arial"/>
                <w:b/>
                <w:bCs/>
                <w:sz w:val="21"/>
                <w:szCs w:val="21"/>
              </w:rPr>
              <w:t>IM</w:t>
            </w:r>
          </w:p>
        </w:tc>
        <w:tc>
          <w:tcPr>
            <w:tcW w:w="900" w:type="dxa"/>
          </w:tcPr>
          <w:p w14:paraId="4C352D59" w14:textId="41AD5219" w:rsidR="004D2B42" w:rsidRPr="00CD328D" w:rsidRDefault="004D2B42" w:rsidP="004D2B42">
            <w:pPr>
              <w:pStyle w:val="NoSpacing"/>
              <w:rPr>
                <w:b/>
                <w:bCs/>
                <w:sz w:val="21"/>
                <w:szCs w:val="21"/>
              </w:rPr>
            </w:pPr>
            <w:r w:rsidRPr="00CD328D">
              <w:rPr>
                <w:rFonts w:cs="Arial"/>
                <w:b/>
                <w:bCs/>
                <w:sz w:val="21"/>
                <w:szCs w:val="21"/>
              </w:rPr>
              <w:t>Digest</w:t>
            </w:r>
          </w:p>
        </w:tc>
        <w:tc>
          <w:tcPr>
            <w:tcW w:w="900" w:type="dxa"/>
          </w:tcPr>
          <w:p w14:paraId="2F197FBB" w14:textId="31335D3A" w:rsidR="004D2B42" w:rsidRPr="00CD328D" w:rsidRDefault="004D2B42" w:rsidP="004D2B42">
            <w:pPr>
              <w:pStyle w:val="NoSpacing"/>
              <w:rPr>
                <w:b/>
                <w:bCs/>
                <w:sz w:val="21"/>
                <w:szCs w:val="21"/>
              </w:rPr>
            </w:pPr>
            <w:r w:rsidRPr="00CD328D">
              <w:rPr>
                <w:rFonts w:cs="Arial"/>
                <w:b/>
                <w:bCs/>
                <w:sz w:val="21"/>
                <w:szCs w:val="21"/>
              </w:rPr>
              <w:t>Resp</w:t>
            </w:r>
          </w:p>
        </w:tc>
      </w:tr>
      <w:tr w:rsidR="003B0088" w14:paraId="02016FCF" w14:textId="77777777" w:rsidTr="003B0088">
        <w:tc>
          <w:tcPr>
            <w:tcW w:w="1530" w:type="dxa"/>
          </w:tcPr>
          <w:p w14:paraId="18529E33" w14:textId="77777777" w:rsidR="004D2B42" w:rsidRPr="00CD328D" w:rsidRDefault="004D2B42" w:rsidP="004D2B42">
            <w:pPr>
              <w:pStyle w:val="NoSpacing"/>
              <w:rPr>
                <w:sz w:val="21"/>
                <w:szCs w:val="21"/>
              </w:rPr>
            </w:pPr>
          </w:p>
        </w:tc>
        <w:tc>
          <w:tcPr>
            <w:tcW w:w="900" w:type="dxa"/>
          </w:tcPr>
          <w:p w14:paraId="348BCFEA" w14:textId="77777777" w:rsidR="004D2B42" w:rsidRPr="00CD328D" w:rsidRDefault="004D2B42" w:rsidP="004D2B42">
            <w:pPr>
              <w:pStyle w:val="NoSpacing"/>
              <w:rPr>
                <w:sz w:val="21"/>
                <w:szCs w:val="21"/>
              </w:rPr>
            </w:pPr>
          </w:p>
        </w:tc>
        <w:tc>
          <w:tcPr>
            <w:tcW w:w="720" w:type="dxa"/>
          </w:tcPr>
          <w:p w14:paraId="72B40D7E" w14:textId="77777777" w:rsidR="004D2B42" w:rsidRPr="00CD328D" w:rsidRDefault="004D2B42" w:rsidP="004D2B42">
            <w:pPr>
              <w:pStyle w:val="NoSpacing"/>
              <w:rPr>
                <w:sz w:val="21"/>
                <w:szCs w:val="21"/>
              </w:rPr>
            </w:pPr>
          </w:p>
        </w:tc>
        <w:tc>
          <w:tcPr>
            <w:tcW w:w="720" w:type="dxa"/>
          </w:tcPr>
          <w:p w14:paraId="007683C1" w14:textId="77777777" w:rsidR="004D2B42" w:rsidRPr="00CD328D" w:rsidRDefault="004D2B42" w:rsidP="004D2B42">
            <w:pPr>
              <w:pStyle w:val="NoSpacing"/>
              <w:rPr>
                <w:sz w:val="21"/>
                <w:szCs w:val="21"/>
              </w:rPr>
            </w:pPr>
          </w:p>
        </w:tc>
        <w:tc>
          <w:tcPr>
            <w:tcW w:w="900" w:type="dxa"/>
          </w:tcPr>
          <w:p w14:paraId="5DA922A8" w14:textId="77777777" w:rsidR="004D2B42" w:rsidRPr="00CD328D" w:rsidRDefault="004D2B42" w:rsidP="004D2B42">
            <w:pPr>
              <w:pStyle w:val="NoSpacing"/>
              <w:rPr>
                <w:sz w:val="21"/>
                <w:szCs w:val="21"/>
              </w:rPr>
            </w:pPr>
          </w:p>
        </w:tc>
        <w:tc>
          <w:tcPr>
            <w:tcW w:w="900" w:type="dxa"/>
          </w:tcPr>
          <w:p w14:paraId="3CA372EE" w14:textId="77777777" w:rsidR="004D2B42" w:rsidRPr="00CD328D" w:rsidRDefault="004D2B42" w:rsidP="004D2B42">
            <w:pPr>
              <w:pStyle w:val="NoSpacing"/>
              <w:rPr>
                <w:sz w:val="21"/>
                <w:szCs w:val="21"/>
              </w:rPr>
            </w:pPr>
          </w:p>
        </w:tc>
        <w:tc>
          <w:tcPr>
            <w:tcW w:w="900" w:type="dxa"/>
          </w:tcPr>
          <w:p w14:paraId="657CE8FA" w14:textId="77777777" w:rsidR="004D2B42" w:rsidRPr="00CD328D" w:rsidRDefault="004D2B42" w:rsidP="004D2B42">
            <w:pPr>
              <w:pStyle w:val="NoSpacing"/>
              <w:rPr>
                <w:sz w:val="21"/>
                <w:szCs w:val="21"/>
              </w:rPr>
            </w:pPr>
          </w:p>
        </w:tc>
        <w:tc>
          <w:tcPr>
            <w:tcW w:w="810" w:type="dxa"/>
          </w:tcPr>
          <w:p w14:paraId="0402BAD5" w14:textId="77777777" w:rsidR="004D2B42" w:rsidRPr="00CD328D" w:rsidRDefault="004D2B42" w:rsidP="004D2B42">
            <w:pPr>
              <w:pStyle w:val="NoSpacing"/>
              <w:rPr>
                <w:sz w:val="21"/>
                <w:szCs w:val="21"/>
              </w:rPr>
            </w:pPr>
          </w:p>
        </w:tc>
        <w:tc>
          <w:tcPr>
            <w:tcW w:w="810" w:type="dxa"/>
          </w:tcPr>
          <w:p w14:paraId="77C62217" w14:textId="77777777" w:rsidR="004D2B42" w:rsidRPr="00CD328D" w:rsidRDefault="004D2B42" w:rsidP="004D2B42">
            <w:pPr>
              <w:pStyle w:val="NoSpacing"/>
              <w:rPr>
                <w:sz w:val="21"/>
                <w:szCs w:val="21"/>
              </w:rPr>
            </w:pPr>
          </w:p>
        </w:tc>
        <w:tc>
          <w:tcPr>
            <w:tcW w:w="900" w:type="dxa"/>
          </w:tcPr>
          <w:p w14:paraId="0716CCB6" w14:textId="77777777" w:rsidR="004D2B42" w:rsidRPr="00CD328D" w:rsidRDefault="004D2B42" w:rsidP="004D2B42">
            <w:pPr>
              <w:pStyle w:val="NoSpacing"/>
              <w:rPr>
                <w:sz w:val="21"/>
                <w:szCs w:val="21"/>
              </w:rPr>
            </w:pPr>
          </w:p>
        </w:tc>
        <w:tc>
          <w:tcPr>
            <w:tcW w:w="900" w:type="dxa"/>
          </w:tcPr>
          <w:p w14:paraId="10B81B71" w14:textId="77777777" w:rsidR="004D2B42" w:rsidRPr="00CD328D" w:rsidRDefault="004D2B42" w:rsidP="004D2B42">
            <w:pPr>
              <w:pStyle w:val="NoSpacing"/>
              <w:rPr>
                <w:sz w:val="21"/>
                <w:szCs w:val="21"/>
              </w:rPr>
            </w:pPr>
          </w:p>
        </w:tc>
      </w:tr>
      <w:tr w:rsidR="003B0088" w14:paraId="64FEE91E" w14:textId="77777777" w:rsidTr="003B0088">
        <w:tc>
          <w:tcPr>
            <w:tcW w:w="1530" w:type="dxa"/>
          </w:tcPr>
          <w:p w14:paraId="0C2AFCB1" w14:textId="77777777" w:rsidR="004D2B42" w:rsidRPr="00CD328D" w:rsidRDefault="004D2B42" w:rsidP="004D2B42">
            <w:pPr>
              <w:pStyle w:val="NoSpacing"/>
              <w:rPr>
                <w:sz w:val="21"/>
                <w:szCs w:val="21"/>
              </w:rPr>
            </w:pPr>
          </w:p>
        </w:tc>
        <w:tc>
          <w:tcPr>
            <w:tcW w:w="900" w:type="dxa"/>
          </w:tcPr>
          <w:p w14:paraId="682CD763" w14:textId="77777777" w:rsidR="004D2B42" w:rsidRPr="00CD328D" w:rsidRDefault="004D2B42" w:rsidP="004D2B42">
            <w:pPr>
              <w:pStyle w:val="NoSpacing"/>
              <w:rPr>
                <w:sz w:val="21"/>
                <w:szCs w:val="21"/>
              </w:rPr>
            </w:pPr>
          </w:p>
        </w:tc>
        <w:tc>
          <w:tcPr>
            <w:tcW w:w="720" w:type="dxa"/>
          </w:tcPr>
          <w:p w14:paraId="1B4FCD92" w14:textId="77777777" w:rsidR="004D2B42" w:rsidRPr="00CD328D" w:rsidRDefault="004D2B42" w:rsidP="004D2B42">
            <w:pPr>
              <w:pStyle w:val="NoSpacing"/>
              <w:rPr>
                <w:sz w:val="21"/>
                <w:szCs w:val="21"/>
              </w:rPr>
            </w:pPr>
          </w:p>
        </w:tc>
        <w:tc>
          <w:tcPr>
            <w:tcW w:w="720" w:type="dxa"/>
          </w:tcPr>
          <w:p w14:paraId="5F8E11B6" w14:textId="77777777" w:rsidR="004D2B42" w:rsidRPr="00CD328D" w:rsidRDefault="004D2B42" w:rsidP="004D2B42">
            <w:pPr>
              <w:pStyle w:val="NoSpacing"/>
              <w:rPr>
                <w:sz w:val="21"/>
                <w:szCs w:val="21"/>
              </w:rPr>
            </w:pPr>
          </w:p>
        </w:tc>
        <w:tc>
          <w:tcPr>
            <w:tcW w:w="900" w:type="dxa"/>
          </w:tcPr>
          <w:p w14:paraId="684A4B61" w14:textId="77777777" w:rsidR="004D2B42" w:rsidRPr="00CD328D" w:rsidRDefault="004D2B42" w:rsidP="004D2B42">
            <w:pPr>
              <w:pStyle w:val="NoSpacing"/>
              <w:rPr>
                <w:sz w:val="21"/>
                <w:szCs w:val="21"/>
              </w:rPr>
            </w:pPr>
          </w:p>
        </w:tc>
        <w:tc>
          <w:tcPr>
            <w:tcW w:w="900" w:type="dxa"/>
          </w:tcPr>
          <w:p w14:paraId="053AC765" w14:textId="77777777" w:rsidR="004D2B42" w:rsidRPr="00CD328D" w:rsidRDefault="004D2B42" w:rsidP="004D2B42">
            <w:pPr>
              <w:pStyle w:val="NoSpacing"/>
              <w:rPr>
                <w:sz w:val="21"/>
                <w:szCs w:val="21"/>
              </w:rPr>
            </w:pPr>
          </w:p>
        </w:tc>
        <w:tc>
          <w:tcPr>
            <w:tcW w:w="900" w:type="dxa"/>
          </w:tcPr>
          <w:p w14:paraId="3B002A89" w14:textId="77777777" w:rsidR="004D2B42" w:rsidRPr="00CD328D" w:rsidRDefault="004D2B42" w:rsidP="004D2B42">
            <w:pPr>
              <w:pStyle w:val="NoSpacing"/>
              <w:rPr>
                <w:sz w:val="21"/>
                <w:szCs w:val="21"/>
              </w:rPr>
            </w:pPr>
          </w:p>
        </w:tc>
        <w:tc>
          <w:tcPr>
            <w:tcW w:w="810" w:type="dxa"/>
          </w:tcPr>
          <w:p w14:paraId="106C9021" w14:textId="77777777" w:rsidR="004D2B42" w:rsidRPr="00CD328D" w:rsidRDefault="004D2B42" w:rsidP="004D2B42">
            <w:pPr>
              <w:pStyle w:val="NoSpacing"/>
              <w:rPr>
                <w:sz w:val="21"/>
                <w:szCs w:val="21"/>
              </w:rPr>
            </w:pPr>
          </w:p>
        </w:tc>
        <w:tc>
          <w:tcPr>
            <w:tcW w:w="810" w:type="dxa"/>
          </w:tcPr>
          <w:p w14:paraId="2FE20AF8" w14:textId="77777777" w:rsidR="004D2B42" w:rsidRPr="00CD328D" w:rsidRDefault="004D2B42" w:rsidP="004D2B42">
            <w:pPr>
              <w:pStyle w:val="NoSpacing"/>
              <w:rPr>
                <w:sz w:val="21"/>
                <w:szCs w:val="21"/>
              </w:rPr>
            </w:pPr>
          </w:p>
        </w:tc>
        <w:tc>
          <w:tcPr>
            <w:tcW w:w="900" w:type="dxa"/>
          </w:tcPr>
          <w:p w14:paraId="0DCBA2CA" w14:textId="77777777" w:rsidR="004D2B42" w:rsidRPr="00CD328D" w:rsidRDefault="004D2B42" w:rsidP="004D2B42">
            <w:pPr>
              <w:pStyle w:val="NoSpacing"/>
              <w:rPr>
                <w:sz w:val="21"/>
                <w:szCs w:val="21"/>
              </w:rPr>
            </w:pPr>
          </w:p>
        </w:tc>
        <w:tc>
          <w:tcPr>
            <w:tcW w:w="900" w:type="dxa"/>
          </w:tcPr>
          <w:p w14:paraId="5830D8ED" w14:textId="77777777" w:rsidR="004D2B42" w:rsidRPr="00CD328D" w:rsidRDefault="004D2B42" w:rsidP="004D2B42">
            <w:pPr>
              <w:pStyle w:val="NoSpacing"/>
              <w:rPr>
                <w:sz w:val="21"/>
                <w:szCs w:val="21"/>
              </w:rPr>
            </w:pPr>
          </w:p>
        </w:tc>
      </w:tr>
    </w:tbl>
    <w:p w14:paraId="26853351" w14:textId="7982F5D8" w:rsidR="004D2B42" w:rsidRDefault="004D2B42" w:rsidP="004D2B42">
      <w:pPr>
        <w:pStyle w:val="NoSpacing"/>
      </w:pPr>
    </w:p>
    <w:p w14:paraId="301E5016" w14:textId="0496DCC0" w:rsidR="00FE034E" w:rsidRPr="00CD328D" w:rsidRDefault="00FE034E" w:rsidP="00FE034E">
      <w:pPr>
        <w:pStyle w:val="NoSpacing"/>
        <w:numPr>
          <w:ilvl w:val="0"/>
          <w:numId w:val="10"/>
        </w:numPr>
        <w:rPr>
          <w:sz w:val="21"/>
          <w:szCs w:val="21"/>
        </w:rPr>
      </w:pPr>
      <w:r w:rsidRPr="00CD328D">
        <w:rPr>
          <w:b/>
          <w:bCs/>
          <w:sz w:val="21"/>
          <w:szCs w:val="21"/>
        </w:rPr>
        <w:t>Question</w:t>
      </w:r>
      <w:r w:rsidRPr="00CD328D">
        <w:rPr>
          <w:sz w:val="21"/>
          <w:szCs w:val="21"/>
        </w:rPr>
        <w:t>: On the days of admission and transfer or discharge, were antimicrobial days (if administered an antimicrobial agent) attributed to that patient care location even though the patient was only there for a partial day? (Y/N)</w:t>
      </w:r>
    </w:p>
    <w:p w14:paraId="2A9F6F6B" w14:textId="50943EB4" w:rsidR="00E46F77" w:rsidRPr="00CD328D" w:rsidRDefault="00E46F77" w:rsidP="00E46F77">
      <w:pPr>
        <w:pStyle w:val="NoSpacing"/>
        <w:ind w:left="720"/>
        <w:rPr>
          <w:sz w:val="21"/>
          <w:szCs w:val="21"/>
        </w:rPr>
      </w:pPr>
    </w:p>
    <w:p w14:paraId="62367267" w14:textId="77777777" w:rsidR="00E46F77" w:rsidRPr="00CD328D" w:rsidRDefault="00E46F77" w:rsidP="00E7261C">
      <w:pPr>
        <w:pStyle w:val="NoSpacing"/>
        <w:ind w:left="720"/>
        <w:rPr>
          <w:sz w:val="21"/>
          <w:szCs w:val="21"/>
        </w:rPr>
      </w:pPr>
    </w:p>
    <w:p w14:paraId="422DA825" w14:textId="6C985C32" w:rsidR="00FE034E" w:rsidRPr="00CD328D" w:rsidRDefault="00FE034E" w:rsidP="00FE034E">
      <w:pPr>
        <w:pStyle w:val="NoSpacing"/>
        <w:rPr>
          <w:sz w:val="21"/>
          <w:szCs w:val="21"/>
        </w:rPr>
      </w:pPr>
    </w:p>
    <w:p w14:paraId="2C15D251" w14:textId="0715731E" w:rsidR="00FE034E" w:rsidRPr="00CD328D" w:rsidRDefault="00FE034E" w:rsidP="003B0088">
      <w:pPr>
        <w:pStyle w:val="NoSpacing"/>
        <w:ind w:firstLine="720"/>
        <w:rPr>
          <w:sz w:val="21"/>
          <w:szCs w:val="21"/>
        </w:rPr>
      </w:pPr>
      <w:r w:rsidRPr="00CD328D">
        <w:rPr>
          <w:sz w:val="21"/>
          <w:szCs w:val="21"/>
        </w:rPr>
        <w:t>Month, Year:</w:t>
      </w:r>
    </w:p>
    <w:tbl>
      <w:tblPr>
        <w:tblStyle w:val="TableGrid"/>
        <w:tblW w:w="0" w:type="auto"/>
        <w:tblInd w:w="355" w:type="dxa"/>
        <w:tblLook w:val="04A0" w:firstRow="1" w:lastRow="0" w:firstColumn="1" w:lastColumn="0" w:noHBand="0" w:noVBand="1"/>
      </w:tblPr>
      <w:tblGrid>
        <w:gridCol w:w="3330"/>
        <w:gridCol w:w="3330"/>
        <w:gridCol w:w="3330"/>
      </w:tblGrid>
      <w:tr w:rsidR="00FE034E" w:rsidRPr="00CD328D" w14:paraId="3BB97D1B" w14:textId="77777777" w:rsidTr="00A55F20">
        <w:tc>
          <w:tcPr>
            <w:tcW w:w="3330" w:type="dxa"/>
            <w:vAlign w:val="center"/>
          </w:tcPr>
          <w:p w14:paraId="737FDC10" w14:textId="2E744A74" w:rsidR="00FE034E" w:rsidRPr="00CD328D" w:rsidRDefault="00FE034E" w:rsidP="00A55F20">
            <w:pPr>
              <w:pStyle w:val="NoSpacing"/>
              <w:rPr>
                <w:b/>
                <w:bCs/>
                <w:sz w:val="21"/>
                <w:szCs w:val="21"/>
              </w:rPr>
            </w:pPr>
            <w:r w:rsidRPr="00CD328D">
              <w:rPr>
                <w:b/>
                <w:bCs/>
                <w:sz w:val="21"/>
                <w:szCs w:val="21"/>
              </w:rPr>
              <w:t>Location</w:t>
            </w:r>
          </w:p>
        </w:tc>
        <w:tc>
          <w:tcPr>
            <w:tcW w:w="3330" w:type="dxa"/>
            <w:vAlign w:val="center"/>
          </w:tcPr>
          <w:p w14:paraId="0B2A3B2A" w14:textId="56A9BD6B" w:rsidR="00FE034E" w:rsidRPr="00CD328D" w:rsidRDefault="00FE034E" w:rsidP="00A55F20">
            <w:pPr>
              <w:pStyle w:val="NoSpacing"/>
              <w:rPr>
                <w:b/>
                <w:bCs/>
                <w:sz w:val="21"/>
                <w:szCs w:val="21"/>
              </w:rPr>
            </w:pPr>
            <w:r w:rsidRPr="00CD328D">
              <w:rPr>
                <w:b/>
                <w:bCs/>
                <w:sz w:val="21"/>
                <w:szCs w:val="21"/>
              </w:rPr>
              <w:t>Manual Aggregation of Days Present</w:t>
            </w:r>
          </w:p>
        </w:tc>
        <w:tc>
          <w:tcPr>
            <w:tcW w:w="3330" w:type="dxa"/>
            <w:vAlign w:val="center"/>
          </w:tcPr>
          <w:p w14:paraId="6E2C7CB7" w14:textId="3CE6D826" w:rsidR="00FE034E" w:rsidRPr="00CD328D" w:rsidRDefault="00FE034E" w:rsidP="00A55F20">
            <w:pPr>
              <w:pStyle w:val="NoSpacing"/>
              <w:rPr>
                <w:b/>
                <w:bCs/>
                <w:sz w:val="21"/>
                <w:szCs w:val="21"/>
              </w:rPr>
            </w:pPr>
            <w:r w:rsidRPr="00CD328D">
              <w:rPr>
                <w:b/>
                <w:bCs/>
                <w:sz w:val="21"/>
                <w:szCs w:val="21"/>
              </w:rPr>
              <w:t>Vendor Software Aggregation of Days Present</w:t>
            </w:r>
          </w:p>
        </w:tc>
      </w:tr>
      <w:tr w:rsidR="00FE034E" w:rsidRPr="00CD328D" w14:paraId="655881BE" w14:textId="77777777" w:rsidTr="003B0088">
        <w:tc>
          <w:tcPr>
            <w:tcW w:w="3330" w:type="dxa"/>
          </w:tcPr>
          <w:p w14:paraId="56013BC4" w14:textId="77777777" w:rsidR="00FE034E" w:rsidRPr="00CD328D" w:rsidRDefault="00FE034E" w:rsidP="00FE034E">
            <w:pPr>
              <w:pStyle w:val="NoSpacing"/>
              <w:rPr>
                <w:sz w:val="21"/>
                <w:szCs w:val="21"/>
              </w:rPr>
            </w:pPr>
          </w:p>
        </w:tc>
        <w:tc>
          <w:tcPr>
            <w:tcW w:w="3330" w:type="dxa"/>
          </w:tcPr>
          <w:p w14:paraId="085EA892" w14:textId="77777777" w:rsidR="00FE034E" w:rsidRPr="00CD328D" w:rsidRDefault="00FE034E" w:rsidP="00FE034E">
            <w:pPr>
              <w:pStyle w:val="NoSpacing"/>
              <w:rPr>
                <w:sz w:val="21"/>
                <w:szCs w:val="21"/>
              </w:rPr>
            </w:pPr>
          </w:p>
        </w:tc>
        <w:tc>
          <w:tcPr>
            <w:tcW w:w="3330" w:type="dxa"/>
          </w:tcPr>
          <w:p w14:paraId="32759EC4" w14:textId="77777777" w:rsidR="00FE034E" w:rsidRPr="00CD328D" w:rsidRDefault="00FE034E" w:rsidP="00FE034E">
            <w:pPr>
              <w:pStyle w:val="NoSpacing"/>
              <w:rPr>
                <w:sz w:val="21"/>
                <w:szCs w:val="21"/>
              </w:rPr>
            </w:pPr>
          </w:p>
        </w:tc>
      </w:tr>
      <w:tr w:rsidR="00FE034E" w:rsidRPr="00CD328D" w14:paraId="54E2A266" w14:textId="77777777" w:rsidTr="003B0088">
        <w:tc>
          <w:tcPr>
            <w:tcW w:w="3330" w:type="dxa"/>
          </w:tcPr>
          <w:p w14:paraId="0F764D3D" w14:textId="77777777" w:rsidR="00FE034E" w:rsidRPr="00CD328D" w:rsidRDefault="00FE034E" w:rsidP="00FE034E">
            <w:pPr>
              <w:pStyle w:val="NoSpacing"/>
              <w:rPr>
                <w:sz w:val="21"/>
                <w:szCs w:val="21"/>
              </w:rPr>
            </w:pPr>
          </w:p>
        </w:tc>
        <w:tc>
          <w:tcPr>
            <w:tcW w:w="3330" w:type="dxa"/>
          </w:tcPr>
          <w:p w14:paraId="487DD043" w14:textId="77777777" w:rsidR="00FE034E" w:rsidRPr="00CD328D" w:rsidRDefault="00FE034E" w:rsidP="00FE034E">
            <w:pPr>
              <w:pStyle w:val="NoSpacing"/>
              <w:rPr>
                <w:sz w:val="21"/>
                <w:szCs w:val="21"/>
              </w:rPr>
            </w:pPr>
          </w:p>
        </w:tc>
        <w:tc>
          <w:tcPr>
            <w:tcW w:w="3330" w:type="dxa"/>
          </w:tcPr>
          <w:p w14:paraId="1DAB6F89" w14:textId="77777777" w:rsidR="00FE034E" w:rsidRPr="00CD328D" w:rsidRDefault="00FE034E" w:rsidP="00FE034E">
            <w:pPr>
              <w:pStyle w:val="NoSpacing"/>
              <w:rPr>
                <w:sz w:val="21"/>
                <w:szCs w:val="21"/>
              </w:rPr>
            </w:pPr>
          </w:p>
        </w:tc>
      </w:tr>
      <w:tr w:rsidR="00FE034E" w:rsidRPr="00CD328D" w14:paraId="5AE81777" w14:textId="77777777" w:rsidTr="003B0088">
        <w:tc>
          <w:tcPr>
            <w:tcW w:w="3330" w:type="dxa"/>
          </w:tcPr>
          <w:p w14:paraId="157D15C6" w14:textId="77777777" w:rsidR="00FE034E" w:rsidRPr="00CD328D" w:rsidRDefault="00FE034E" w:rsidP="00FE034E">
            <w:pPr>
              <w:pStyle w:val="NoSpacing"/>
              <w:rPr>
                <w:sz w:val="21"/>
                <w:szCs w:val="21"/>
              </w:rPr>
            </w:pPr>
          </w:p>
        </w:tc>
        <w:tc>
          <w:tcPr>
            <w:tcW w:w="3330" w:type="dxa"/>
          </w:tcPr>
          <w:p w14:paraId="7AB903EC" w14:textId="77777777" w:rsidR="00FE034E" w:rsidRPr="00CD328D" w:rsidRDefault="00FE034E" w:rsidP="00FE034E">
            <w:pPr>
              <w:pStyle w:val="NoSpacing"/>
              <w:rPr>
                <w:sz w:val="21"/>
                <w:szCs w:val="21"/>
              </w:rPr>
            </w:pPr>
          </w:p>
        </w:tc>
        <w:tc>
          <w:tcPr>
            <w:tcW w:w="3330" w:type="dxa"/>
          </w:tcPr>
          <w:p w14:paraId="26D88160" w14:textId="77777777" w:rsidR="00FE034E" w:rsidRPr="00CD328D" w:rsidRDefault="00FE034E" w:rsidP="00FE034E">
            <w:pPr>
              <w:pStyle w:val="NoSpacing"/>
              <w:rPr>
                <w:sz w:val="21"/>
                <w:szCs w:val="21"/>
              </w:rPr>
            </w:pPr>
          </w:p>
        </w:tc>
      </w:tr>
    </w:tbl>
    <w:p w14:paraId="5CEE05F6" w14:textId="1572C2B0" w:rsidR="00FE034E" w:rsidRPr="00CD328D" w:rsidRDefault="00FE034E" w:rsidP="00FE034E">
      <w:pPr>
        <w:pStyle w:val="NoSpacing"/>
        <w:rPr>
          <w:sz w:val="21"/>
          <w:szCs w:val="21"/>
        </w:rPr>
      </w:pPr>
    </w:p>
    <w:p w14:paraId="6EA3A5B0" w14:textId="41822227" w:rsidR="00FE034E" w:rsidRPr="00CD328D" w:rsidRDefault="00FE034E" w:rsidP="00FE034E">
      <w:pPr>
        <w:pStyle w:val="NoSpacing"/>
        <w:numPr>
          <w:ilvl w:val="0"/>
          <w:numId w:val="10"/>
        </w:numPr>
        <w:rPr>
          <w:sz w:val="21"/>
          <w:szCs w:val="21"/>
        </w:rPr>
      </w:pPr>
      <w:r w:rsidRPr="00CD328D">
        <w:rPr>
          <w:b/>
          <w:bCs/>
          <w:sz w:val="21"/>
          <w:szCs w:val="21"/>
        </w:rPr>
        <w:t>Question:</w:t>
      </w:r>
      <w:r w:rsidRPr="00CD328D">
        <w:rPr>
          <w:sz w:val="21"/>
          <w:szCs w:val="21"/>
        </w:rPr>
        <w:t xml:space="preserve"> On the days of admission and transfer or discharge, were days present attributed to that patient care location even though the patient was only there for a partial day? (Y/N)</w:t>
      </w:r>
    </w:p>
    <w:p w14:paraId="38651A8B" w14:textId="19B82150" w:rsidR="00E46F77" w:rsidRDefault="00E46F77" w:rsidP="00E46F77">
      <w:pPr>
        <w:pStyle w:val="NoSpacing"/>
        <w:rPr>
          <w:sz w:val="21"/>
          <w:szCs w:val="21"/>
        </w:rPr>
      </w:pPr>
    </w:p>
    <w:p w14:paraId="47E2B33C" w14:textId="5F02CEF9" w:rsidR="00E46F77" w:rsidRDefault="00E46F77" w:rsidP="00E46F77">
      <w:pPr>
        <w:pStyle w:val="NoSpacing"/>
        <w:rPr>
          <w:sz w:val="21"/>
          <w:szCs w:val="21"/>
        </w:rPr>
      </w:pPr>
    </w:p>
    <w:p w14:paraId="09CB1FEB" w14:textId="77777777" w:rsidR="00E46F77" w:rsidRPr="002D2D40" w:rsidRDefault="00E46F77" w:rsidP="00E7261C">
      <w:pPr>
        <w:pStyle w:val="NoSpacing"/>
        <w:rPr>
          <w:sz w:val="21"/>
          <w:szCs w:val="21"/>
        </w:rPr>
      </w:pPr>
    </w:p>
    <w:p w14:paraId="1F538436" w14:textId="0F308944" w:rsidR="00FE034E" w:rsidRDefault="00FE034E" w:rsidP="00AF0DE8">
      <w:pPr>
        <w:pStyle w:val="Heading4"/>
        <w:ind w:firstLine="720"/>
      </w:pPr>
      <w:r>
        <w:t>Aggregating FacWideIN</w:t>
      </w:r>
      <w:r w:rsidR="0066036F">
        <w:t xml:space="preserve"> antimicrobial days</w:t>
      </w:r>
    </w:p>
    <w:p w14:paraId="3B899A20" w14:textId="5DA13012" w:rsidR="00AF0DE8" w:rsidRPr="00CD328D" w:rsidRDefault="00AF0DE8" w:rsidP="00AF0DE8">
      <w:pPr>
        <w:pStyle w:val="NoSpacing"/>
        <w:ind w:left="720"/>
        <w:rPr>
          <w:sz w:val="21"/>
          <w:szCs w:val="21"/>
        </w:rPr>
      </w:pPr>
      <w:r w:rsidRPr="00CD328D">
        <w:rPr>
          <w:b/>
          <w:bCs/>
          <w:sz w:val="21"/>
          <w:szCs w:val="21"/>
        </w:rPr>
        <w:t>Methodology</w:t>
      </w:r>
      <w:r w:rsidRPr="00CD328D">
        <w:rPr>
          <w:sz w:val="21"/>
          <w:szCs w:val="21"/>
        </w:rPr>
        <w:t>: Choose three commonly used drugs, administer</w:t>
      </w:r>
      <w:r w:rsidR="0067471A">
        <w:rPr>
          <w:sz w:val="21"/>
          <w:szCs w:val="21"/>
        </w:rPr>
        <w:t>ed</w:t>
      </w:r>
      <w:r w:rsidRPr="00CD328D">
        <w:rPr>
          <w:sz w:val="21"/>
          <w:szCs w:val="21"/>
        </w:rPr>
        <w:t xml:space="preserve"> more than once per day, to confirm appropriate aggregation of FacWideIN antimicrobial days (see table </w:t>
      </w:r>
      <w:r w:rsidR="00432044">
        <w:rPr>
          <w:sz w:val="21"/>
          <w:szCs w:val="21"/>
        </w:rPr>
        <w:t>below)</w:t>
      </w:r>
      <w:r w:rsidRPr="00CD328D">
        <w:rPr>
          <w:sz w:val="21"/>
          <w:szCs w:val="21"/>
        </w:rPr>
        <w:t>.</w:t>
      </w:r>
    </w:p>
    <w:p w14:paraId="47E9F068" w14:textId="77777777" w:rsidR="00E46F77" w:rsidRPr="00CD328D" w:rsidRDefault="00E46F77" w:rsidP="00AF0DE8">
      <w:pPr>
        <w:pStyle w:val="NoSpacing"/>
        <w:ind w:left="720"/>
        <w:rPr>
          <w:sz w:val="21"/>
          <w:szCs w:val="21"/>
        </w:rPr>
      </w:pPr>
    </w:p>
    <w:p w14:paraId="49D8AC61" w14:textId="572E44E4" w:rsidR="00AF0DE8" w:rsidRPr="00CD328D" w:rsidRDefault="00AF0DE8" w:rsidP="00AF0DE8">
      <w:pPr>
        <w:pStyle w:val="NoSpacing"/>
        <w:ind w:left="720"/>
        <w:rPr>
          <w:sz w:val="21"/>
          <w:szCs w:val="21"/>
        </w:rPr>
      </w:pPr>
      <w:r w:rsidRPr="00CD328D">
        <w:rPr>
          <w:b/>
          <w:bCs/>
          <w:sz w:val="21"/>
          <w:szCs w:val="21"/>
        </w:rPr>
        <w:t>Example:</w:t>
      </w:r>
      <w:r w:rsidRPr="00CD328D">
        <w:rPr>
          <w:sz w:val="21"/>
          <w:szCs w:val="21"/>
        </w:rPr>
        <w:t xml:space="preserve"> The location specific piperacillin/tazobactam antimicrobial days may add up to be higher than the FacWideIN piperacillin/tazobactam antimicrobial days because piperacillin/tazobactam </w:t>
      </w:r>
      <w:r w:rsidR="0067471A">
        <w:rPr>
          <w:sz w:val="21"/>
          <w:szCs w:val="21"/>
        </w:rPr>
        <w:t xml:space="preserve">can be administered </w:t>
      </w:r>
      <w:r w:rsidRPr="00CD328D">
        <w:rPr>
          <w:sz w:val="21"/>
          <w:szCs w:val="21"/>
        </w:rPr>
        <w:t>more than once daily. Therefore, if a patient received piperacillin/tazobactam once in the medical ward in the morning then was transferred and received the remaining doses in the medical ICU, that patient would attribute one total piperacillin/tazobactam antimicrobial day to both the medical ward and the medical ICU but could still only attribute one total piperacillin/tazobactam for the FacWideIN count.</w:t>
      </w:r>
    </w:p>
    <w:p w14:paraId="7316376F" w14:textId="36599A4E" w:rsidR="002B2508" w:rsidRDefault="002B2508" w:rsidP="00AF0DE8">
      <w:pPr>
        <w:pStyle w:val="NoSpacing"/>
        <w:ind w:left="720"/>
        <w:rPr>
          <w:sz w:val="21"/>
          <w:szCs w:val="21"/>
        </w:rPr>
      </w:pPr>
    </w:p>
    <w:p w14:paraId="26817B47" w14:textId="50631D92" w:rsidR="002B2508" w:rsidRDefault="002B2508" w:rsidP="00AF0DE8">
      <w:pPr>
        <w:pStyle w:val="NoSpacing"/>
        <w:ind w:left="720"/>
        <w:rPr>
          <w:sz w:val="21"/>
          <w:szCs w:val="21"/>
        </w:rPr>
      </w:pPr>
    </w:p>
    <w:p w14:paraId="05724E86" w14:textId="0D3B0E0D" w:rsidR="002B2508" w:rsidRDefault="002B2508" w:rsidP="00AF0DE8">
      <w:pPr>
        <w:pStyle w:val="NoSpacing"/>
        <w:ind w:left="720"/>
        <w:rPr>
          <w:sz w:val="21"/>
          <w:szCs w:val="21"/>
        </w:rPr>
      </w:pPr>
    </w:p>
    <w:p w14:paraId="2D96B202" w14:textId="0937D3CB" w:rsidR="002B2508" w:rsidRDefault="002B2508" w:rsidP="00AF0DE8">
      <w:pPr>
        <w:pStyle w:val="NoSpacing"/>
        <w:ind w:left="720"/>
        <w:rPr>
          <w:sz w:val="21"/>
          <w:szCs w:val="21"/>
        </w:rPr>
      </w:pPr>
    </w:p>
    <w:p w14:paraId="3DC4B6C9" w14:textId="77777777" w:rsidR="002B2508" w:rsidRPr="002D2D40" w:rsidRDefault="002B2508" w:rsidP="00AF0DE8">
      <w:pPr>
        <w:pStyle w:val="NoSpacing"/>
        <w:ind w:left="720"/>
        <w:rPr>
          <w:sz w:val="21"/>
          <w:szCs w:val="21"/>
        </w:rPr>
      </w:pPr>
    </w:p>
    <w:p w14:paraId="1F4D51FD" w14:textId="2515D3DE" w:rsidR="00AF0DE8" w:rsidRPr="00CD328D" w:rsidRDefault="00AF0DE8" w:rsidP="00AF0DE8">
      <w:pPr>
        <w:pStyle w:val="NoSpacing"/>
        <w:ind w:left="720"/>
        <w:rPr>
          <w:sz w:val="21"/>
          <w:szCs w:val="21"/>
        </w:rPr>
      </w:pPr>
      <w:r w:rsidRPr="00CD328D">
        <w:rPr>
          <w:sz w:val="21"/>
          <w:szCs w:val="21"/>
        </w:rPr>
        <w:lastRenderedPageBreak/>
        <w:t>Please list the drug-specific values of antimicrobial days for FacWideIN and the drug-specific values of antimicrobial days for the aggregate of all inpatient locations in the table</w:t>
      </w:r>
      <w:r w:rsidR="00400C1F">
        <w:rPr>
          <w:sz w:val="21"/>
          <w:szCs w:val="21"/>
        </w:rPr>
        <w:t xml:space="preserve"> the answer the questions</w:t>
      </w:r>
      <w:r w:rsidRPr="00CD328D">
        <w:rPr>
          <w:sz w:val="21"/>
          <w:szCs w:val="21"/>
        </w:rPr>
        <w:t xml:space="preserve"> below</w:t>
      </w:r>
      <w:r w:rsidR="00400C1F">
        <w:rPr>
          <w:sz w:val="21"/>
          <w:szCs w:val="21"/>
        </w:rPr>
        <w:t>.</w:t>
      </w:r>
    </w:p>
    <w:p w14:paraId="474C66C0" w14:textId="590EB65B" w:rsidR="00AF0DE8" w:rsidRPr="00CD328D" w:rsidRDefault="00AF0DE8" w:rsidP="00AF0DE8">
      <w:pPr>
        <w:pStyle w:val="NoSpacing"/>
        <w:rPr>
          <w:sz w:val="21"/>
          <w:szCs w:val="21"/>
        </w:rPr>
      </w:pPr>
    </w:p>
    <w:tbl>
      <w:tblPr>
        <w:tblStyle w:val="TableGrid"/>
        <w:tblW w:w="0" w:type="auto"/>
        <w:tblInd w:w="355" w:type="dxa"/>
        <w:tblLook w:val="04A0" w:firstRow="1" w:lastRow="0" w:firstColumn="1" w:lastColumn="0" w:noHBand="0" w:noVBand="1"/>
      </w:tblPr>
      <w:tblGrid>
        <w:gridCol w:w="1170"/>
        <w:gridCol w:w="2250"/>
        <w:gridCol w:w="2190"/>
        <w:gridCol w:w="2190"/>
        <w:gridCol w:w="2190"/>
      </w:tblGrid>
      <w:tr w:rsidR="00AF0DE8" w:rsidRPr="00CD328D" w14:paraId="56D79697" w14:textId="77777777" w:rsidTr="00A55F20">
        <w:tc>
          <w:tcPr>
            <w:tcW w:w="1170" w:type="dxa"/>
          </w:tcPr>
          <w:p w14:paraId="7BAC5BFF" w14:textId="77777777" w:rsidR="00AF0DE8" w:rsidRPr="00CD328D" w:rsidRDefault="00AF0DE8" w:rsidP="00AF0DE8">
            <w:pPr>
              <w:pStyle w:val="NoSpacing"/>
              <w:rPr>
                <w:sz w:val="21"/>
                <w:szCs w:val="21"/>
              </w:rPr>
            </w:pPr>
          </w:p>
        </w:tc>
        <w:tc>
          <w:tcPr>
            <w:tcW w:w="2250" w:type="dxa"/>
            <w:vAlign w:val="center"/>
          </w:tcPr>
          <w:p w14:paraId="1E524D2F" w14:textId="449C089B" w:rsidR="00AF0DE8" w:rsidRPr="00CD328D" w:rsidRDefault="00AF0DE8" w:rsidP="00AF0DE8">
            <w:pPr>
              <w:pStyle w:val="NoSpacing"/>
              <w:rPr>
                <w:sz w:val="21"/>
                <w:szCs w:val="21"/>
              </w:rPr>
            </w:pPr>
            <w:r w:rsidRPr="00CD328D">
              <w:rPr>
                <w:rFonts w:cs="Arial"/>
                <w:b/>
                <w:sz w:val="21"/>
                <w:szCs w:val="21"/>
              </w:rPr>
              <w:t>Drug Name</w:t>
            </w:r>
          </w:p>
        </w:tc>
        <w:tc>
          <w:tcPr>
            <w:tcW w:w="2190" w:type="dxa"/>
            <w:vAlign w:val="center"/>
          </w:tcPr>
          <w:p w14:paraId="5667CE2D" w14:textId="3102FCC0" w:rsidR="00AF0DE8" w:rsidRPr="00CD328D" w:rsidRDefault="00AF0DE8" w:rsidP="00AF0DE8">
            <w:pPr>
              <w:pStyle w:val="NoSpacing"/>
              <w:rPr>
                <w:sz w:val="21"/>
                <w:szCs w:val="21"/>
              </w:rPr>
            </w:pPr>
            <w:r w:rsidRPr="00CD328D">
              <w:rPr>
                <w:rFonts w:cs="Arial"/>
                <w:b/>
                <w:sz w:val="21"/>
                <w:szCs w:val="21"/>
              </w:rPr>
              <w:t>Month/Year</w:t>
            </w:r>
          </w:p>
        </w:tc>
        <w:tc>
          <w:tcPr>
            <w:tcW w:w="2190" w:type="dxa"/>
            <w:vAlign w:val="center"/>
          </w:tcPr>
          <w:p w14:paraId="675D86D6" w14:textId="5AA70E71" w:rsidR="00AF0DE8" w:rsidRPr="00CD328D" w:rsidRDefault="00AF0DE8" w:rsidP="00AF0DE8">
            <w:pPr>
              <w:pStyle w:val="NoSpacing"/>
              <w:rPr>
                <w:sz w:val="21"/>
                <w:szCs w:val="21"/>
              </w:rPr>
            </w:pPr>
            <w:r w:rsidRPr="00CD328D">
              <w:rPr>
                <w:rFonts w:cs="Arial"/>
                <w:b/>
                <w:sz w:val="21"/>
                <w:szCs w:val="21"/>
              </w:rPr>
              <w:t>Total Antimicrobial Days for FacWideIN</w:t>
            </w:r>
          </w:p>
        </w:tc>
        <w:tc>
          <w:tcPr>
            <w:tcW w:w="2190" w:type="dxa"/>
            <w:vAlign w:val="center"/>
          </w:tcPr>
          <w:p w14:paraId="0A0AAE91" w14:textId="55E1E3D6" w:rsidR="00AF0DE8" w:rsidRPr="00CD328D" w:rsidRDefault="00AF0DE8" w:rsidP="00AF0DE8">
            <w:pPr>
              <w:pStyle w:val="NoSpacing"/>
              <w:rPr>
                <w:sz w:val="21"/>
                <w:szCs w:val="21"/>
              </w:rPr>
            </w:pPr>
            <w:r w:rsidRPr="00CD328D">
              <w:rPr>
                <w:rFonts w:cs="Arial"/>
                <w:b/>
                <w:sz w:val="21"/>
                <w:szCs w:val="21"/>
              </w:rPr>
              <w:t>Total Antimicrobial Days for aggregate of all individual inpatient locations</w:t>
            </w:r>
          </w:p>
        </w:tc>
      </w:tr>
      <w:tr w:rsidR="00AF0DE8" w:rsidRPr="00CD328D" w14:paraId="211F4DFE" w14:textId="77777777" w:rsidTr="00A55F20">
        <w:tc>
          <w:tcPr>
            <w:tcW w:w="1170" w:type="dxa"/>
          </w:tcPr>
          <w:p w14:paraId="27B8F540" w14:textId="4BC896B5" w:rsidR="00AF0DE8" w:rsidRPr="00CD328D" w:rsidRDefault="00AF0DE8" w:rsidP="00AF0DE8">
            <w:pPr>
              <w:pStyle w:val="NoSpacing"/>
              <w:rPr>
                <w:b/>
                <w:bCs/>
                <w:sz w:val="21"/>
                <w:szCs w:val="21"/>
              </w:rPr>
            </w:pPr>
            <w:r w:rsidRPr="00CD328D">
              <w:rPr>
                <w:b/>
                <w:bCs/>
                <w:sz w:val="21"/>
                <w:szCs w:val="21"/>
              </w:rPr>
              <w:t>Drug 1</w:t>
            </w:r>
          </w:p>
        </w:tc>
        <w:tc>
          <w:tcPr>
            <w:tcW w:w="2250" w:type="dxa"/>
          </w:tcPr>
          <w:p w14:paraId="7DA55C48" w14:textId="77777777" w:rsidR="00AF0DE8" w:rsidRPr="00CD328D" w:rsidRDefault="00AF0DE8" w:rsidP="00AF0DE8">
            <w:pPr>
              <w:pStyle w:val="NoSpacing"/>
              <w:rPr>
                <w:sz w:val="21"/>
                <w:szCs w:val="21"/>
              </w:rPr>
            </w:pPr>
          </w:p>
        </w:tc>
        <w:tc>
          <w:tcPr>
            <w:tcW w:w="2190" w:type="dxa"/>
          </w:tcPr>
          <w:p w14:paraId="4BD233A9" w14:textId="77777777" w:rsidR="00AF0DE8" w:rsidRPr="00CD328D" w:rsidRDefault="00AF0DE8" w:rsidP="00AF0DE8">
            <w:pPr>
              <w:pStyle w:val="NoSpacing"/>
              <w:rPr>
                <w:sz w:val="21"/>
                <w:szCs w:val="21"/>
              </w:rPr>
            </w:pPr>
          </w:p>
        </w:tc>
        <w:tc>
          <w:tcPr>
            <w:tcW w:w="2190" w:type="dxa"/>
          </w:tcPr>
          <w:p w14:paraId="5A14BDD3" w14:textId="77777777" w:rsidR="00AF0DE8" w:rsidRPr="00CD328D" w:rsidRDefault="00AF0DE8" w:rsidP="00AF0DE8">
            <w:pPr>
              <w:pStyle w:val="NoSpacing"/>
              <w:rPr>
                <w:sz w:val="21"/>
                <w:szCs w:val="21"/>
              </w:rPr>
            </w:pPr>
          </w:p>
        </w:tc>
        <w:tc>
          <w:tcPr>
            <w:tcW w:w="2190" w:type="dxa"/>
          </w:tcPr>
          <w:p w14:paraId="68C322EA" w14:textId="77777777" w:rsidR="00AF0DE8" w:rsidRPr="00CD328D" w:rsidRDefault="00AF0DE8" w:rsidP="00AF0DE8">
            <w:pPr>
              <w:pStyle w:val="NoSpacing"/>
              <w:rPr>
                <w:sz w:val="21"/>
                <w:szCs w:val="21"/>
              </w:rPr>
            </w:pPr>
          </w:p>
        </w:tc>
      </w:tr>
      <w:tr w:rsidR="00AF0DE8" w:rsidRPr="00CD328D" w14:paraId="2871A448" w14:textId="77777777" w:rsidTr="00A55F20">
        <w:tc>
          <w:tcPr>
            <w:tcW w:w="1170" w:type="dxa"/>
          </w:tcPr>
          <w:p w14:paraId="48FFBABA" w14:textId="3ACAC6AE" w:rsidR="00AF0DE8" w:rsidRPr="00CD328D" w:rsidRDefault="00AF0DE8" w:rsidP="00AF0DE8">
            <w:pPr>
              <w:pStyle w:val="NoSpacing"/>
              <w:rPr>
                <w:b/>
                <w:bCs/>
                <w:sz w:val="21"/>
                <w:szCs w:val="21"/>
              </w:rPr>
            </w:pPr>
            <w:r w:rsidRPr="00CD328D">
              <w:rPr>
                <w:b/>
                <w:bCs/>
                <w:sz w:val="21"/>
                <w:szCs w:val="21"/>
              </w:rPr>
              <w:t>Drug 2</w:t>
            </w:r>
          </w:p>
        </w:tc>
        <w:tc>
          <w:tcPr>
            <w:tcW w:w="2250" w:type="dxa"/>
          </w:tcPr>
          <w:p w14:paraId="15AB46EB" w14:textId="77777777" w:rsidR="00AF0DE8" w:rsidRPr="00CD328D" w:rsidRDefault="00AF0DE8" w:rsidP="00AF0DE8">
            <w:pPr>
              <w:pStyle w:val="NoSpacing"/>
              <w:rPr>
                <w:sz w:val="21"/>
                <w:szCs w:val="21"/>
              </w:rPr>
            </w:pPr>
          </w:p>
        </w:tc>
        <w:tc>
          <w:tcPr>
            <w:tcW w:w="2190" w:type="dxa"/>
          </w:tcPr>
          <w:p w14:paraId="66CC5493" w14:textId="77777777" w:rsidR="00AF0DE8" w:rsidRPr="00CD328D" w:rsidRDefault="00AF0DE8" w:rsidP="00AF0DE8">
            <w:pPr>
              <w:pStyle w:val="NoSpacing"/>
              <w:rPr>
                <w:sz w:val="21"/>
                <w:szCs w:val="21"/>
              </w:rPr>
            </w:pPr>
          </w:p>
        </w:tc>
        <w:tc>
          <w:tcPr>
            <w:tcW w:w="2190" w:type="dxa"/>
          </w:tcPr>
          <w:p w14:paraId="47D575E0" w14:textId="77777777" w:rsidR="00AF0DE8" w:rsidRPr="00CD328D" w:rsidRDefault="00AF0DE8" w:rsidP="00AF0DE8">
            <w:pPr>
              <w:pStyle w:val="NoSpacing"/>
              <w:rPr>
                <w:sz w:val="21"/>
                <w:szCs w:val="21"/>
              </w:rPr>
            </w:pPr>
          </w:p>
        </w:tc>
        <w:tc>
          <w:tcPr>
            <w:tcW w:w="2190" w:type="dxa"/>
          </w:tcPr>
          <w:p w14:paraId="6317F07C" w14:textId="77777777" w:rsidR="00AF0DE8" w:rsidRPr="00CD328D" w:rsidRDefault="00AF0DE8" w:rsidP="00AF0DE8">
            <w:pPr>
              <w:pStyle w:val="NoSpacing"/>
              <w:rPr>
                <w:sz w:val="21"/>
                <w:szCs w:val="21"/>
              </w:rPr>
            </w:pPr>
          </w:p>
        </w:tc>
      </w:tr>
      <w:tr w:rsidR="00AF0DE8" w:rsidRPr="00CD328D" w14:paraId="7DCBE767" w14:textId="77777777" w:rsidTr="00A55F20">
        <w:tc>
          <w:tcPr>
            <w:tcW w:w="1170" w:type="dxa"/>
          </w:tcPr>
          <w:p w14:paraId="2AB832D4" w14:textId="00C3B59C" w:rsidR="00AF0DE8" w:rsidRPr="00CD328D" w:rsidRDefault="00AF0DE8" w:rsidP="00AF0DE8">
            <w:pPr>
              <w:pStyle w:val="NoSpacing"/>
              <w:rPr>
                <w:b/>
                <w:bCs/>
                <w:sz w:val="21"/>
                <w:szCs w:val="21"/>
              </w:rPr>
            </w:pPr>
            <w:r w:rsidRPr="00CD328D">
              <w:rPr>
                <w:b/>
                <w:bCs/>
                <w:sz w:val="21"/>
                <w:szCs w:val="21"/>
              </w:rPr>
              <w:t>Drug 3</w:t>
            </w:r>
          </w:p>
        </w:tc>
        <w:tc>
          <w:tcPr>
            <w:tcW w:w="2250" w:type="dxa"/>
          </w:tcPr>
          <w:p w14:paraId="7782AC3B" w14:textId="77777777" w:rsidR="00AF0DE8" w:rsidRPr="00CD328D" w:rsidRDefault="00AF0DE8" w:rsidP="00AF0DE8">
            <w:pPr>
              <w:pStyle w:val="NoSpacing"/>
              <w:rPr>
                <w:sz w:val="21"/>
                <w:szCs w:val="21"/>
              </w:rPr>
            </w:pPr>
          </w:p>
        </w:tc>
        <w:tc>
          <w:tcPr>
            <w:tcW w:w="2190" w:type="dxa"/>
          </w:tcPr>
          <w:p w14:paraId="6B163CA1" w14:textId="77777777" w:rsidR="00AF0DE8" w:rsidRPr="00CD328D" w:rsidRDefault="00AF0DE8" w:rsidP="00AF0DE8">
            <w:pPr>
              <w:pStyle w:val="NoSpacing"/>
              <w:rPr>
                <w:sz w:val="21"/>
                <w:szCs w:val="21"/>
              </w:rPr>
            </w:pPr>
          </w:p>
        </w:tc>
        <w:tc>
          <w:tcPr>
            <w:tcW w:w="2190" w:type="dxa"/>
          </w:tcPr>
          <w:p w14:paraId="4F20ED97" w14:textId="77777777" w:rsidR="00AF0DE8" w:rsidRPr="00CD328D" w:rsidRDefault="00AF0DE8" w:rsidP="00AF0DE8">
            <w:pPr>
              <w:pStyle w:val="NoSpacing"/>
              <w:rPr>
                <w:sz w:val="21"/>
                <w:szCs w:val="21"/>
              </w:rPr>
            </w:pPr>
          </w:p>
        </w:tc>
        <w:tc>
          <w:tcPr>
            <w:tcW w:w="2190" w:type="dxa"/>
          </w:tcPr>
          <w:p w14:paraId="3D47927F" w14:textId="77777777" w:rsidR="00AF0DE8" w:rsidRPr="00CD328D" w:rsidRDefault="00AF0DE8" w:rsidP="00AF0DE8">
            <w:pPr>
              <w:pStyle w:val="NoSpacing"/>
              <w:rPr>
                <w:sz w:val="21"/>
                <w:szCs w:val="21"/>
              </w:rPr>
            </w:pPr>
          </w:p>
        </w:tc>
      </w:tr>
    </w:tbl>
    <w:p w14:paraId="77F9330D" w14:textId="0B24CD21" w:rsidR="00AF0DE8" w:rsidRPr="00CD328D" w:rsidRDefault="00AF0DE8" w:rsidP="00AF0DE8">
      <w:pPr>
        <w:pStyle w:val="NoSpacing"/>
        <w:rPr>
          <w:sz w:val="21"/>
          <w:szCs w:val="21"/>
        </w:rPr>
      </w:pPr>
    </w:p>
    <w:p w14:paraId="2162488B" w14:textId="6E759017" w:rsidR="00AF0DE8" w:rsidRPr="00CD328D" w:rsidRDefault="00AF0DE8" w:rsidP="00AF0DE8">
      <w:pPr>
        <w:pStyle w:val="NoSpacing"/>
        <w:numPr>
          <w:ilvl w:val="0"/>
          <w:numId w:val="10"/>
        </w:numPr>
        <w:rPr>
          <w:sz w:val="21"/>
          <w:szCs w:val="21"/>
        </w:rPr>
      </w:pPr>
      <w:r w:rsidRPr="00CD328D">
        <w:rPr>
          <w:b/>
          <w:bCs/>
          <w:sz w:val="21"/>
          <w:szCs w:val="21"/>
        </w:rPr>
        <w:t>Question</w:t>
      </w:r>
      <w:r w:rsidRPr="00CD328D">
        <w:rPr>
          <w:sz w:val="21"/>
          <w:szCs w:val="21"/>
        </w:rPr>
        <w:t xml:space="preserve">: Using the data you’ve populated in the table above, are the antimicrobial days for those given drugs fewer in FacWideIN than by adding up each location? (Y/N) </w:t>
      </w:r>
    </w:p>
    <w:p w14:paraId="5285B2BE" w14:textId="77777777" w:rsidR="00AF0DE8" w:rsidRPr="00CD328D" w:rsidRDefault="00AF0DE8" w:rsidP="00AF0DE8">
      <w:pPr>
        <w:pStyle w:val="NoSpacing"/>
        <w:rPr>
          <w:sz w:val="21"/>
          <w:szCs w:val="21"/>
        </w:rPr>
      </w:pPr>
    </w:p>
    <w:p w14:paraId="6E271057" w14:textId="77777777" w:rsidR="00AF0DE8" w:rsidRPr="00CD328D" w:rsidRDefault="00AF0DE8" w:rsidP="00AF0DE8">
      <w:pPr>
        <w:pStyle w:val="NoSpacing"/>
        <w:rPr>
          <w:sz w:val="21"/>
          <w:szCs w:val="21"/>
        </w:rPr>
      </w:pPr>
    </w:p>
    <w:p w14:paraId="6BAADA54" w14:textId="77777777" w:rsidR="00AF0DE8" w:rsidRPr="00CD328D" w:rsidRDefault="00AF0DE8" w:rsidP="00AF0DE8">
      <w:pPr>
        <w:pStyle w:val="NoSpacing"/>
        <w:ind w:firstLine="720"/>
        <w:rPr>
          <w:sz w:val="21"/>
          <w:szCs w:val="21"/>
        </w:rPr>
      </w:pPr>
      <w:r w:rsidRPr="00CD328D">
        <w:rPr>
          <w:sz w:val="21"/>
          <w:szCs w:val="21"/>
        </w:rPr>
        <w:t xml:space="preserve">If the counts for FacWideIN are </w:t>
      </w:r>
      <w:r w:rsidRPr="00CD328D">
        <w:rPr>
          <w:sz w:val="21"/>
          <w:szCs w:val="21"/>
          <w:u w:val="single"/>
        </w:rPr>
        <w:t>higher</w:t>
      </w:r>
      <w:r w:rsidRPr="00CD328D">
        <w:rPr>
          <w:sz w:val="21"/>
          <w:szCs w:val="21"/>
        </w:rPr>
        <w:t xml:space="preserve"> than the sum of the locations:</w:t>
      </w:r>
    </w:p>
    <w:p w14:paraId="7DC21E29" w14:textId="44C8E99D" w:rsidR="002A14B8" w:rsidRPr="00CD328D" w:rsidRDefault="00AF0DE8" w:rsidP="002A14B8">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Is the vendor system incorrectly including non-inpatient locations (for example, ED or 24-hour observation</w:t>
      </w:r>
      <w:r w:rsidR="00AD0A40">
        <w:rPr>
          <w:sz w:val="21"/>
          <w:szCs w:val="21"/>
        </w:rPr>
        <w:t xml:space="preserve"> unit</w:t>
      </w:r>
      <w:r w:rsidRPr="00CD328D">
        <w:rPr>
          <w:sz w:val="21"/>
          <w:szCs w:val="21"/>
        </w:rPr>
        <w:t>) in the FacWideIN calculations? (Y/N)</w:t>
      </w:r>
    </w:p>
    <w:p w14:paraId="1C9151CF" w14:textId="0DFC242E" w:rsidR="00E46F77" w:rsidRPr="00CD328D" w:rsidRDefault="00E46F77" w:rsidP="00E46F77">
      <w:pPr>
        <w:pStyle w:val="NoSpacing"/>
        <w:rPr>
          <w:sz w:val="21"/>
          <w:szCs w:val="21"/>
        </w:rPr>
      </w:pPr>
    </w:p>
    <w:p w14:paraId="1D04B21C" w14:textId="77777777" w:rsidR="00E46F77" w:rsidRPr="00CD328D" w:rsidRDefault="00E46F77" w:rsidP="00E7261C">
      <w:pPr>
        <w:pStyle w:val="NoSpacing"/>
        <w:rPr>
          <w:sz w:val="21"/>
          <w:szCs w:val="21"/>
        </w:rPr>
      </w:pPr>
    </w:p>
    <w:p w14:paraId="09541DA2" w14:textId="583194E4" w:rsidR="002A14B8" w:rsidRPr="00CD328D" w:rsidRDefault="00AF0DE8" w:rsidP="002A14B8">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Are you missing a reportable inpatient location when doing the location-specific sums? (Y/N)</w:t>
      </w:r>
    </w:p>
    <w:p w14:paraId="0129DBEE" w14:textId="3DE6D88E" w:rsidR="00E46F77" w:rsidRPr="00CD328D" w:rsidRDefault="00E46F77" w:rsidP="00E46F77">
      <w:pPr>
        <w:pStyle w:val="NoSpacing"/>
        <w:rPr>
          <w:sz w:val="21"/>
          <w:szCs w:val="21"/>
        </w:rPr>
      </w:pPr>
    </w:p>
    <w:p w14:paraId="5C0EA809" w14:textId="77777777" w:rsidR="00E46F77" w:rsidRPr="00CD328D" w:rsidRDefault="00E46F77" w:rsidP="00E7261C">
      <w:pPr>
        <w:pStyle w:val="NoSpacing"/>
        <w:rPr>
          <w:sz w:val="21"/>
          <w:szCs w:val="21"/>
        </w:rPr>
      </w:pPr>
    </w:p>
    <w:p w14:paraId="24769C66" w14:textId="39514E84" w:rsidR="00AF0DE8" w:rsidRPr="00CD328D" w:rsidRDefault="00AF0DE8" w:rsidP="002A14B8">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For units the vendor system is not reporting individually due to lack of accurate capture of either antimicrobial days or days present, is the vendor system also correctly excluding them from the FacWideIN calculations? (Y/N)</w:t>
      </w:r>
    </w:p>
    <w:p w14:paraId="7F3DF158" w14:textId="0660C38B" w:rsidR="00E46F77" w:rsidRPr="00CD328D" w:rsidRDefault="00E46F77" w:rsidP="00E46F77">
      <w:pPr>
        <w:pStyle w:val="NoSpacing"/>
        <w:rPr>
          <w:sz w:val="21"/>
          <w:szCs w:val="21"/>
        </w:rPr>
      </w:pPr>
    </w:p>
    <w:p w14:paraId="493A67AA" w14:textId="77777777" w:rsidR="00E46F77" w:rsidRPr="00CD328D" w:rsidRDefault="00E46F77" w:rsidP="00E7261C">
      <w:pPr>
        <w:pStyle w:val="NoSpacing"/>
        <w:rPr>
          <w:sz w:val="21"/>
          <w:szCs w:val="21"/>
        </w:rPr>
      </w:pPr>
    </w:p>
    <w:p w14:paraId="149208FE" w14:textId="77777777" w:rsidR="002A14B8" w:rsidRPr="00CD328D" w:rsidRDefault="002A14B8" w:rsidP="00D50590">
      <w:pPr>
        <w:pStyle w:val="NoSpacing"/>
        <w:ind w:firstLine="720"/>
        <w:rPr>
          <w:sz w:val="21"/>
          <w:szCs w:val="21"/>
        </w:rPr>
      </w:pPr>
      <w:r w:rsidRPr="00CD328D">
        <w:rPr>
          <w:sz w:val="21"/>
          <w:szCs w:val="21"/>
        </w:rPr>
        <w:t xml:space="preserve">If the counts for FacWideIN are considerably </w:t>
      </w:r>
      <w:r w:rsidRPr="00CD328D">
        <w:rPr>
          <w:sz w:val="21"/>
          <w:szCs w:val="21"/>
          <w:u w:val="single"/>
        </w:rPr>
        <w:t>lower</w:t>
      </w:r>
      <w:r w:rsidRPr="00CD328D">
        <w:rPr>
          <w:sz w:val="21"/>
          <w:szCs w:val="21"/>
        </w:rPr>
        <w:t xml:space="preserve"> than the sum of the locations:</w:t>
      </w:r>
    </w:p>
    <w:p w14:paraId="3BF7EB9C" w14:textId="60A7B920" w:rsidR="002A14B8" w:rsidRPr="00CD328D" w:rsidRDefault="002A14B8" w:rsidP="00D50590">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Is the vendor system’s FacWideIN logic including all inpatient locations (including Operating Rooms, Interventional Radiology if applicable)? (Y/N)</w:t>
      </w:r>
    </w:p>
    <w:p w14:paraId="1D75EEB2" w14:textId="5052F5FC" w:rsidR="00E46F77" w:rsidRPr="00CD328D" w:rsidRDefault="00E46F77" w:rsidP="00E46F77">
      <w:pPr>
        <w:pStyle w:val="NoSpacing"/>
        <w:rPr>
          <w:sz w:val="21"/>
          <w:szCs w:val="21"/>
        </w:rPr>
      </w:pPr>
    </w:p>
    <w:p w14:paraId="19B39DCA" w14:textId="77777777" w:rsidR="00E46F77" w:rsidRPr="002D2D40" w:rsidRDefault="00E46F77" w:rsidP="00E7261C">
      <w:pPr>
        <w:pStyle w:val="NoSpacing"/>
        <w:rPr>
          <w:sz w:val="21"/>
          <w:szCs w:val="21"/>
        </w:rPr>
      </w:pPr>
    </w:p>
    <w:p w14:paraId="54517ACB" w14:textId="26F5069F" w:rsidR="0066036F" w:rsidRDefault="0066036F" w:rsidP="0066036F">
      <w:pPr>
        <w:pStyle w:val="Heading4"/>
        <w:ind w:firstLine="720"/>
      </w:pPr>
      <w:r>
        <w:t>Aggregating</w:t>
      </w:r>
      <w:r w:rsidR="00331CBA">
        <w:t xml:space="preserve"> FacWideIN</w:t>
      </w:r>
      <w:r>
        <w:t xml:space="preserve"> days present</w:t>
      </w:r>
    </w:p>
    <w:p w14:paraId="1E0DFD9E" w14:textId="11049E89" w:rsidR="0066036F" w:rsidRPr="00CD328D" w:rsidRDefault="0066036F" w:rsidP="0066036F">
      <w:pPr>
        <w:pStyle w:val="NoSpacing"/>
        <w:ind w:left="720"/>
        <w:rPr>
          <w:sz w:val="21"/>
          <w:szCs w:val="21"/>
        </w:rPr>
      </w:pPr>
      <w:r w:rsidRPr="00CD328D">
        <w:rPr>
          <w:sz w:val="21"/>
          <w:szCs w:val="21"/>
        </w:rPr>
        <w:t>To confirm the appropriate aggregation of FacWideIN days present, please list the value of days present for FacWideIN and the value of days present for the aggregate of all locations in the table below:</w:t>
      </w:r>
    </w:p>
    <w:p w14:paraId="7942B4A6" w14:textId="0F193E11" w:rsidR="0066036F" w:rsidRPr="00CD328D" w:rsidRDefault="0066036F" w:rsidP="0066036F">
      <w:pPr>
        <w:pStyle w:val="NoSpacing"/>
        <w:rPr>
          <w:sz w:val="21"/>
          <w:szCs w:val="21"/>
        </w:rPr>
      </w:pPr>
    </w:p>
    <w:tbl>
      <w:tblPr>
        <w:tblStyle w:val="TableGrid"/>
        <w:tblW w:w="0" w:type="auto"/>
        <w:tblInd w:w="355" w:type="dxa"/>
        <w:tblLook w:val="04A0" w:firstRow="1" w:lastRow="0" w:firstColumn="1" w:lastColumn="0" w:noHBand="0" w:noVBand="1"/>
      </w:tblPr>
      <w:tblGrid>
        <w:gridCol w:w="2790"/>
        <w:gridCol w:w="3600"/>
        <w:gridCol w:w="3600"/>
      </w:tblGrid>
      <w:tr w:rsidR="0066036F" w:rsidRPr="00CD328D" w14:paraId="7069DBDC" w14:textId="77777777" w:rsidTr="00A55F20">
        <w:tc>
          <w:tcPr>
            <w:tcW w:w="2790" w:type="dxa"/>
            <w:vAlign w:val="center"/>
          </w:tcPr>
          <w:p w14:paraId="2CB516A5" w14:textId="26973C6F" w:rsidR="0066036F" w:rsidRPr="00CD328D" w:rsidRDefault="0066036F" w:rsidP="0066036F">
            <w:pPr>
              <w:pStyle w:val="NoSpacing"/>
              <w:rPr>
                <w:sz w:val="21"/>
                <w:szCs w:val="21"/>
              </w:rPr>
            </w:pPr>
            <w:r w:rsidRPr="00CD328D">
              <w:rPr>
                <w:rFonts w:cs="Arial"/>
                <w:b/>
                <w:sz w:val="21"/>
                <w:szCs w:val="21"/>
              </w:rPr>
              <w:t>Month/Year</w:t>
            </w:r>
          </w:p>
        </w:tc>
        <w:tc>
          <w:tcPr>
            <w:tcW w:w="3600" w:type="dxa"/>
            <w:vAlign w:val="center"/>
          </w:tcPr>
          <w:p w14:paraId="3A327875" w14:textId="12F64611" w:rsidR="0066036F" w:rsidRPr="00CD328D" w:rsidRDefault="0066036F" w:rsidP="0066036F">
            <w:pPr>
              <w:pStyle w:val="NoSpacing"/>
              <w:rPr>
                <w:sz w:val="21"/>
                <w:szCs w:val="21"/>
              </w:rPr>
            </w:pPr>
            <w:r w:rsidRPr="00CD328D">
              <w:rPr>
                <w:rFonts w:cs="Arial"/>
                <w:b/>
                <w:sz w:val="21"/>
                <w:szCs w:val="21"/>
              </w:rPr>
              <w:t>Total Days Present for FacWideIN</w:t>
            </w:r>
          </w:p>
        </w:tc>
        <w:tc>
          <w:tcPr>
            <w:tcW w:w="3600" w:type="dxa"/>
            <w:vAlign w:val="center"/>
          </w:tcPr>
          <w:p w14:paraId="3D43E30A" w14:textId="0CEAC88E" w:rsidR="0066036F" w:rsidRPr="00CD328D" w:rsidRDefault="0066036F" w:rsidP="0066036F">
            <w:pPr>
              <w:pStyle w:val="NoSpacing"/>
              <w:rPr>
                <w:sz w:val="21"/>
                <w:szCs w:val="21"/>
              </w:rPr>
            </w:pPr>
            <w:r w:rsidRPr="00CD328D">
              <w:rPr>
                <w:rFonts w:cs="Arial"/>
                <w:b/>
                <w:sz w:val="21"/>
                <w:szCs w:val="21"/>
              </w:rPr>
              <w:t>Total Days Present for aggregate of all individual inpatient locations</w:t>
            </w:r>
          </w:p>
        </w:tc>
      </w:tr>
      <w:tr w:rsidR="0066036F" w:rsidRPr="00CD328D" w14:paraId="6944E459" w14:textId="77777777" w:rsidTr="00A55F20">
        <w:tc>
          <w:tcPr>
            <w:tcW w:w="2790" w:type="dxa"/>
          </w:tcPr>
          <w:p w14:paraId="28246FF9" w14:textId="77777777" w:rsidR="0066036F" w:rsidRPr="00CD328D" w:rsidRDefault="0066036F" w:rsidP="0066036F">
            <w:pPr>
              <w:pStyle w:val="NoSpacing"/>
              <w:rPr>
                <w:sz w:val="21"/>
                <w:szCs w:val="21"/>
              </w:rPr>
            </w:pPr>
          </w:p>
        </w:tc>
        <w:tc>
          <w:tcPr>
            <w:tcW w:w="3600" w:type="dxa"/>
          </w:tcPr>
          <w:p w14:paraId="18E87069" w14:textId="77777777" w:rsidR="0066036F" w:rsidRPr="00CD328D" w:rsidRDefault="0066036F" w:rsidP="0066036F">
            <w:pPr>
              <w:pStyle w:val="NoSpacing"/>
              <w:rPr>
                <w:sz w:val="21"/>
                <w:szCs w:val="21"/>
              </w:rPr>
            </w:pPr>
          </w:p>
        </w:tc>
        <w:tc>
          <w:tcPr>
            <w:tcW w:w="3600" w:type="dxa"/>
          </w:tcPr>
          <w:p w14:paraId="282D3487" w14:textId="77777777" w:rsidR="0066036F" w:rsidRPr="00CD328D" w:rsidRDefault="0066036F" w:rsidP="0066036F">
            <w:pPr>
              <w:pStyle w:val="NoSpacing"/>
              <w:rPr>
                <w:sz w:val="21"/>
                <w:szCs w:val="21"/>
              </w:rPr>
            </w:pPr>
          </w:p>
        </w:tc>
      </w:tr>
    </w:tbl>
    <w:p w14:paraId="566ECC18" w14:textId="78FD05F2" w:rsidR="0066036F" w:rsidRPr="00CD328D" w:rsidRDefault="0066036F" w:rsidP="0066036F">
      <w:pPr>
        <w:pStyle w:val="NoSpacing"/>
        <w:rPr>
          <w:sz w:val="21"/>
          <w:szCs w:val="21"/>
        </w:rPr>
      </w:pPr>
    </w:p>
    <w:p w14:paraId="4F1B0A1F" w14:textId="1AB90EAD" w:rsidR="0066036F" w:rsidRPr="00CD328D" w:rsidRDefault="0066036F" w:rsidP="0066036F">
      <w:pPr>
        <w:pStyle w:val="NoSpacing"/>
        <w:ind w:left="720"/>
        <w:rPr>
          <w:sz w:val="21"/>
          <w:szCs w:val="21"/>
        </w:rPr>
      </w:pPr>
      <w:r w:rsidRPr="00CD328D">
        <w:rPr>
          <w:b/>
          <w:bCs/>
          <w:sz w:val="21"/>
          <w:szCs w:val="21"/>
        </w:rPr>
        <w:t>Note:</w:t>
      </w:r>
      <w:r w:rsidRPr="00CD328D">
        <w:rPr>
          <w:sz w:val="21"/>
          <w:szCs w:val="21"/>
        </w:rPr>
        <w:t xml:space="preserve"> Due to admissions, discharges and transfers the FacWideIN days present count should always be less than the sum of the location-specific days present count.</w:t>
      </w:r>
    </w:p>
    <w:p w14:paraId="4874B07B" w14:textId="77777777" w:rsidR="00E46F77" w:rsidRPr="00CD328D" w:rsidRDefault="00E46F77" w:rsidP="0066036F">
      <w:pPr>
        <w:pStyle w:val="NoSpacing"/>
        <w:ind w:left="720"/>
        <w:rPr>
          <w:sz w:val="21"/>
          <w:szCs w:val="21"/>
        </w:rPr>
      </w:pPr>
    </w:p>
    <w:p w14:paraId="5B6036FA" w14:textId="5CF66339" w:rsidR="0066036F" w:rsidRPr="00CD328D" w:rsidRDefault="0066036F" w:rsidP="0066036F">
      <w:pPr>
        <w:pStyle w:val="NoSpacing"/>
        <w:numPr>
          <w:ilvl w:val="0"/>
          <w:numId w:val="10"/>
        </w:numPr>
        <w:rPr>
          <w:sz w:val="21"/>
          <w:szCs w:val="21"/>
        </w:rPr>
      </w:pPr>
      <w:r w:rsidRPr="00CD328D">
        <w:rPr>
          <w:b/>
          <w:bCs/>
          <w:sz w:val="21"/>
          <w:szCs w:val="21"/>
        </w:rPr>
        <w:t>Question:</w:t>
      </w:r>
      <w:r w:rsidRPr="00CD328D">
        <w:rPr>
          <w:sz w:val="21"/>
          <w:szCs w:val="21"/>
        </w:rPr>
        <w:t xml:space="preserve"> Using the data you’ve populated in the table above, are days present for FacWideIN </w:t>
      </w:r>
      <w:r w:rsidR="00AD0A40">
        <w:rPr>
          <w:sz w:val="21"/>
          <w:szCs w:val="21"/>
        </w:rPr>
        <w:t>less</w:t>
      </w:r>
      <w:r w:rsidR="00AD0A40" w:rsidRPr="00CD328D">
        <w:rPr>
          <w:sz w:val="21"/>
          <w:szCs w:val="21"/>
        </w:rPr>
        <w:t xml:space="preserve"> </w:t>
      </w:r>
      <w:r w:rsidRPr="00CD328D">
        <w:rPr>
          <w:sz w:val="21"/>
          <w:szCs w:val="21"/>
        </w:rPr>
        <w:t xml:space="preserve">than </w:t>
      </w:r>
      <w:r w:rsidR="00AD0A40">
        <w:rPr>
          <w:sz w:val="21"/>
          <w:szCs w:val="21"/>
        </w:rPr>
        <w:t>the aggregate</w:t>
      </w:r>
      <w:r w:rsidR="00AD0A40" w:rsidRPr="00CD328D">
        <w:rPr>
          <w:sz w:val="21"/>
          <w:szCs w:val="21"/>
        </w:rPr>
        <w:t xml:space="preserve"> </w:t>
      </w:r>
      <w:r w:rsidRPr="00CD328D">
        <w:rPr>
          <w:sz w:val="21"/>
          <w:szCs w:val="21"/>
        </w:rPr>
        <w:t xml:space="preserve">days present </w:t>
      </w:r>
      <w:r w:rsidR="00AD0A40">
        <w:rPr>
          <w:sz w:val="21"/>
          <w:szCs w:val="21"/>
        </w:rPr>
        <w:t>for all locations</w:t>
      </w:r>
      <w:r w:rsidRPr="00CD328D">
        <w:rPr>
          <w:sz w:val="21"/>
          <w:szCs w:val="21"/>
        </w:rPr>
        <w:t xml:space="preserve">? (Y/N) </w:t>
      </w:r>
    </w:p>
    <w:p w14:paraId="718BB791" w14:textId="180E3369" w:rsidR="00E46F77" w:rsidRPr="00CD328D" w:rsidRDefault="00E46F77" w:rsidP="00E46F77">
      <w:pPr>
        <w:pStyle w:val="NoSpacing"/>
        <w:rPr>
          <w:sz w:val="21"/>
          <w:szCs w:val="21"/>
        </w:rPr>
      </w:pPr>
    </w:p>
    <w:p w14:paraId="73D6EED3" w14:textId="77777777" w:rsidR="00E46F77" w:rsidRPr="00CD328D" w:rsidRDefault="00E46F77" w:rsidP="00E7261C">
      <w:pPr>
        <w:pStyle w:val="NoSpacing"/>
        <w:rPr>
          <w:sz w:val="21"/>
          <w:szCs w:val="21"/>
        </w:rPr>
      </w:pPr>
    </w:p>
    <w:p w14:paraId="3BFA02D5" w14:textId="77777777" w:rsidR="0066036F" w:rsidRPr="00CD328D" w:rsidRDefault="0066036F" w:rsidP="00EA4047">
      <w:pPr>
        <w:pStyle w:val="NoSpacing"/>
        <w:ind w:firstLine="720"/>
        <w:rPr>
          <w:sz w:val="21"/>
          <w:szCs w:val="21"/>
        </w:rPr>
      </w:pPr>
      <w:r w:rsidRPr="00CD328D">
        <w:rPr>
          <w:sz w:val="21"/>
          <w:szCs w:val="21"/>
        </w:rPr>
        <w:t xml:space="preserve">If the counts for FacWideIN are </w:t>
      </w:r>
      <w:r w:rsidRPr="00CD328D">
        <w:rPr>
          <w:sz w:val="21"/>
          <w:szCs w:val="21"/>
          <w:u w:val="single"/>
        </w:rPr>
        <w:t>higher</w:t>
      </w:r>
      <w:r w:rsidRPr="00CD328D">
        <w:rPr>
          <w:sz w:val="21"/>
          <w:szCs w:val="21"/>
        </w:rPr>
        <w:t xml:space="preserve"> than the sum of the locations:</w:t>
      </w:r>
    </w:p>
    <w:p w14:paraId="334952C6" w14:textId="64D27C0B" w:rsidR="00EA4047" w:rsidRPr="00CD328D" w:rsidRDefault="0066036F" w:rsidP="00EA4047">
      <w:pPr>
        <w:pStyle w:val="NoSpacing"/>
        <w:numPr>
          <w:ilvl w:val="0"/>
          <w:numId w:val="12"/>
        </w:numPr>
        <w:ind w:left="1170" w:hanging="450"/>
        <w:rPr>
          <w:sz w:val="21"/>
          <w:szCs w:val="21"/>
        </w:rPr>
      </w:pPr>
      <w:r w:rsidRPr="00CD328D">
        <w:rPr>
          <w:b/>
          <w:bCs/>
          <w:sz w:val="21"/>
          <w:szCs w:val="21"/>
        </w:rPr>
        <w:t>Question:</w:t>
      </w:r>
      <w:r w:rsidRPr="00CD328D">
        <w:rPr>
          <w:sz w:val="21"/>
          <w:szCs w:val="21"/>
        </w:rPr>
        <w:t xml:space="preserve"> Is the vendor system incorrectly including non-inpatient locations (for example, ED or 24-hour observation</w:t>
      </w:r>
      <w:r w:rsidR="00AD0A40">
        <w:rPr>
          <w:sz w:val="21"/>
          <w:szCs w:val="21"/>
        </w:rPr>
        <w:t xml:space="preserve"> unit</w:t>
      </w:r>
      <w:r w:rsidRPr="00CD328D">
        <w:rPr>
          <w:sz w:val="21"/>
          <w:szCs w:val="21"/>
        </w:rPr>
        <w:t>) in the FacWideIN calculations? (Y/N)</w:t>
      </w:r>
    </w:p>
    <w:p w14:paraId="4CB58E3C" w14:textId="6C1E6F5B" w:rsidR="00E46F77" w:rsidRPr="00CD328D" w:rsidRDefault="00E46F77" w:rsidP="00E46F77">
      <w:pPr>
        <w:pStyle w:val="NoSpacing"/>
        <w:rPr>
          <w:sz w:val="21"/>
          <w:szCs w:val="21"/>
        </w:rPr>
      </w:pPr>
    </w:p>
    <w:p w14:paraId="66A2F4E9" w14:textId="77777777" w:rsidR="00E46F77" w:rsidRPr="00CD328D" w:rsidRDefault="00E46F77" w:rsidP="00E7261C">
      <w:pPr>
        <w:pStyle w:val="NoSpacing"/>
        <w:rPr>
          <w:sz w:val="21"/>
          <w:szCs w:val="21"/>
        </w:rPr>
      </w:pPr>
    </w:p>
    <w:p w14:paraId="7D4C424E" w14:textId="149A7C6B" w:rsidR="00EA4047" w:rsidRPr="00CD328D" w:rsidRDefault="0066036F" w:rsidP="00EA4047">
      <w:pPr>
        <w:pStyle w:val="NoSpacing"/>
        <w:numPr>
          <w:ilvl w:val="0"/>
          <w:numId w:val="12"/>
        </w:numPr>
        <w:ind w:left="1170" w:hanging="450"/>
        <w:rPr>
          <w:sz w:val="21"/>
          <w:szCs w:val="21"/>
        </w:rPr>
      </w:pPr>
      <w:r w:rsidRPr="00CD328D">
        <w:rPr>
          <w:b/>
          <w:bCs/>
          <w:sz w:val="21"/>
          <w:szCs w:val="21"/>
        </w:rPr>
        <w:t>Question:</w:t>
      </w:r>
      <w:r w:rsidRPr="00CD328D">
        <w:rPr>
          <w:sz w:val="21"/>
          <w:szCs w:val="21"/>
        </w:rPr>
        <w:t xml:space="preserve"> Are you missing a reportable inpatient location when doing the location-specific sums? (Y/N)</w:t>
      </w:r>
    </w:p>
    <w:p w14:paraId="05A3CC52" w14:textId="77E22926" w:rsidR="00E46F77" w:rsidRDefault="00E46F77" w:rsidP="00E46F77">
      <w:pPr>
        <w:pStyle w:val="NoSpacing"/>
        <w:rPr>
          <w:sz w:val="21"/>
          <w:szCs w:val="21"/>
        </w:rPr>
      </w:pPr>
    </w:p>
    <w:p w14:paraId="3A517BF5" w14:textId="77777777" w:rsidR="00E46F77" w:rsidRPr="002D2D40" w:rsidRDefault="00E46F77" w:rsidP="00E7261C">
      <w:pPr>
        <w:pStyle w:val="NoSpacing"/>
        <w:rPr>
          <w:sz w:val="21"/>
          <w:szCs w:val="21"/>
        </w:rPr>
      </w:pPr>
    </w:p>
    <w:p w14:paraId="099F05EE" w14:textId="630D483C" w:rsidR="0066036F" w:rsidRDefault="0066036F" w:rsidP="00EA4047">
      <w:pPr>
        <w:pStyle w:val="NoSpacing"/>
        <w:numPr>
          <w:ilvl w:val="0"/>
          <w:numId w:val="12"/>
        </w:numPr>
        <w:ind w:left="1170" w:hanging="450"/>
        <w:rPr>
          <w:sz w:val="21"/>
          <w:szCs w:val="21"/>
        </w:rPr>
      </w:pPr>
      <w:r w:rsidRPr="00E7261C">
        <w:rPr>
          <w:b/>
          <w:bCs/>
          <w:sz w:val="21"/>
          <w:szCs w:val="21"/>
        </w:rPr>
        <w:t>Question:</w:t>
      </w:r>
      <w:r w:rsidRPr="002D2D40">
        <w:rPr>
          <w:sz w:val="21"/>
          <w:szCs w:val="21"/>
        </w:rPr>
        <w:t xml:space="preserve"> For units the vendor system is not reporting individually due to lack of accurate capture of either antimicrobial days or days present, is the vendor system also correctly excluding them from the FacWideIN calculations? (Y/N)</w:t>
      </w:r>
    </w:p>
    <w:p w14:paraId="0F9904A9" w14:textId="7C547938" w:rsidR="00E46F77" w:rsidRDefault="00E46F77" w:rsidP="00E46F77">
      <w:pPr>
        <w:pStyle w:val="NoSpacing"/>
        <w:rPr>
          <w:sz w:val="21"/>
          <w:szCs w:val="21"/>
        </w:rPr>
      </w:pPr>
    </w:p>
    <w:p w14:paraId="4FBB5187" w14:textId="77777777" w:rsidR="00E46F77" w:rsidRPr="002D2D40" w:rsidRDefault="00E46F77" w:rsidP="00E7261C">
      <w:pPr>
        <w:pStyle w:val="NoSpacing"/>
        <w:rPr>
          <w:sz w:val="21"/>
          <w:szCs w:val="21"/>
        </w:rPr>
      </w:pPr>
    </w:p>
    <w:p w14:paraId="039E62E7" w14:textId="77777777" w:rsidR="0066036F" w:rsidRPr="002D2D40" w:rsidRDefault="0066036F" w:rsidP="00EA4047">
      <w:pPr>
        <w:pStyle w:val="NoSpacing"/>
        <w:ind w:firstLine="720"/>
        <w:rPr>
          <w:sz w:val="21"/>
          <w:szCs w:val="21"/>
        </w:rPr>
      </w:pPr>
      <w:r w:rsidRPr="002D2D40">
        <w:rPr>
          <w:sz w:val="21"/>
          <w:szCs w:val="21"/>
        </w:rPr>
        <w:t xml:space="preserve">If the counts for FacWideIN are considerably </w:t>
      </w:r>
      <w:r w:rsidRPr="00E7261C">
        <w:rPr>
          <w:sz w:val="21"/>
          <w:szCs w:val="21"/>
          <w:u w:val="single"/>
        </w:rPr>
        <w:t>lower</w:t>
      </w:r>
      <w:r w:rsidRPr="002D2D40">
        <w:rPr>
          <w:sz w:val="21"/>
          <w:szCs w:val="21"/>
        </w:rPr>
        <w:t xml:space="preserve"> than the sum of the locations:</w:t>
      </w:r>
    </w:p>
    <w:p w14:paraId="1DD9FAD2" w14:textId="60338F5E" w:rsidR="0066036F" w:rsidRDefault="0066036F" w:rsidP="00EA4047">
      <w:pPr>
        <w:pStyle w:val="NoSpacing"/>
        <w:numPr>
          <w:ilvl w:val="0"/>
          <w:numId w:val="12"/>
        </w:numPr>
        <w:ind w:left="1170" w:hanging="450"/>
        <w:rPr>
          <w:sz w:val="21"/>
          <w:szCs w:val="21"/>
        </w:rPr>
      </w:pPr>
      <w:r w:rsidRPr="00E7261C">
        <w:rPr>
          <w:b/>
          <w:bCs/>
          <w:sz w:val="21"/>
          <w:szCs w:val="21"/>
        </w:rPr>
        <w:t>Question:</w:t>
      </w:r>
      <w:r w:rsidRPr="002D2D40">
        <w:rPr>
          <w:sz w:val="21"/>
          <w:szCs w:val="21"/>
        </w:rPr>
        <w:t xml:space="preserve"> Is the vendor system’s FacWideIN logic including all inpatient locations (including Operating Rooms, Interventional Radiology if applicable)? (Y/N)</w:t>
      </w:r>
    </w:p>
    <w:p w14:paraId="350FF57F" w14:textId="4049D5A4" w:rsidR="00E46F77" w:rsidRDefault="00E46F77" w:rsidP="00E46F77">
      <w:pPr>
        <w:pStyle w:val="NoSpacing"/>
        <w:rPr>
          <w:sz w:val="21"/>
          <w:szCs w:val="21"/>
        </w:rPr>
      </w:pPr>
    </w:p>
    <w:p w14:paraId="6B95B983" w14:textId="77777777" w:rsidR="00E46F77" w:rsidRPr="002D2D40" w:rsidRDefault="00E46F77" w:rsidP="00E7261C">
      <w:pPr>
        <w:pStyle w:val="NoSpacing"/>
        <w:rPr>
          <w:sz w:val="21"/>
          <w:szCs w:val="21"/>
        </w:rPr>
      </w:pPr>
    </w:p>
    <w:p w14:paraId="1D4DD60C" w14:textId="4E1945ED" w:rsidR="00726907" w:rsidRDefault="00726907" w:rsidP="00726907">
      <w:pPr>
        <w:pStyle w:val="NoSpacing"/>
      </w:pPr>
    </w:p>
    <w:p w14:paraId="3A9C7E73" w14:textId="44E3834D" w:rsidR="00726907" w:rsidRDefault="00726907" w:rsidP="00726907">
      <w:pPr>
        <w:pStyle w:val="Heading3"/>
        <w:numPr>
          <w:ilvl w:val="0"/>
          <w:numId w:val="8"/>
        </w:numPr>
      </w:pPr>
      <w:bookmarkStart w:id="9" w:name="_Compare_AU_and"/>
      <w:bookmarkEnd w:id="9"/>
      <w:r>
        <w:t>Compar</w:t>
      </w:r>
      <w:r w:rsidR="00503721">
        <w:t>e</w:t>
      </w:r>
      <w:r>
        <w:t xml:space="preserve"> AU and HAI denominator</w:t>
      </w:r>
      <w:r w:rsidR="005B4DCE">
        <w:t>s</w:t>
      </w:r>
    </w:p>
    <w:p w14:paraId="1E8BF862" w14:textId="36DD9507" w:rsidR="00726907" w:rsidRDefault="00726907" w:rsidP="00A318FB">
      <w:pPr>
        <w:pStyle w:val="NoSpacing"/>
        <w:ind w:left="720"/>
        <w:rPr>
          <w:sz w:val="21"/>
          <w:szCs w:val="21"/>
        </w:rPr>
      </w:pPr>
      <w:r w:rsidRPr="00E7261C">
        <w:rPr>
          <w:b/>
          <w:bCs/>
          <w:sz w:val="21"/>
          <w:szCs w:val="21"/>
        </w:rPr>
        <w:t>Note:</w:t>
      </w:r>
      <w:r w:rsidRPr="002D2D40">
        <w:rPr>
          <w:sz w:val="21"/>
          <w:szCs w:val="21"/>
        </w:rPr>
        <w:t xml:space="preserve"> The NHSN Team expects some variability due to the different data sources used for the various reporting modules of NHSN.</w:t>
      </w:r>
    </w:p>
    <w:p w14:paraId="6DAAF6E5" w14:textId="77777777" w:rsidR="00667B89" w:rsidRPr="002D2D40" w:rsidRDefault="00667B89" w:rsidP="00A318FB">
      <w:pPr>
        <w:pStyle w:val="NoSpacing"/>
        <w:ind w:left="720"/>
        <w:rPr>
          <w:sz w:val="21"/>
          <w:szCs w:val="21"/>
        </w:rPr>
      </w:pPr>
    </w:p>
    <w:p w14:paraId="722BB4A6" w14:textId="14924D52" w:rsidR="002D2D40" w:rsidRPr="002D2D40" w:rsidRDefault="00667B89" w:rsidP="00A318FB">
      <w:pPr>
        <w:pStyle w:val="NoSpacing"/>
        <w:ind w:left="720"/>
        <w:rPr>
          <w:sz w:val="21"/>
          <w:szCs w:val="21"/>
        </w:rPr>
      </w:pPr>
      <w:r w:rsidRPr="00E7261C">
        <w:rPr>
          <w:b/>
          <w:bCs/>
          <w:sz w:val="21"/>
          <w:szCs w:val="21"/>
        </w:rPr>
        <w:t>Methodology:</w:t>
      </w:r>
      <w:r>
        <w:rPr>
          <w:sz w:val="21"/>
          <w:szCs w:val="21"/>
        </w:rPr>
        <w:t xml:space="preserve"> P</w:t>
      </w:r>
      <w:r w:rsidR="002D2D40" w:rsidRPr="002D2D40">
        <w:rPr>
          <w:sz w:val="21"/>
          <w:szCs w:val="21"/>
        </w:rPr>
        <w:t xml:space="preserve">lease list the </w:t>
      </w:r>
      <w:r w:rsidR="002F1355">
        <w:rPr>
          <w:sz w:val="21"/>
          <w:szCs w:val="21"/>
        </w:rPr>
        <w:t xml:space="preserve">AU </w:t>
      </w:r>
      <w:r w:rsidR="002D2D40" w:rsidRPr="002D2D40">
        <w:rPr>
          <w:sz w:val="21"/>
          <w:szCs w:val="21"/>
        </w:rPr>
        <w:t xml:space="preserve">days present and </w:t>
      </w:r>
      <w:r w:rsidR="002F1355">
        <w:rPr>
          <w:sz w:val="21"/>
          <w:szCs w:val="21"/>
        </w:rPr>
        <w:t xml:space="preserve">HAI </w:t>
      </w:r>
      <w:r w:rsidR="002D2D40" w:rsidRPr="002D2D40">
        <w:rPr>
          <w:sz w:val="21"/>
          <w:szCs w:val="21"/>
        </w:rPr>
        <w:t>patient days reported for the locations in the table below and calculate the percent difference. We recommend checking at least two ICU locations, two ward locations, and one NICU location (if applicable).</w:t>
      </w:r>
      <w:r w:rsidRPr="00667B89">
        <w:rPr>
          <w:sz w:val="21"/>
          <w:szCs w:val="21"/>
        </w:rPr>
        <w:t xml:space="preserve"> </w:t>
      </w:r>
      <w:r w:rsidRPr="002D2D40">
        <w:rPr>
          <w:sz w:val="21"/>
          <w:szCs w:val="21"/>
        </w:rPr>
        <w:t>You can find the HAI patient days on the NHSN Device-associated summary records used for CLABSI/CAUTI reporting.</w:t>
      </w:r>
    </w:p>
    <w:p w14:paraId="11BE34A0" w14:textId="77777777" w:rsidR="002D2D40" w:rsidRPr="002D2D40" w:rsidRDefault="002D2D40" w:rsidP="002D2D40">
      <w:pPr>
        <w:pStyle w:val="NoSpacing"/>
        <w:rPr>
          <w:rFonts w:cs="Arial"/>
          <w:sz w:val="21"/>
          <w:szCs w:val="21"/>
        </w:rPr>
      </w:pPr>
    </w:p>
    <w:p w14:paraId="48F59C64" w14:textId="77777777" w:rsidR="002D2D40" w:rsidRPr="002D2D40" w:rsidRDefault="002D2D40" w:rsidP="00A318FB">
      <w:pPr>
        <w:pStyle w:val="NoSpacing"/>
        <w:ind w:left="720"/>
        <w:rPr>
          <w:rFonts w:cs="Arial"/>
          <w:sz w:val="21"/>
          <w:szCs w:val="21"/>
        </w:rPr>
      </w:pPr>
      <w:r w:rsidRPr="002D2D40">
        <w:rPr>
          <w:rFonts w:cs="Arial"/>
          <w:b/>
          <w:sz w:val="21"/>
          <w:szCs w:val="21"/>
        </w:rPr>
        <w:t>Note:</w:t>
      </w:r>
      <w:r w:rsidRPr="002D2D40">
        <w:rPr>
          <w:rFonts w:cs="Arial"/>
          <w:sz w:val="21"/>
          <w:szCs w:val="21"/>
        </w:rPr>
        <w:t xml:space="preserve"> For facilities participating in CMS reporting, all adult, pediatric, and neonatal ICU locations along with adult and pediatric medical, surgical, and medical/surgical ward locations will have reported location-specific HAI patient days. You may need to ask your IP for help in finding these numbers within NHSN.</w:t>
      </w:r>
    </w:p>
    <w:p w14:paraId="117D7FFF" w14:textId="77777777" w:rsidR="002D2D40" w:rsidRPr="002D2D40" w:rsidRDefault="002D2D40" w:rsidP="002D2D40">
      <w:pPr>
        <w:pStyle w:val="NoSpacing"/>
        <w:rPr>
          <w:rFonts w:cs="Arial"/>
          <w:sz w:val="21"/>
          <w:szCs w:val="21"/>
        </w:rPr>
      </w:pPr>
    </w:p>
    <w:p w14:paraId="16A4210C" w14:textId="734969A2" w:rsidR="002D2D40" w:rsidRPr="002D2D40" w:rsidRDefault="002D2D40" w:rsidP="00A318FB">
      <w:pPr>
        <w:pStyle w:val="NoSpacing"/>
        <w:ind w:left="720"/>
        <w:rPr>
          <w:sz w:val="21"/>
          <w:szCs w:val="21"/>
        </w:rPr>
      </w:pPr>
      <w:r w:rsidRPr="002D2D40">
        <w:rPr>
          <w:sz w:val="21"/>
          <w:szCs w:val="21"/>
        </w:rPr>
        <w:t xml:space="preserve">Based on internal NHSN analyses of days present and patient days, on average the AU days present are 24% higher than the HAI patient days for the same month/location. You can find the detailed breakdown by location type in </w:t>
      </w:r>
      <w:r w:rsidR="00906934">
        <w:rPr>
          <w:sz w:val="21"/>
          <w:szCs w:val="21"/>
        </w:rPr>
        <w:t xml:space="preserve">the Days Present section of the </w:t>
      </w:r>
      <w:hyperlink r:id="rId26" w:history="1">
        <w:r w:rsidRPr="003E5897">
          <w:rPr>
            <w:rStyle w:val="Hyperlink"/>
            <w:sz w:val="21"/>
            <w:szCs w:val="21"/>
          </w:rPr>
          <w:t>AU Option FAQs</w:t>
        </w:r>
      </w:hyperlink>
      <w:r w:rsidRPr="002D2D40">
        <w:rPr>
          <w:sz w:val="21"/>
          <w:szCs w:val="21"/>
        </w:rPr>
        <w:t xml:space="preserve">.   </w:t>
      </w:r>
    </w:p>
    <w:p w14:paraId="319480CF" w14:textId="77777777" w:rsidR="002D2D40" w:rsidRPr="002D2D40" w:rsidRDefault="002D2D40" w:rsidP="002D2D40">
      <w:pPr>
        <w:pStyle w:val="NoSpacing"/>
        <w:rPr>
          <w:sz w:val="21"/>
          <w:szCs w:val="21"/>
        </w:rPr>
      </w:pPr>
    </w:p>
    <w:p w14:paraId="291E4890" w14:textId="77777777" w:rsidR="002D2D40" w:rsidRPr="002D2D40" w:rsidRDefault="002D2D40" w:rsidP="00D22BB2">
      <w:pPr>
        <w:pStyle w:val="NoSpacing"/>
        <w:ind w:firstLine="720"/>
        <w:rPr>
          <w:sz w:val="21"/>
          <w:szCs w:val="21"/>
        </w:rPr>
      </w:pPr>
      <w:r w:rsidRPr="00A318FB">
        <w:rPr>
          <w:rFonts w:asciiTheme="majorHAnsi" w:hAnsiTheme="majorHAnsi"/>
          <w:sz w:val="21"/>
          <w:szCs w:val="21"/>
        </w:rPr>
        <w:t>Percent Difference:</w:t>
      </w:r>
      <w:r w:rsidRPr="002D2D40">
        <w:rPr>
          <w:sz w:val="21"/>
          <w:szCs w:val="21"/>
        </w:rPr>
        <w:t xml:space="preserve">  </w:t>
      </w:r>
      <m:oMath>
        <m:f>
          <m:fPr>
            <m:ctrlPr>
              <w:rPr>
                <w:rFonts w:ascii="Cambria Math" w:hAnsi="Cambria Math"/>
                <w:i/>
                <w:sz w:val="28"/>
                <w:szCs w:val="28"/>
              </w:rPr>
            </m:ctrlPr>
          </m:fPr>
          <m:num>
            <m:r>
              <w:rPr>
                <w:rFonts w:ascii="Cambria Math" w:hAnsi="Cambria Math"/>
                <w:sz w:val="28"/>
                <w:szCs w:val="28"/>
              </w:rPr>
              <m:t>(AU Days Present-HAI Patient Days)</m:t>
            </m:r>
          </m:num>
          <m:den>
            <m:r>
              <w:rPr>
                <w:rFonts w:ascii="Cambria Math" w:hAnsi="Cambria Math"/>
                <w:sz w:val="28"/>
                <w:szCs w:val="28"/>
              </w:rPr>
              <m:t>AU Days Present</m:t>
            </m:r>
          </m:den>
        </m:f>
        <m:r>
          <w:rPr>
            <w:rFonts w:ascii="Cambria Math" w:hAnsi="Cambria Math"/>
            <w:sz w:val="28"/>
            <w:szCs w:val="28"/>
          </w:rPr>
          <m:t xml:space="preserve"> ×100</m:t>
        </m:r>
      </m:oMath>
    </w:p>
    <w:p w14:paraId="31E3F2B6" w14:textId="77777777" w:rsidR="0070410D" w:rsidRDefault="0070410D" w:rsidP="0070410D">
      <w:pPr>
        <w:pStyle w:val="Heading4"/>
      </w:pPr>
    </w:p>
    <w:p w14:paraId="1E5D08EA" w14:textId="4917E348" w:rsidR="002D2D40" w:rsidRDefault="0070410D" w:rsidP="0070410D">
      <w:pPr>
        <w:pStyle w:val="Heading4"/>
        <w:ind w:firstLine="720"/>
      </w:pPr>
      <w:r>
        <w:t>Location specific days present and patient days</w:t>
      </w:r>
    </w:p>
    <w:tbl>
      <w:tblPr>
        <w:tblStyle w:val="TableGrid"/>
        <w:tblW w:w="0" w:type="auto"/>
        <w:tblInd w:w="355" w:type="dxa"/>
        <w:tblLook w:val="04A0" w:firstRow="1" w:lastRow="0" w:firstColumn="1" w:lastColumn="0" w:noHBand="0" w:noVBand="1"/>
      </w:tblPr>
      <w:tblGrid>
        <w:gridCol w:w="1620"/>
        <w:gridCol w:w="2250"/>
        <w:gridCol w:w="2040"/>
        <w:gridCol w:w="2040"/>
        <w:gridCol w:w="2040"/>
      </w:tblGrid>
      <w:tr w:rsidR="00AC7111" w14:paraId="37EE0121" w14:textId="32642236" w:rsidTr="00A25122">
        <w:tc>
          <w:tcPr>
            <w:tcW w:w="1620" w:type="dxa"/>
            <w:vAlign w:val="center"/>
          </w:tcPr>
          <w:p w14:paraId="55A52D27" w14:textId="3E14C337" w:rsidR="00AC7111" w:rsidRPr="00A318FB" w:rsidRDefault="00AC7111" w:rsidP="00A318FB">
            <w:r w:rsidRPr="00A318FB">
              <w:rPr>
                <w:rFonts w:cs="Arial"/>
                <w:b/>
              </w:rPr>
              <w:t>Month/Year</w:t>
            </w:r>
          </w:p>
        </w:tc>
        <w:tc>
          <w:tcPr>
            <w:tcW w:w="2250" w:type="dxa"/>
            <w:vAlign w:val="center"/>
          </w:tcPr>
          <w:p w14:paraId="3CC2163F" w14:textId="3D91EB39" w:rsidR="00AC7111" w:rsidRPr="00A318FB" w:rsidRDefault="00AC7111" w:rsidP="00A318FB">
            <w:r w:rsidRPr="00A318FB">
              <w:rPr>
                <w:rFonts w:cs="Arial"/>
                <w:b/>
              </w:rPr>
              <w:t>Location Name</w:t>
            </w:r>
          </w:p>
        </w:tc>
        <w:tc>
          <w:tcPr>
            <w:tcW w:w="2040" w:type="dxa"/>
            <w:vAlign w:val="center"/>
          </w:tcPr>
          <w:p w14:paraId="7CDC49FF" w14:textId="21F9C62C" w:rsidR="00AC7111" w:rsidRPr="00A318FB" w:rsidRDefault="00AC7111" w:rsidP="00A318FB">
            <w:r w:rsidRPr="00A318FB">
              <w:rPr>
                <w:rFonts w:cs="Arial"/>
                <w:b/>
              </w:rPr>
              <w:t>Total AU Days Present</w:t>
            </w:r>
          </w:p>
        </w:tc>
        <w:tc>
          <w:tcPr>
            <w:tcW w:w="2040" w:type="dxa"/>
            <w:vAlign w:val="center"/>
          </w:tcPr>
          <w:p w14:paraId="2A0FB70C" w14:textId="06343F02" w:rsidR="00AC7111" w:rsidRPr="00A318FB" w:rsidRDefault="00AC7111" w:rsidP="00A318FB">
            <w:r w:rsidRPr="00A318FB">
              <w:rPr>
                <w:rFonts w:cs="Arial"/>
                <w:b/>
              </w:rPr>
              <w:t>Total HAI Patient Days</w:t>
            </w:r>
          </w:p>
        </w:tc>
        <w:tc>
          <w:tcPr>
            <w:tcW w:w="2040" w:type="dxa"/>
          </w:tcPr>
          <w:p w14:paraId="468144B6" w14:textId="5D89A119" w:rsidR="00AC7111" w:rsidRPr="00A318FB" w:rsidRDefault="00AC7111" w:rsidP="00A318FB">
            <w:pPr>
              <w:rPr>
                <w:rFonts w:cs="Arial"/>
                <w:b/>
              </w:rPr>
            </w:pPr>
            <w:r>
              <w:rPr>
                <w:rFonts w:cs="Arial"/>
                <w:b/>
              </w:rPr>
              <w:t>Percent Difference</w:t>
            </w:r>
          </w:p>
        </w:tc>
      </w:tr>
      <w:tr w:rsidR="00AC7111" w14:paraId="7DE44942" w14:textId="6835E4D0" w:rsidTr="00A25122">
        <w:tc>
          <w:tcPr>
            <w:tcW w:w="1620" w:type="dxa"/>
          </w:tcPr>
          <w:p w14:paraId="40AE2A8D" w14:textId="77777777" w:rsidR="00AC7111" w:rsidRDefault="00AC7111" w:rsidP="00726907"/>
        </w:tc>
        <w:tc>
          <w:tcPr>
            <w:tcW w:w="2250" w:type="dxa"/>
          </w:tcPr>
          <w:p w14:paraId="74A33BB6" w14:textId="77777777" w:rsidR="00AC7111" w:rsidRDefault="00AC7111" w:rsidP="00726907"/>
        </w:tc>
        <w:tc>
          <w:tcPr>
            <w:tcW w:w="2040" w:type="dxa"/>
          </w:tcPr>
          <w:p w14:paraId="3536A2D0" w14:textId="77777777" w:rsidR="00AC7111" w:rsidRDefault="00AC7111" w:rsidP="00726907"/>
        </w:tc>
        <w:tc>
          <w:tcPr>
            <w:tcW w:w="2040" w:type="dxa"/>
          </w:tcPr>
          <w:p w14:paraId="0C10DC68" w14:textId="77777777" w:rsidR="00AC7111" w:rsidRDefault="00AC7111" w:rsidP="00726907"/>
        </w:tc>
        <w:tc>
          <w:tcPr>
            <w:tcW w:w="2040" w:type="dxa"/>
          </w:tcPr>
          <w:p w14:paraId="7697F293" w14:textId="77777777" w:rsidR="00AC7111" w:rsidRDefault="00AC7111" w:rsidP="00726907"/>
        </w:tc>
      </w:tr>
      <w:tr w:rsidR="00AC7111" w14:paraId="7B8DD354" w14:textId="3E41EAA3" w:rsidTr="00A25122">
        <w:tc>
          <w:tcPr>
            <w:tcW w:w="1620" w:type="dxa"/>
          </w:tcPr>
          <w:p w14:paraId="39DB741E" w14:textId="77777777" w:rsidR="00AC7111" w:rsidRDefault="00AC7111" w:rsidP="00726907"/>
        </w:tc>
        <w:tc>
          <w:tcPr>
            <w:tcW w:w="2250" w:type="dxa"/>
          </w:tcPr>
          <w:p w14:paraId="33028894" w14:textId="77777777" w:rsidR="00AC7111" w:rsidRDefault="00AC7111" w:rsidP="00726907"/>
        </w:tc>
        <w:tc>
          <w:tcPr>
            <w:tcW w:w="2040" w:type="dxa"/>
          </w:tcPr>
          <w:p w14:paraId="033E5BE7" w14:textId="77777777" w:rsidR="00AC7111" w:rsidRDefault="00AC7111" w:rsidP="00726907"/>
        </w:tc>
        <w:tc>
          <w:tcPr>
            <w:tcW w:w="2040" w:type="dxa"/>
          </w:tcPr>
          <w:p w14:paraId="0A5860FF" w14:textId="77777777" w:rsidR="00AC7111" w:rsidRDefault="00AC7111" w:rsidP="00726907"/>
        </w:tc>
        <w:tc>
          <w:tcPr>
            <w:tcW w:w="2040" w:type="dxa"/>
          </w:tcPr>
          <w:p w14:paraId="01D34529" w14:textId="77777777" w:rsidR="00AC7111" w:rsidRDefault="00AC7111" w:rsidP="00726907"/>
        </w:tc>
      </w:tr>
      <w:tr w:rsidR="00AC7111" w14:paraId="0D4FB10A" w14:textId="2110F67C" w:rsidTr="00A25122">
        <w:tc>
          <w:tcPr>
            <w:tcW w:w="1620" w:type="dxa"/>
          </w:tcPr>
          <w:p w14:paraId="0AF1334C" w14:textId="77777777" w:rsidR="00AC7111" w:rsidRDefault="00AC7111" w:rsidP="00726907"/>
        </w:tc>
        <w:tc>
          <w:tcPr>
            <w:tcW w:w="2250" w:type="dxa"/>
          </w:tcPr>
          <w:p w14:paraId="6249A3A1" w14:textId="77777777" w:rsidR="00AC7111" w:rsidRDefault="00AC7111" w:rsidP="00726907"/>
        </w:tc>
        <w:tc>
          <w:tcPr>
            <w:tcW w:w="2040" w:type="dxa"/>
          </w:tcPr>
          <w:p w14:paraId="3E173A18" w14:textId="77777777" w:rsidR="00AC7111" w:rsidRDefault="00AC7111" w:rsidP="00726907"/>
        </w:tc>
        <w:tc>
          <w:tcPr>
            <w:tcW w:w="2040" w:type="dxa"/>
          </w:tcPr>
          <w:p w14:paraId="1C1C860F" w14:textId="77777777" w:rsidR="00AC7111" w:rsidRDefault="00AC7111" w:rsidP="00726907"/>
        </w:tc>
        <w:tc>
          <w:tcPr>
            <w:tcW w:w="2040" w:type="dxa"/>
          </w:tcPr>
          <w:p w14:paraId="22CCBC8E" w14:textId="77777777" w:rsidR="00AC7111" w:rsidRDefault="00AC7111" w:rsidP="00726907"/>
        </w:tc>
      </w:tr>
      <w:tr w:rsidR="00AC7111" w14:paraId="063A2D4E" w14:textId="236A6556" w:rsidTr="00A25122">
        <w:tc>
          <w:tcPr>
            <w:tcW w:w="1620" w:type="dxa"/>
          </w:tcPr>
          <w:p w14:paraId="454779F7" w14:textId="77777777" w:rsidR="00AC7111" w:rsidRDefault="00AC7111" w:rsidP="00726907"/>
        </w:tc>
        <w:tc>
          <w:tcPr>
            <w:tcW w:w="2250" w:type="dxa"/>
          </w:tcPr>
          <w:p w14:paraId="621ECE72" w14:textId="77777777" w:rsidR="00AC7111" w:rsidRDefault="00AC7111" w:rsidP="00726907"/>
        </w:tc>
        <w:tc>
          <w:tcPr>
            <w:tcW w:w="2040" w:type="dxa"/>
          </w:tcPr>
          <w:p w14:paraId="52E2E3D3" w14:textId="77777777" w:rsidR="00AC7111" w:rsidRDefault="00AC7111" w:rsidP="00726907"/>
        </w:tc>
        <w:tc>
          <w:tcPr>
            <w:tcW w:w="2040" w:type="dxa"/>
          </w:tcPr>
          <w:p w14:paraId="654AEB85" w14:textId="77777777" w:rsidR="00AC7111" w:rsidRDefault="00AC7111" w:rsidP="00726907"/>
        </w:tc>
        <w:tc>
          <w:tcPr>
            <w:tcW w:w="2040" w:type="dxa"/>
          </w:tcPr>
          <w:p w14:paraId="43BE4E3D" w14:textId="77777777" w:rsidR="00AC7111" w:rsidRDefault="00AC7111" w:rsidP="00726907"/>
        </w:tc>
      </w:tr>
      <w:tr w:rsidR="00AC7111" w14:paraId="4D9FAF73" w14:textId="76CC4443" w:rsidTr="00A25122">
        <w:tc>
          <w:tcPr>
            <w:tcW w:w="1620" w:type="dxa"/>
          </w:tcPr>
          <w:p w14:paraId="00E8B09A" w14:textId="77777777" w:rsidR="00AC7111" w:rsidRDefault="00AC7111" w:rsidP="00726907"/>
        </w:tc>
        <w:tc>
          <w:tcPr>
            <w:tcW w:w="2250" w:type="dxa"/>
          </w:tcPr>
          <w:p w14:paraId="79CBBE50" w14:textId="77777777" w:rsidR="00AC7111" w:rsidRDefault="00AC7111" w:rsidP="00726907"/>
        </w:tc>
        <w:tc>
          <w:tcPr>
            <w:tcW w:w="2040" w:type="dxa"/>
          </w:tcPr>
          <w:p w14:paraId="1850F003" w14:textId="77777777" w:rsidR="00AC7111" w:rsidRDefault="00AC7111" w:rsidP="00726907"/>
        </w:tc>
        <w:tc>
          <w:tcPr>
            <w:tcW w:w="2040" w:type="dxa"/>
          </w:tcPr>
          <w:p w14:paraId="74146626" w14:textId="77777777" w:rsidR="00AC7111" w:rsidRDefault="00AC7111" w:rsidP="00726907"/>
        </w:tc>
        <w:tc>
          <w:tcPr>
            <w:tcW w:w="2040" w:type="dxa"/>
          </w:tcPr>
          <w:p w14:paraId="1563B0D5" w14:textId="77777777" w:rsidR="00AC7111" w:rsidRDefault="00AC7111" w:rsidP="00726907"/>
        </w:tc>
      </w:tr>
    </w:tbl>
    <w:p w14:paraId="50A6646E" w14:textId="1A67B9EA" w:rsidR="00A318FB" w:rsidRDefault="00A318FB" w:rsidP="00A318FB">
      <w:pPr>
        <w:pStyle w:val="NoSpacing"/>
      </w:pPr>
    </w:p>
    <w:p w14:paraId="4D2F5E90" w14:textId="54F495A5" w:rsidR="00A318FB" w:rsidRDefault="00A318FB" w:rsidP="00A318FB">
      <w:pPr>
        <w:pStyle w:val="NoSpacing"/>
        <w:numPr>
          <w:ilvl w:val="0"/>
          <w:numId w:val="13"/>
        </w:numPr>
        <w:rPr>
          <w:sz w:val="21"/>
          <w:szCs w:val="21"/>
        </w:rPr>
      </w:pPr>
      <w:r w:rsidRPr="00E7261C">
        <w:rPr>
          <w:b/>
          <w:bCs/>
          <w:sz w:val="21"/>
          <w:szCs w:val="21"/>
        </w:rPr>
        <w:t>Question:</w:t>
      </w:r>
      <w:r w:rsidRPr="00A318FB">
        <w:rPr>
          <w:sz w:val="21"/>
          <w:szCs w:val="21"/>
        </w:rPr>
        <w:t xml:space="preserve"> Are AU days present greater than HAI patient days for each location listed above? (Y/N)  </w:t>
      </w:r>
    </w:p>
    <w:p w14:paraId="461DB9F3" w14:textId="7D738567" w:rsidR="00667B89" w:rsidRDefault="00667B89" w:rsidP="00667B89">
      <w:pPr>
        <w:pStyle w:val="NoSpacing"/>
        <w:rPr>
          <w:sz w:val="21"/>
          <w:szCs w:val="21"/>
        </w:rPr>
      </w:pPr>
    </w:p>
    <w:p w14:paraId="53D1B05C" w14:textId="77777777" w:rsidR="00667B89" w:rsidRPr="00A318FB" w:rsidRDefault="00667B89" w:rsidP="00E7261C">
      <w:pPr>
        <w:pStyle w:val="NoSpacing"/>
        <w:rPr>
          <w:sz w:val="21"/>
          <w:szCs w:val="21"/>
        </w:rPr>
      </w:pPr>
    </w:p>
    <w:p w14:paraId="78364FA9" w14:textId="2E67A1A6" w:rsidR="00A318FB" w:rsidRDefault="00A318FB" w:rsidP="0070410D">
      <w:pPr>
        <w:pStyle w:val="NoSpacing"/>
        <w:numPr>
          <w:ilvl w:val="0"/>
          <w:numId w:val="14"/>
        </w:numPr>
        <w:ind w:hanging="360"/>
        <w:rPr>
          <w:sz w:val="21"/>
          <w:szCs w:val="21"/>
        </w:rPr>
      </w:pPr>
      <w:r w:rsidRPr="00A318FB">
        <w:rPr>
          <w:sz w:val="21"/>
          <w:szCs w:val="21"/>
        </w:rPr>
        <w:t xml:space="preserve">If the percent difference is </w:t>
      </w:r>
      <w:r w:rsidRPr="00E7261C">
        <w:rPr>
          <w:sz w:val="21"/>
          <w:szCs w:val="21"/>
          <w:u w:val="single"/>
        </w:rPr>
        <w:t>considerably higher than the average</w:t>
      </w:r>
      <w:r w:rsidRPr="00A318FB">
        <w:rPr>
          <w:sz w:val="21"/>
          <w:szCs w:val="21"/>
        </w:rPr>
        <w:t xml:space="preserve"> for that location type, consider discussing the denominator counts with your vendor. Check for double counting (for AU reporting, the vendor system should count a patient only once per location per day).</w:t>
      </w:r>
    </w:p>
    <w:p w14:paraId="113131BF" w14:textId="56F67EC4" w:rsidR="00A318FB" w:rsidRPr="00A318FB" w:rsidRDefault="00A318FB" w:rsidP="0070410D">
      <w:pPr>
        <w:pStyle w:val="NoSpacing"/>
        <w:numPr>
          <w:ilvl w:val="0"/>
          <w:numId w:val="14"/>
        </w:numPr>
        <w:ind w:hanging="360"/>
        <w:rPr>
          <w:sz w:val="21"/>
          <w:szCs w:val="21"/>
        </w:rPr>
      </w:pPr>
      <w:r w:rsidRPr="00A318FB">
        <w:rPr>
          <w:sz w:val="21"/>
          <w:szCs w:val="21"/>
        </w:rPr>
        <w:t xml:space="preserve">If AU Days Present are </w:t>
      </w:r>
      <w:r w:rsidRPr="00E7261C">
        <w:rPr>
          <w:sz w:val="21"/>
          <w:szCs w:val="21"/>
          <w:u w:val="single"/>
        </w:rPr>
        <w:t>equal</w:t>
      </w:r>
      <w:r w:rsidRPr="00A318FB">
        <w:rPr>
          <w:sz w:val="21"/>
          <w:szCs w:val="21"/>
        </w:rPr>
        <w:t xml:space="preserve"> to the HAI patient days, check with your vendor as this should never happen.</w:t>
      </w:r>
      <w:r w:rsidR="00906934">
        <w:rPr>
          <w:sz w:val="21"/>
          <w:szCs w:val="21"/>
        </w:rPr>
        <w:t xml:space="preserve"> </w:t>
      </w:r>
      <w:r w:rsidR="00906934" w:rsidRPr="00A318FB">
        <w:rPr>
          <w:sz w:val="21"/>
          <w:szCs w:val="21"/>
        </w:rPr>
        <w:t>Make sure the vendor system is including all patients in the location counts regardless of patient status (for example, observation, emergency).</w:t>
      </w:r>
    </w:p>
    <w:p w14:paraId="1853F358" w14:textId="3EA52505" w:rsidR="00A318FB" w:rsidRDefault="00A318FB" w:rsidP="0070410D">
      <w:pPr>
        <w:pStyle w:val="NoSpacing"/>
        <w:numPr>
          <w:ilvl w:val="0"/>
          <w:numId w:val="14"/>
        </w:numPr>
        <w:ind w:hanging="360"/>
        <w:rPr>
          <w:sz w:val="21"/>
          <w:szCs w:val="21"/>
        </w:rPr>
      </w:pPr>
      <w:r w:rsidRPr="00A318FB">
        <w:rPr>
          <w:sz w:val="21"/>
          <w:szCs w:val="21"/>
        </w:rPr>
        <w:lastRenderedPageBreak/>
        <w:t xml:space="preserve">If AU Days present are </w:t>
      </w:r>
      <w:r w:rsidRPr="00E7261C">
        <w:rPr>
          <w:sz w:val="21"/>
          <w:szCs w:val="21"/>
          <w:u w:val="single"/>
        </w:rPr>
        <w:t>lower</w:t>
      </w:r>
      <w:r w:rsidRPr="00A318FB">
        <w:rPr>
          <w:sz w:val="21"/>
          <w:szCs w:val="21"/>
        </w:rPr>
        <w:t xml:space="preserve"> than the HAI patient days, check with your vendor as this should never happen. Make sure the vendor system is including all patients in the location counts regardless of patient status (for example, observation, emergency).</w:t>
      </w:r>
    </w:p>
    <w:p w14:paraId="19202602" w14:textId="10E30A09" w:rsidR="0070410D" w:rsidRDefault="0070410D" w:rsidP="0070410D">
      <w:pPr>
        <w:pStyle w:val="NoSpacing"/>
        <w:rPr>
          <w:sz w:val="21"/>
          <w:szCs w:val="21"/>
        </w:rPr>
      </w:pPr>
    </w:p>
    <w:p w14:paraId="7104AD8B" w14:textId="3D607198" w:rsidR="0070410D" w:rsidRDefault="0070410D" w:rsidP="0070410D">
      <w:pPr>
        <w:pStyle w:val="Heading4"/>
        <w:ind w:firstLine="720"/>
      </w:pPr>
      <w:r>
        <w:t>FacWideIN days present and patient days</w:t>
      </w:r>
    </w:p>
    <w:p w14:paraId="5B6255A7" w14:textId="58142D03" w:rsidR="0070410D" w:rsidRPr="00CD328D" w:rsidRDefault="00F272B3" w:rsidP="00F272B3">
      <w:pPr>
        <w:pStyle w:val="NoSpacing"/>
        <w:ind w:left="720"/>
        <w:rPr>
          <w:sz w:val="21"/>
          <w:szCs w:val="21"/>
        </w:rPr>
      </w:pPr>
      <w:r w:rsidRPr="00CD328D">
        <w:rPr>
          <w:b/>
          <w:bCs/>
          <w:sz w:val="21"/>
          <w:szCs w:val="21"/>
        </w:rPr>
        <w:t>Methodology:</w:t>
      </w:r>
      <w:r w:rsidRPr="00CD328D">
        <w:rPr>
          <w:sz w:val="21"/>
          <w:szCs w:val="21"/>
        </w:rPr>
        <w:t xml:space="preserve"> P</w:t>
      </w:r>
      <w:r w:rsidR="0070410D" w:rsidRPr="00CD328D">
        <w:rPr>
          <w:sz w:val="21"/>
          <w:szCs w:val="21"/>
        </w:rPr>
        <w:t>lease list the AU days present and admissions and HAI MDRO/CDI total facility patient days and admissions reported for FacWideIN in the table below. You can find the HAI FacWideIN total facility patient days and admissions on the NHSN MDRO/CDI Module summary records used for LabID reporting.</w:t>
      </w:r>
      <w:r w:rsidRPr="00CD328D">
        <w:rPr>
          <w:b/>
          <w:bCs/>
          <w:sz w:val="21"/>
          <w:szCs w:val="21"/>
        </w:rPr>
        <w:t xml:space="preserve"> </w:t>
      </w:r>
      <w:r w:rsidR="0070410D" w:rsidRPr="00CD328D">
        <w:rPr>
          <w:sz w:val="21"/>
          <w:szCs w:val="21"/>
        </w:rPr>
        <w:t>You may need to ask your IP for help in finding these numbers.</w:t>
      </w:r>
    </w:p>
    <w:p w14:paraId="615E97AF" w14:textId="77777777" w:rsidR="00F272B3" w:rsidRPr="00CD328D" w:rsidRDefault="00F272B3">
      <w:pPr>
        <w:pStyle w:val="NoSpacing"/>
        <w:ind w:left="720"/>
        <w:rPr>
          <w:sz w:val="21"/>
          <w:szCs w:val="21"/>
        </w:rPr>
      </w:pPr>
    </w:p>
    <w:p w14:paraId="35015FAA" w14:textId="5F8DE247" w:rsidR="0070410D" w:rsidRPr="00CD328D" w:rsidRDefault="0070410D" w:rsidP="0070410D">
      <w:pPr>
        <w:pStyle w:val="NoSpacing"/>
        <w:ind w:left="720"/>
        <w:rPr>
          <w:sz w:val="21"/>
          <w:szCs w:val="21"/>
        </w:rPr>
      </w:pPr>
      <w:r w:rsidRPr="00CD328D">
        <w:rPr>
          <w:sz w:val="21"/>
          <w:szCs w:val="21"/>
        </w:rPr>
        <w:t xml:space="preserve">Based on internal NHSN analyses of days present and patient days, on average the FacWideIN AU days present are 24% higher than the FacWideIN HAI patient days for the same month. </w:t>
      </w:r>
      <w:r w:rsidR="00906934">
        <w:rPr>
          <w:sz w:val="21"/>
          <w:szCs w:val="21"/>
        </w:rPr>
        <w:t>Due to the slightly different definitions and data sources</w:t>
      </w:r>
      <w:r w:rsidR="00906934" w:rsidRPr="00906934">
        <w:rPr>
          <w:sz w:val="21"/>
          <w:szCs w:val="21"/>
        </w:rPr>
        <w:t xml:space="preserve"> </w:t>
      </w:r>
      <w:r w:rsidR="00906934" w:rsidRPr="00CD328D">
        <w:rPr>
          <w:sz w:val="21"/>
          <w:szCs w:val="21"/>
        </w:rPr>
        <w:t>used to collect these counts</w:t>
      </w:r>
      <w:r w:rsidR="00906934">
        <w:rPr>
          <w:sz w:val="21"/>
          <w:szCs w:val="21"/>
        </w:rPr>
        <w:t>, t</w:t>
      </w:r>
      <w:r w:rsidRPr="00CD328D">
        <w:rPr>
          <w:sz w:val="21"/>
          <w:szCs w:val="21"/>
        </w:rPr>
        <w:t>he NHSN Team expects some small variation</w:t>
      </w:r>
      <w:r w:rsidR="00906934">
        <w:rPr>
          <w:sz w:val="21"/>
          <w:szCs w:val="21"/>
        </w:rPr>
        <w:t xml:space="preserve"> in admissions counts</w:t>
      </w:r>
      <w:r w:rsidRPr="00CD328D">
        <w:rPr>
          <w:sz w:val="21"/>
          <w:szCs w:val="21"/>
        </w:rPr>
        <w:t>.</w:t>
      </w:r>
    </w:p>
    <w:p w14:paraId="3486E4B8" w14:textId="77777777" w:rsidR="00D84836" w:rsidRPr="00CD328D" w:rsidRDefault="00D84836" w:rsidP="0070410D">
      <w:pPr>
        <w:pStyle w:val="NoSpacing"/>
        <w:ind w:left="720"/>
        <w:rPr>
          <w:sz w:val="21"/>
          <w:szCs w:val="21"/>
        </w:rPr>
      </w:pPr>
    </w:p>
    <w:tbl>
      <w:tblPr>
        <w:tblStyle w:val="TableGrid"/>
        <w:tblW w:w="0" w:type="auto"/>
        <w:tblInd w:w="355" w:type="dxa"/>
        <w:tblLook w:val="04A0" w:firstRow="1" w:lastRow="0" w:firstColumn="1" w:lastColumn="0" w:noHBand="0" w:noVBand="1"/>
      </w:tblPr>
      <w:tblGrid>
        <w:gridCol w:w="1440"/>
        <w:gridCol w:w="1620"/>
        <w:gridCol w:w="1620"/>
        <w:gridCol w:w="1620"/>
        <w:gridCol w:w="360"/>
        <w:gridCol w:w="1665"/>
        <w:gridCol w:w="1665"/>
      </w:tblGrid>
      <w:tr w:rsidR="00AC7111" w:rsidRPr="00CD328D" w14:paraId="75A66C82" w14:textId="77777777" w:rsidTr="00A25122">
        <w:tc>
          <w:tcPr>
            <w:tcW w:w="1440" w:type="dxa"/>
            <w:vAlign w:val="center"/>
          </w:tcPr>
          <w:p w14:paraId="7A144E03" w14:textId="55DE9D34" w:rsidR="00AC7111" w:rsidRPr="00CD328D" w:rsidRDefault="00AC7111" w:rsidP="004012C8">
            <w:pPr>
              <w:pStyle w:val="NoSpacing"/>
              <w:rPr>
                <w:sz w:val="21"/>
                <w:szCs w:val="21"/>
              </w:rPr>
            </w:pPr>
            <w:r w:rsidRPr="00CD328D">
              <w:rPr>
                <w:rFonts w:cs="Arial"/>
                <w:b/>
                <w:sz w:val="21"/>
                <w:szCs w:val="21"/>
              </w:rPr>
              <w:t>Month/Year</w:t>
            </w:r>
          </w:p>
        </w:tc>
        <w:tc>
          <w:tcPr>
            <w:tcW w:w="1620" w:type="dxa"/>
            <w:vAlign w:val="center"/>
          </w:tcPr>
          <w:p w14:paraId="7801B908" w14:textId="5841B213" w:rsidR="00AC7111" w:rsidRPr="00CD328D" w:rsidRDefault="00AC7111" w:rsidP="004012C8">
            <w:pPr>
              <w:pStyle w:val="NoSpacing"/>
              <w:rPr>
                <w:sz w:val="21"/>
                <w:szCs w:val="21"/>
              </w:rPr>
            </w:pPr>
            <w:r w:rsidRPr="00CD328D">
              <w:rPr>
                <w:rFonts w:cs="Arial"/>
                <w:b/>
                <w:sz w:val="21"/>
                <w:szCs w:val="21"/>
              </w:rPr>
              <w:t>Total AU Days Present for FacWideIN</w:t>
            </w:r>
          </w:p>
        </w:tc>
        <w:tc>
          <w:tcPr>
            <w:tcW w:w="1620" w:type="dxa"/>
            <w:vAlign w:val="center"/>
          </w:tcPr>
          <w:p w14:paraId="75245021" w14:textId="6022015B" w:rsidR="00AC7111" w:rsidRPr="00CD328D" w:rsidRDefault="00AC7111" w:rsidP="004012C8">
            <w:pPr>
              <w:pStyle w:val="NoSpacing"/>
              <w:rPr>
                <w:b/>
                <w:sz w:val="21"/>
                <w:szCs w:val="21"/>
              </w:rPr>
            </w:pPr>
            <w:r w:rsidRPr="00CD328D">
              <w:rPr>
                <w:rFonts w:cs="Arial"/>
                <w:b/>
                <w:sz w:val="21"/>
                <w:szCs w:val="21"/>
              </w:rPr>
              <w:t>Total Facility Patient Days for MDRO/CDI FacWideIN</w:t>
            </w:r>
          </w:p>
        </w:tc>
        <w:tc>
          <w:tcPr>
            <w:tcW w:w="1620" w:type="dxa"/>
            <w:vAlign w:val="center"/>
          </w:tcPr>
          <w:p w14:paraId="0D22F54E" w14:textId="0B7EF2AF" w:rsidR="00AC7111" w:rsidRPr="00CD328D" w:rsidRDefault="00AC7111" w:rsidP="004012C8">
            <w:pPr>
              <w:pStyle w:val="NoSpacing"/>
              <w:rPr>
                <w:b/>
                <w:sz w:val="21"/>
                <w:szCs w:val="21"/>
              </w:rPr>
            </w:pPr>
            <w:r w:rsidRPr="00CD328D">
              <w:rPr>
                <w:b/>
                <w:sz w:val="21"/>
                <w:szCs w:val="21"/>
              </w:rPr>
              <w:t>Percent Difference</w:t>
            </w:r>
          </w:p>
        </w:tc>
        <w:tc>
          <w:tcPr>
            <w:tcW w:w="360" w:type="dxa"/>
            <w:vAlign w:val="center"/>
          </w:tcPr>
          <w:p w14:paraId="112979CB" w14:textId="77777777" w:rsidR="00AC7111" w:rsidRPr="00CD328D" w:rsidRDefault="00AC7111" w:rsidP="004012C8">
            <w:pPr>
              <w:pStyle w:val="NoSpacing"/>
              <w:rPr>
                <w:sz w:val="21"/>
                <w:szCs w:val="21"/>
              </w:rPr>
            </w:pPr>
          </w:p>
        </w:tc>
        <w:tc>
          <w:tcPr>
            <w:tcW w:w="1665" w:type="dxa"/>
            <w:vAlign w:val="center"/>
          </w:tcPr>
          <w:p w14:paraId="7F322D05" w14:textId="2A9D5CF4" w:rsidR="00AC7111" w:rsidRPr="00CD328D" w:rsidRDefault="00AC7111" w:rsidP="004012C8">
            <w:pPr>
              <w:pStyle w:val="NoSpacing"/>
              <w:rPr>
                <w:sz w:val="21"/>
                <w:szCs w:val="21"/>
              </w:rPr>
            </w:pPr>
            <w:r w:rsidRPr="00CD328D">
              <w:rPr>
                <w:rFonts w:cs="Arial"/>
                <w:b/>
                <w:sz w:val="21"/>
                <w:szCs w:val="21"/>
              </w:rPr>
              <w:t>Total AU Admissions</w:t>
            </w:r>
            <w:r w:rsidR="009F236D">
              <w:rPr>
                <w:rFonts w:cs="Arial"/>
                <w:b/>
                <w:sz w:val="21"/>
                <w:szCs w:val="21"/>
              </w:rPr>
              <w:t xml:space="preserve"> for FacWideIN</w:t>
            </w:r>
          </w:p>
        </w:tc>
        <w:tc>
          <w:tcPr>
            <w:tcW w:w="1665" w:type="dxa"/>
            <w:vAlign w:val="center"/>
          </w:tcPr>
          <w:p w14:paraId="42F61592" w14:textId="561FEBC9" w:rsidR="00AC7111" w:rsidRPr="00CD328D" w:rsidRDefault="00AC7111" w:rsidP="004012C8">
            <w:pPr>
              <w:pStyle w:val="NoSpacing"/>
              <w:rPr>
                <w:sz w:val="21"/>
                <w:szCs w:val="21"/>
              </w:rPr>
            </w:pPr>
            <w:r w:rsidRPr="00CD328D">
              <w:rPr>
                <w:rFonts w:cs="Arial"/>
                <w:b/>
                <w:sz w:val="21"/>
                <w:szCs w:val="21"/>
              </w:rPr>
              <w:t>Total Facility Admissions for MDRO/CDI FacWideIN</w:t>
            </w:r>
          </w:p>
        </w:tc>
      </w:tr>
      <w:tr w:rsidR="00AC7111" w:rsidRPr="00CD328D" w14:paraId="19F8AC0C" w14:textId="77777777" w:rsidTr="00A25122">
        <w:tc>
          <w:tcPr>
            <w:tcW w:w="1440" w:type="dxa"/>
          </w:tcPr>
          <w:p w14:paraId="0C9DBBB4" w14:textId="77777777" w:rsidR="00AC7111" w:rsidRPr="00CD328D" w:rsidRDefault="00AC7111" w:rsidP="00AC7111">
            <w:pPr>
              <w:pStyle w:val="NoSpacing"/>
              <w:rPr>
                <w:sz w:val="21"/>
                <w:szCs w:val="21"/>
              </w:rPr>
            </w:pPr>
          </w:p>
        </w:tc>
        <w:tc>
          <w:tcPr>
            <w:tcW w:w="1620" w:type="dxa"/>
          </w:tcPr>
          <w:p w14:paraId="1A36A144" w14:textId="77777777" w:rsidR="00AC7111" w:rsidRPr="00CD328D" w:rsidRDefault="00AC7111" w:rsidP="00AC7111">
            <w:pPr>
              <w:pStyle w:val="NoSpacing"/>
              <w:rPr>
                <w:sz w:val="21"/>
                <w:szCs w:val="21"/>
              </w:rPr>
            </w:pPr>
          </w:p>
        </w:tc>
        <w:tc>
          <w:tcPr>
            <w:tcW w:w="1620" w:type="dxa"/>
          </w:tcPr>
          <w:p w14:paraId="3CD55C02" w14:textId="77777777" w:rsidR="00AC7111" w:rsidRPr="00CD328D" w:rsidRDefault="00AC7111" w:rsidP="00AC7111">
            <w:pPr>
              <w:pStyle w:val="NoSpacing"/>
              <w:rPr>
                <w:sz w:val="21"/>
                <w:szCs w:val="21"/>
              </w:rPr>
            </w:pPr>
          </w:p>
        </w:tc>
        <w:tc>
          <w:tcPr>
            <w:tcW w:w="1620" w:type="dxa"/>
          </w:tcPr>
          <w:p w14:paraId="60379C4E" w14:textId="77777777" w:rsidR="00AC7111" w:rsidRPr="00CD328D" w:rsidRDefault="00AC7111" w:rsidP="00AC7111">
            <w:pPr>
              <w:pStyle w:val="NoSpacing"/>
              <w:rPr>
                <w:sz w:val="21"/>
                <w:szCs w:val="21"/>
              </w:rPr>
            </w:pPr>
          </w:p>
        </w:tc>
        <w:tc>
          <w:tcPr>
            <w:tcW w:w="360" w:type="dxa"/>
          </w:tcPr>
          <w:p w14:paraId="50744589" w14:textId="77777777" w:rsidR="00AC7111" w:rsidRPr="00CD328D" w:rsidRDefault="00AC7111" w:rsidP="00AC7111">
            <w:pPr>
              <w:pStyle w:val="NoSpacing"/>
              <w:rPr>
                <w:sz w:val="21"/>
                <w:szCs w:val="21"/>
              </w:rPr>
            </w:pPr>
          </w:p>
        </w:tc>
        <w:tc>
          <w:tcPr>
            <w:tcW w:w="1665" w:type="dxa"/>
          </w:tcPr>
          <w:p w14:paraId="179C7383" w14:textId="77777777" w:rsidR="00AC7111" w:rsidRPr="00CD328D" w:rsidRDefault="00AC7111" w:rsidP="00AC7111">
            <w:pPr>
              <w:pStyle w:val="NoSpacing"/>
              <w:rPr>
                <w:sz w:val="21"/>
                <w:szCs w:val="21"/>
              </w:rPr>
            </w:pPr>
          </w:p>
        </w:tc>
        <w:tc>
          <w:tcPr>
            <w:tcW w:w="1665" w:type="dxa"/>
          </w:tcPr>
          <w:p w14:paraId="68081ACA" w14:textId="77777777" w:rsidR="00AC7111" w:rsidRPr="00CD328D" w:rsidRDefault="00AC7111" w:rsidP="00AC7111">
            <w:pPr>
              <w:pStyle w:val="NoSpacing"/>
              <w:rPr>
                <w:sz w:val="21"/>
                <w:szCs w:val="21"/>
              </w:rPr>
            </w:pPr>
          </w:p>
        </w:tc>
      </w:tr>
    </w:tbl>
    <w:p w14:paraId="7514BB38" w14:textId="19AFD31B" w:rsidR="0070410D" w:rsidRPr="00CD328D" w:rsidRDefault="0070410D" w:rsidP="0070410D">
      <w:pPr>
        <w:pStyle w:val="NoSpacing"/>
        <w:rPr>
          <w:sz w:val="21"/>
          <w:szCs w:val="21"/>
        </w:rPr>
      </w:pPr>
    </w:p>
    <w:p w14:paraId="27FD17AB" w14:textId="1D84648A" w:rsidR="00D22BB2" w:rsidRPr="00CD328D" w:rsidRDefault="00D22BB2" w:rsidP="00D22BB2">
      <w:pPr>
        <w:pStyle w:val="NoSpacing"/>
        <w:numPr>
          <w:ilvl w:val="0"/>
          <w:numId w:val="13"/>
        </w:numPr>
        <w:rPr>
          <w:sz w:val="21"/>
          <w:szCs w:val="21"/>
        </w:rPr>
      </w:pPr>
      <w:r w:rsidRPr="00CD328D">
        <w:rPr>
          <w:b/>
          <w:bCs/>
          <w:sz w:val="21"/>
          <w:szCs w:val="21"/>
        </w:rPr>
        <w:t>Question:</w:t>
      </w:r>
      <w:r w:rsidRPr="00CD328D">
        <w:rPr>
          <w:sz w:val="21"/>
          <w:szCs w:val="21"/>
        </w:rPr>
        <w:t xml:space="preserve"> Are FacWideIN AU days present greater than the total facility patient-days on the FacWideIN MDRO/CDI Module record? (Y/N/NA) </w:t>
      </w:r>
    </w:p>
    <w:p w14:paraId="3B21992A" w14:textId="77777777" w:rsidR="00F272B3" w:rsidRPr="00CD328D" w:rsidRDefault="00F272B3" w:rsidP="00D22BB2">
      <w:pPr>
        <w:pStyle w:val="NoSpacing"/>
        <w:ind w:firstLine="720"/>
        <w:rPr>
          <w:sz w:val="21"/>
          <w:szCs w:val="21"/>
        </w:rPr>
      </w:pPr>
    </w:p>
    <w:p w14:paraId="2C6E7085" w14:textId="77777777" w:rsidR="00F272B3" w:rsidRPr="00CD328D" w:rsidRDefault="00F272B3" w:rsidP="00D22BB2">
      <w:pPr>
        <w:pStyle w:val="NoSpacing"/>
        <w:ind w:firstLine="720"/>
        <w:rPr>
          <w:sz w:val="21"/>
          <w:szCs w:val="21"/>
        </w:rPr>
      </w:pPr>
    </w:p>
    <w:p w14:paraId="15CB3EF1" w14:textId="63ABED35" w:rsidR="00D22BB2" w:rsidRPr="00CD328D" w:rsidRDefault="00D22BB2" w:rsidP="00D22BB2">
      <w:pPr>
        <w:pStyle w:val="NoSpacing"/>
        <w:ind w:firstLine="720"/>
        <w:rPr>
          <w:sz w:val="21"/>
          <w:szCs w:val="21"/>
        </w:rPr>
      </w:pPr>
      <w:r w:rsidRPr="00CD328D">
        <w:rPr>
          <w:sz w:val="21"/>
          <w:szCs w:val="21"/>
        </w:rPr>
        <w:t xml:space="preserve">If the </w:t>
      </w:r>
      <w:r w:rsidR="00F272B3" w:rsidRPr="00CD328D">
        <w:rPr>
          <w:sz w:val="21"/>
          <w:szCs w:val="21"/>
        </w:rPr>
        <w:t xml:space="preserve">percent difference is </w:t>
      </w:r>
      <w:r w:rsidR="00F272B3" w:rsidRPr="00CD328D">
        <w:rPr>
          <w:sz w:val="21"/>
          <w:szCs w:val="21"/>
          <w:u w:val="single"/>
        </w:rPr>
        <w:t>considerably higher than the average</w:t>
      </w:r>
      <w:r w:rsidR="00F272B3" w:rsidRPr="00CD328D">
        <w:rPr>
          <w:sz w:val="21"/>
          <w:szCs w:val="21"/>
        </w:rPr>
        <w:t xml:space="preserve"> </w:t>
      </w:r>
      <w:r w:rsidR="007367C3" w:rsidRPr="00CD328D">
        <w:rPr>
          <w:sz w:val="21"/>
          <w:szCs w:val="21"/>
        </w:rPr>
        <w:t xml:space="preserve">for </w:t>
      </w:r>
      <w:r w:rsidRPr="00CD328D">
        <w:rPr>
          <w:sz w:val="21"/>
          <w:szCs w:val="21"/>
        </w:rPr>
        <w:t>FacWideIN:</w:t>
      </w:r>
    </w:p>
    <w:p w14:paraId="313A5215" w14:textId="66FC6E33" w:rsidR="00D22BB2" w:rsidRPr="00CD328D" w:rsidRDefault="00D22BB2" w:rsidP="00D22BB2">
      <w:pPr>
        <w:pStyle w:val="NoSpacing"/>
        <w:numPr>
          <w:ilvl w:val="0"/>
          <w:numId w:val="15"/>
        </w:numPr>
        <w:ind w:hanging="360"/>
        <w:rPr>
          <w:sz w:val="21"/>
          <w:szCs w:val="21"/>
        </w:rPr>
      </w:pPr>
      <w:r w:rsidRPr="00CD328D">
        <w:rPr>
          <w:b/>
          <w:bCs/>
          <w:sz w:val="21"/>
          <w:szCs w:val="21"/>
        </w:rPr>
        <w:t>Question:</w:t>
      </w:r>
      <w:r w:rsidRPr="00CD328D">
        <w:rPr>
          <w:sz w:val="21"/>
          <w:szCs w:val="21"/>
        </w:rPr>
        <w:t xml:space="preserve"> Is the system including additional locations in the HAI </w:t>
      </w:r>
      <w:r w:rsidR="007367C3" w:rsidRPr="00CD328D">
        <w:rPr>
          <w:sz w:val="21"/>
          <w:szCs w:val="21"/>
        </w:rPr>
        <w:t xml:space="preserve">FacWideIN </w:t>
      </w:r>
      <w:r w:rsidRPr="00CD328D">
        <w:rPr>
          <w:sz w:val="21"/>
          <w:szCs w:val="21"/>
        </w:rPr>
        <w:t>MDRO/CDI summary patient day counts</w:t>
      </w:r>
      <w:r w:rsidR="007367C3" w:rsidRPr="00CD328D">
        <w:rPr>
          <w:sz w:val="21"/>
          <w:szCs w:val="21"/>
        </w:rPr>
        <w:t xml:space="preserve"> that </w:t>
      </w:r>
      <w:r w:rsidR="00536901" w:rsidRPr="00CD328D">
        <w:rPr>
          <w:sz w:val="21"/>
          <w:szCs w:val="21"/>
        </w:rPr>
        <w:t xml:space="preserve">it is not including </w:t>
      </w:r>
      <w:r w:rsidR="007367C3" w:rsidRPr="00CD328D">
        <w:rPr>
          <w:sz w:val="21"/>
          <w:szCs w:val="21"/>
        </w:rPr>
        <w:t>in the AU FacWideIN counts</w:t>
      </w:r>
      <w:r w:rsidRPr="00CD328D">
        <w:rPr>
          <w:sz w:val="21"/>
          <w:szCs w:val="21"/>
        </w:rPr>
        <w:t>? (Y/N)</w:t>
      </w:r>
    </w:p>
    <w:p w14:paraId="256BC1C1" w14:textId="55B8006A" w:rsidR="00D22BB2" w:rsidRPr="00CD328D" w:rsidRDefault="00D22BB2" w:rsidP="00E7261C">
      <w:pPr>
        <w:pStyle w:val="NoSpacing"/>
        <w:ind w:left="1080"/>
        <w:rPr>
          <w:sz w:val="21"/>
          <w:szCs w:val="21"/>
        </w:rPr>
      </w:pPr>
      <w:r w:rsidRPr="00CD328D">
        <w:rPr>
          <w:b/>
          <w:bCs/>
          <w:sz w:val="21"/>
          <w:szCs w:val="21"/>
        </w:rPr>
        <w:t>Note:</w:t>
      </w:r>
      <w:r w:rsidRPr="00CD328D">
        <w:rPr>
          <w:sz w:val="21"/>
          <w:szCs w:val="21"/>
        </w:rPr>
        <w:t xml:space="preserve"> For AU reporting, the vendor system should only include those locations </w:t>
      </w:r>
      <w:r w:rsidR="001F1D12" w:rsidRPr="00CD328D">
        <w:rPr>
          <w:sz w:val="21"/>
          <w:szCs w:val="21"/>
        </w:rPr>
        <w:t xml:space="preserve">in the FacWideIN record </w:t>
      </w:r>
      <w:r w:rsidRPr="00CD328D">
        <w:rPr>
          <w:sz w:val="21"/>
          <w:szCs w:val="21"/>
        </w:rPr>
        <w:t>where</w:t>
      </w:r>
      <w:r w:rsidR="001F1D12" w:rsidRPr="00CD328D">
        <w:rPr>
          <w:sz w:val="21"/>
          <w:szCs w:val="21"/>
        </w:rPr>
        <w:t xml:space="preserve"> the system can accurately electronically capture</w:t>
      </w:r>
      <w:r w:rsidRPr="00CD328D">
        <w:rPr>
          <w:sz w:val="21"/>
          <w:szCs w:val="21"/>
        </w:rPr>
        <w:t xml:space="preserve"> both the numerator and denominator. Therefore, the vendor system might exclude some locations from AU FacWideIN and include them in HAI MDRO/CDI FacWideIN. </w:t>
      </w:r>
    </w:p>
    <w:p w14:paraId="4E2892AE" w14:textId="058FEB24" w:rsidR="00F272B3" w:rsidRPr="00CD328D" w:rsidRDefault="00F272B3" w:rsidP="00D22BB2">
      <w:pPr>
        <w:pStyle w:val="NoSpacing"/>
        <w:ind w:left="720"/>
        <w:rPr>
          <w:sz w:val="21"/>
          <w:szCs w:val="21"/>
        </w:rPr>
      </w:pPr>
    </w:p>
    <w:p w14:paraId="7D3C73F4" w14:textId="13395A78" w:rsidR="00F272B3" w:rsidRPr="00CD328D" w:rsidRDefault="00F272B3" w:rsidP="00D22BB2">
      <w:pPr>
        <w:pStyle w:val="NoSpacing"/>
        <w:ind w:left="720"/>
        <w:rPr>
          <w:sz w:val="21"/>
          <w:szCs w:val="21"/>
        </w:rPr>
      </w:pPr>
    </w:p>
    <w:p w14:paraId="1A5066C4" w14:textId="77777777" w:rsidR="00F272B3" w:rsidRPr="00CD328D" w:rsidRDefault="00F272B3" w:rsidP="00D22BB2">
      <w:pPr>
        <w:pStyle w:val="NoSpacing"/>
        <w:ind w:left="720"/>
        <w:rPr>
          <w:sz w:val="21"/>
          <w:szCs w:val="21"/>
        </w:rPr>
      </w:pPr>
    </w:p>
    <w:p w14:paraId="0BAC6AAA" w14:textId="361B81CA" w:rsidR="00D22BB2" w:rsidRPr="00CD328D" w:rsidRDefault="00D22BB2" w:rsidP="00AE46DF">
      <w:pPr>
        <w:pStyle w:val="NoSpacing"/>
        <w:numPr>
          <w:ilvl w:val="0"/>
          <w:numId w:val="13"/>
        </w:numPr>
        <w:rPr>
          <w:sz w:val="21"/>
          <w:szCs w:val="21"/>
        </w:rPr>
      </w:pPr>
      <w:r w:rsidRPr="00CD328D">
        <w:rPr>
          <w:b/>
          <w:bCs/>
          <w:sz w:val="21"/>
          <w:szCs w:val="21"/>
        </w:rPr>
        <w:t>Question:</w:t>
      </w:r>
      <w:r w:rsidRPr="00CD328D">
        <w:rPr>
          <w:sz w:val="21"/>
          <w:szCs w:val="21"/>
        </w:rPr>
        <w:t xml:space="preserve"> Are the </w:t>
      </w:r>
      <w:r w:rsidR="00E31401">
        <w:rPr>
          <w:sz w:val="21"/>
          <w:szCs w:val="21"/>
        </w:rPr>
        <w:t xml:space="preserve">AU Option </w:t>
      </w:r>
      <w:r w:rsidRPr="00CD328D">
        <w:rPr>
          <w:sz w:val="21"/>
          <w:szCs w:val="21"/>
        </w:rPr>
        <w:t xml:space="preserve">admission counts </w:t>
      </w:r>
      <w:r w:rsidR="00E31401">
        <w:rPr>
          <w:sz w:val="21"/>
          <w:szCs w:val="21"/>
        </w:rPr>
        <w:t>slightly higher than MDRO/CDI Module admission counts</w:t>
      </w:r>
      <w:r w:rsidRPr="00CD328D">
        <w:rPr>
          <w:sz w:val="21"/>
          <w:szCs w:val="21"/>
        </w:rPr>
        <w:t>? (Y/N/NA)</w:t>
      </w:r>
    </w:p>
    <w:p w14:paraId="59F07DB2" w14:textId="7A13005C" w:rsidR="00F272B3" w:rsidRDefault="00F272B3" w:rsidP="00F272B3">
      <w:pPr>
        <w:pStyle w:val="NoSpacing"/>
        <w:rPr>
          <w:sz w:val="21"/>
          <w:szCs w:val="21"/>
        </w:rPr>
      </w:pPr>
    </w:p>
    <w:p w14:paraId="6B97BF26" w14:textId="378D0F3D" w:rsidR="00AE46DF" w:rsidRDefault="00AE46DF" w:rsidP="00AE46DF">
      <w:pPr>
        <w:pStyle w:val="NoSpacing"/>
        <w:rPr>
          <w:sz w:val="21"/>
          <w:szCs w:val="21"/>
        </w:rPr>
      </w:pPr>
    </w:p>
    <w:p w14:paraId="398E6982" w14:textId="53FC78FD" w:rsidR="00AE46DF" w:rsidRPr="00D22BB2" w:rsidRDefault="00AE46DF" w:rsidP="00AE46DF">
      <w:pPr>
        <w:pStyle w:val="Heading4"/>
        <w:ind w:firstLine="720"/>
      </w:pPr>
      <w:r>
        <w:t>Outpatient days present and encounters</w:t>
      </w:r>
    </w:p>
    <w:p w14:paraId="5D75159E" w14:textId="54416E8D" w:rsidR="00AE46DF" w:rsidRPr="00CD328D" w:rsidRDefault="007367C3">
      <w:pPr>
        <w:pStyle w:val="NoSpacing"/>
        <w:ind w:left="720"/>
        <w:rPr>
          <w:sz w:val="21"/>
          <w:szCs w:val="21"/>
        </w:rPr>
      </w:pPr>
      <w:r w:rsidRPr="00CD328D">
        <w:rPr>
          <w:b/>
          <w:bCs/>
          <w:sz w:val="21"/>
          <w:szCs w:val="21"/>
        </w:rPr>
        <w:t>Methodology</w:t>
      </w:r>
      <w:r w:rsidRPr="00CD328D">
        <w:rPr>
          <w:sz w:val="21"/>
          <w:szCs w:val="21"/>
        </w:rPr>
        <w:t>: P</w:t>
      </w:r>
      <w:r w:rsidR="00AE46DF" w:rsidRPr="00CD328D">
        <w:rPr>
          <w:sz w:val="21"/>
          <w:szCs w:val="21"/>
        </w:rPr>
        <w:t xml:space="preserve">lease list the days present and encounters reported for the </w:t>
      </w:r>
      <w:r w:rsidR="00DA038D" w:rsidRPr="00CD328D">
        <w:rPr>
          <w:sz w:val="21"/>
          <w:szCs w:val="21"/>
        </w:rPr>
        <w:t>ED</w:t>
      </w:r>
      <w:r w:rsidR="00AE46DF" w:rsidRPr="00CD328D">
        <w:rPr>
          <w:sz w:val="21"/>
          <w:szCs w:val="21"/>
        </w:rPr>
        <w:t xml:space="preserve"> and 24-hour Observation locations in the table below, as applicable. You can find the HAI MDRO/CDI encounters on the NHSN MDRO/CDI Module summary records used for LabID reporting.</w:t>
      </w:r>
      <w:r w:rsidRPr="00CD328D">
        <w:rPr>
          <w:sz w:val="21"/>
          <w:szCs w:val="21"/>
        </w:rPr>
        <w:t xml:space="preserve"> </w:t>
      </w:r>
      <w:r w:rsidR="00AE46DF" w:rsidRPr="00CD328D">
        <w:rPr>
          <w:sz w:val="21"/>
          <w:szCs w:val="21"/>
        </w:rPr>
        <w:t>You may need to ask your IP for help in finding these numbers within NHSN.</w:t>
      </w:r>
    </w:p>
    <w:p w14:paraId="6FCB3679" w14:textId="77777777" w:rsidR="00AE46DF" w:rsidRPr="00CD328D" w:rsidRDefault="00AE46DF" w:rsidP="00AE46DF">
      <w:pPr>
        <w:pStyle w:val="NoSpacing"/>
        <w:rPr>
          <w:sz w:val="21"/>
          <w:szCs w:val="21"/>
        </w:rPr>
      </w:pPr>
    </w:p>
    <w:p w14:paraId="0942671D" w14:textId="6D3AF242" w:rsidR="00D22BB2" w:rsidRPr="00CD328D" w:rsidRDefault="00AE46DF" w:rsidP="00AE46DF">
      <w:pPr>
        <w:pStyle w:val="NoSpacing"/>
        <w:ind w:left="720"/>
        <w:rPr>
          <w:sz w:val="21"/>
          <w:szCs w:val="21"/>
        </w:rPr>
      </w:pPr>
      <w:r w:rsidRPr="00CD328D">
        <w:rPr>
          <w:sz w:val="21"/>
          <w:szCs w:val="21"/>
        </w:rPr>
        <w:t xml:space="preserve">Based on internal NHSN analyses of days present and encounters, on average the </w:t>
      </w:r>
      <w:r w:rsidR="00DA038D" w:rsidRPr="00CD328D">
        <w:rPr>
          <w:sz w:val="21"/>
          <w:szCs w:val="21"/>
        </w:rPr>
        <w:t>ED</w:t>
      </w:r>
      <w:r w:rsidRPr="00CD328D">
        <w:rPr>
          <w:sz w:val="21"/>
          <w:szCs w:val="21"/>
        </w:rPr>
        <w:t xml:space="preserve"> and 24-hour Observation AU days present are 14% higher than the HAI patient days for the same month/location.</w:t>
      </w:r>
    </w:p>
    <w:p w14:paraId="12B304F9" w14:textId="77777777" w:rsidR="00432044" w:rsidRDefault="00432044" w:rsidP="00AE46DF">
      <w:pPr>
        <w:pStyle w:val="NoSpacing"/>
        <w:rPr>
          <w:sz w:val="21"/>
          <w:szCs w:val="21"/>
        </w:rPr>
        <w:sectPr w:rsidR="00432044" w:rsidSect="003D38E6">
          <w:pgSz w:w="12240" w:h="15840" w:code="1"/>
          <w:pgMar w:top="540" w:right="720" w:bottom="720" w:left="720" w:header="720" w:footer="288" w:gutter="0"/>
          <w:cols w:space="720"/>
          <w:titlePg/>
          <w:docGrid w:linePitch="360"/>
        </w:sectPr>
      </w:pPr>
    </w:p>
    <w:p w14:paraId="2058A9B4" w14:textId="0BBDFD81" w:rsidR="00AE46DF" w:rsidRPr="00CD328D" w:rsidRDefault="00AE46DF" w:rsidP="00AE46DF">
      <w:pPr>
        <w:pStyle w:val="NoSpacing"/>
        <w:rPr>
          <w:sz w:val="21"/>
          <w:szCs w:val="21"/>
        </w:rPr>
      </w:pPr>
    </w:p>
    <w:tbl>
      <w:tblPr>
        <w:tblStyle w:val="TableGrid"/>
        <w:tblW w:w="0" w:type="auto"/>
        <w:tblInd w:w="355" w:type="dxa"/>
        <w:tblLook w:val="04A0" w:firstRow="1" w:lastRow="0" w:firstColumn="1" w:lastColumn="0" w:noHBand="0" w:noVBand="1"/>
      </w:tblPr>
      <w:tblGrid>
        <w:gridCol w:w="2430"/>
        <w:gridCol w:w="1531"/>
        <w:gridCol w:w="2009"/>
        <w:gridCol w:w="2010"/>
        <w:gridCol w:w="2010"/>
      </w:tblGrid>
      <w:tr w:rsidR="00AE46DF" w:rsidRPr="00CD328D" w14:paraId="514BF36E" w14:textId="77777777" w:rsidTr="00432044">
        <w:trPr>
          <w:cantSplit/>
        </w:trPr>
        <w:tc>
          <w:tcPr>
            <w:tcW w:w="2430" w:type="dxa"/>
            <w:vAlign w:val="center"/>
          </w:tcPr>
          <w:p w14:paraId="579DFA5C" w14:textId="0AC1F6D1" w:rsidR="00AE46DF" w:rsidRPr="00CD328D" w:rsidRDefault="00AE46DF" w:rsidP="004012C8">
            <w:pPr>
              <w:pStyle w:val="NoSpacing"/>
              <w:rPr>
                <w:b/>
                <w:sz w:val="21"/>
                <w:szCs w:val="21"/>
              </w:rPr>
            </w:pPr>
            <w:r w:rsidRPr="00CD328D">
              <w:rPr>
                <w:rFonts w:cs="Arial"/>
                <w:b/>
                <w:sz w:val="21"/>
                <w:szCs w:val="21"/>
              </w:rPr>
              <w:t>Location</w:t>
            </w:r>
          </w:p>
        </w:tc>
        <w:tc>
          <w:tcPr>
            <w:tcW w:w="1531" w:type="dxa"/>
            <w:vAlign w:val="center"/>
          </w:tcPr>
          <w:p w14:paraId="629A7988" w14:textId="4E266C3E" w:rsidR="00AE46DF" w:rsidRPr="00CD328D" w:rsidRDefault="00AE46DF" w:rsidP="004012C8">
            <w:pPr>
              <w:pStyle w:val="NoSpacing"/>
              <w:rPr>
                <w:b/>
                <w:sz w:val="21"/>
                <w:szCs w:val="21"/>
              </w:rPr>
            </w:pPr>
            <w:r w:rsidRPr="00CD328D">
              <w:rPr>
                <w:rFonts w:cs="Arial"/>
                <w:b/>
                <w:sz w:val="21"/>
                <w:szCs w:val="21"/>
              </w:rPr>
              <w:t>Month/Year</w:t>
            </w:r>
          </w:p>
        </w:tc>
        <w:tc>
          <w:tcPr>
            <w:tcW w:w="2009" w:type="dxa"/>
            <w:vAlign w:val="center"/>
          </w:tcPr>
          <w:p w14:paraId="5B3535A4" w14:textId="331368D5" w:rsidR="00AE46DF" w:rsidRPr="00CD328D" w:rsidRDefault="00AE46DF" w:rsidP="004012C8">
            <w:pPr>
              <w:pStyle w:val="NoSpacing"/>
              <w:rPr>
                <w:b/>
                <w:sz w:val="21"/>
                <w:szCs w:val="21"/>
              </w:rPr>
            </w:pPr>
            <w:r w:rsidRPr="00CD328D">
              <w:rPr>
                <w:rFonts w:cs="Arial"/>
                <w:b/>
                <w:sz w:val="21"/>
                <w:szCs w:val="21"/>
              </w:rPr>
              <w:t>Total AU Days Present</w:t>
            </w:r>
          </w:p>
        </w:tc>
        <w:tc>
          <w:tcPr>
            <w:tcW w:w="2010" w:type="dxa"/>
            <w:vAlign w:val="center"/>
          </w:tcPr>
          <w:p w14:paraId="2357A940" w14:textId="21A79C8A" w:rsidR="00AE46DF" w:rsidRPr="00CD328D" w:rsidRDefault="00AE46DF" w:rsidP="004012C8">
            <w:pPr>
              <w:pStyle w:val="NoSpacing"/>
              <w:rPr>
                <w:b/>
                <w:sz w:val="21"/>
                <w:szCs w:val="21"/>
              </w:rPr>
            </w:pPr>
            <w:r w:rsidRPr="00CD328D">
              <w:rPr>
                <w:rFonts w:cs="Arial"/>
                <w:b/>
                <w:sz w:val="21"/>
                <w:szCs w:val="21"/>
              </w:rPr>
              <w:t>Total MDRO/CDI Encounters</w:t>
            </w:r>
          </w:p>
        </w:tc>
        <w:tc>
          <w:tcPr>
            <w:tcW w:w="2010" w:type="dxa"/>
            <w:vAlign w:val="center"/>
          </w:tcPr>
          <w:p w14:paraId="7504B977" w14:textId="36D46BFC" w:rsidR="00AE46DF" w:rsidRPr="00CD328D" w:rsidRDefault="00AE46DF" w:rsidP="004012C8">
            <w:pPr>
              <w:pStyle w:val="NoSpacing"/>
              <w:rPr>
                <w:b/>
                <w:sz w:val="21"/>
                <w:szCs w:val="21"/>
              </w:rPr>
            </w:pPr>
            <w:r w:rsidRPr="00CD328D">
              <w:rPr>
                <w:b/>
                <w:sz w:val="21"/>
                <w:szCs w:val="21"/>
              </w:rPr>
              <w:t>Percent Difference</w:t>
            </w:r>
          </w:p>
        </w:tc>
      </w:tr>
      <w:tr w:rsidR="0029361B" w:rsidRPr="00CD328D" w14:paraId="2A82CDAB" w14:textId="77777777" w:rsidTr="00432044">
        <w:trPr>
          <w:cantSplit/>
        </w:trPr>
        <w:tc>
          <w:tcPr>
            <w:tcW w:w="2430" w:type="dxa"/>
            <w:vAlign w:val="center"/>
          </w:tcPr>
          <w:p w14:paraId="69C69DB2" w14:textId="61A1DD04" w:rsidR="0029361B" w:rsidRPr="00CD328D" w:rsidRDefault="0029361B" w:rsidP="0029361B">
            <w:pPr>
              <w:pStyle w:val="NoSpacing"/>
              <w:rPr>
                <w:sz w:val="21"/>
                <w:szCs w:val="21"/>
              </w:rPr>
            </w:pPr>
            <w:r w:rsidRPr="00CD328D">
              <w:rPr>
                <w:rFonts w:cs="Arial"/>
                <w:b/>
                <w:sz w:val="21"/>
                <w:szCs w:val="21"/>
              </w:rPr>
              <w:t>Emergency Department</w:t>
            </w:r>
          </w:p>
        </w:tc>
        <w:tc>
          <w:tcPr>
            <w:tcW w:w="1531" w:type="dxa"/>
          </w:tcPr>
          <w:p w14:paraId="039CB499" w14:textId="77777777" w:rsidR="0029361B" w:rsidRPr="00CD328D" w:rsidRDefault="0029361B" w:rsidP="0029361B">
            <w:pPr>
              <w:pStyle w:val="NoSpacing"/>
              <w:rPr>
                <w:sz w:val="21"/>
                <w:szCs w:val="21"/>
              </w:rPr>
            </w:pPr>
          </w:p>
        </w:tc>
        <w:tc>
          <w:tcPr>
            <w:tcW w:w="2009" w:type="dxa"/>
          </w:tcPr>
          <w:p w14:paraId="2DC8F985" w14:textId="77777777" w:rsidR="0029361B" w:rsidRPr="00CD328D" w:rsidRDefault="0029361B" w:rsidP="0029361B">
            <w:pPr>
              <w:pStyle w:val="NoSpacing"/>
              <w:rPr>
                <w:sz w:val="21"/>
                <w:szCs w:val="21"/>
              </w:rPr>
            </w:pPr>
          </w:p>
        </w:tc>
        <w:tc>
          <w:tcPr>
            <w:tcW w:w="2010" w:type="dxa"/>
          </w:tcPr>
          <w:p w14:paraId="1219360A" w14:textId="77777777" w:rsidR="0029361B" w:rsidRPr="00CD328D" w:rsidRDefault="0029361B" w:rsidP="0029361B">
            <w:pPr>
              <w:pStyle w:val="NoSpacing"/>
              <w:rPr>
                <w:sz w:val="21"/>
                <w:szCs w:val="21"/>
              </w:rPr>
            </w:pPr>
          </w:p>
        </w:tc>
        <w:tc>
          <w:tcPr>
            <w:tcW w:w="2010" w:type="dxa"/>
          </w:tcPr>
          <w:p w14:paraId="6C3AE57D" w14:textId="77777777" w:rsidR="0029361B" w:rsidRPr="00CD328D" w:rsidRDefault="0029361B" w:rsidP="0029361B">
            <w:pPr>
              <w:pStyle w:val="NoSpacing"/>
              <w:rPr>
                <w:sz w:val="21"/>
                <w:szCs w:val="21"/>
              </w:rPr>
            </w:pPr>
          </w:p>
        </w:tc>
      </w:tr>
      <w:tr w:rsidR="0029361B" w:rsidRPr="00CD328D" w14:paraId="59B3284B" w14:textId="77777777" w:rsidTr="00432044">
        <w:trPr>
          <w:cantSplit/>
        </w:trPr>
        <w:tc>
          <w:tcPr>
            <w:tcW w:w="2430" w:type="dxa"/>
            <w:vAlign w:val="center"/>
          </w:tcPr>
          <w:p w14:paraId="00D4498E" w14:textId="19A8D09A" w:rsidR="0029361B" w:rsidRPr="00CD328D" w:rsidRDefault="0029361B" w:rsidP="0029361B">
            <w:pPr>
              <w:pStyle w:val="NoSpacing"/>
              <w:rPr>
                <w:sz w:val="21"/>
                <w:szCs w:val="21"/>
              </w:rPr>
            </w:pPr>
            <w:r w:rsidRPr="00CD328D">
              <w:rPr>
                <w:rFonts w:cs="Arial"/>
                <w:b/>
                <w:sz w:val="21"/>
                <w:szCs w:val="21"/>
              </w:rPr>
              <w:t>Pediatric Emergency Department</w:t>
            </w:r>
          </w:p>
        </w:tc>
        <w:tc>
          <w:tcPr>
            <w:tcW w:w="1531" w:type="dxa"/>
          </w:tcPr>
          <w:p w14:paraId="6B168E25" w14:textId="77777777" w:rsidR="0029361B" w:rsidRPr="00CD328D" w:rsidRDefault="0029361B" w:rsidP="0029361B">
            <w:pPr>
              <w:pStyle w:val="NoSpacing"/>
              <w:rPr>
                <w:sz w:val="21"/>
                <w:szCs w:val="21"/>
              </w:rPr>
            </w:pPr>
          </w:p>
        </w:tc>
        <w:tc>
          <w:tcPr>
            <w:tcW w:w="2009" w:type="dxa"/>
          </w:tcPr>
          <w:p w14:paraId="5B581F2C" w14:textId="77777777" w:rsidR="0029361B" w:rsidRPr="00CD328D" w:rsidRDefault="0029361B" w:rsidP="0029361B">
            <w:pPr>
              <w:pStyle w:val="NoSpacing"/>
              <w:rPr>
                <w:sz w:val="21"/>
                <w:szCs w:val="21"/>
              </w:rPr>
            </w:pPr>
          </w:p>
        </w:tc>
        <w:tc>
          <w:tcPr>
            <w:tcW w:w="2010" w:type="dxa"/>
          </w:tcPr>
          <w:p w14:paraId="5EB0B86B" w14:textId="77777777" w:rsidR="0029361B" w:rsidRPr="00CD328D" w:rsidRDefault="0029361B" w:rsidP="0029361B">
            <w:pPr>
              <w:pStyle w:val="NoSpacing"/>
              <w:rPr>
                <w:sz w:val="21"/>
                <w:szCs w:val="21"/>
              </w:rPr>
            </w:pPr>
          </w:p>
        </w:tc>
        <w:tc>
          <w:tcPr>
            <w:tcW w:w="2010" w:type="dxa"/>
          </w:tcPr>
          <w:p w14:paraId="3C9FCE1E" w14:textId="77777777" w:rsidR="0029361B" w:rsidRPr="00CD328D" w:rsidRDefault="0029361B" w:rsidP="0029361B">
            <w:pPr>
              <w:pStyle w:val="NoSpacing"/>
              <w:rPr>
                <w:sz w:val="21"/>
                <w:szCs w:val="21"/>
              </w:rPr>
            </w:pPr>
          </w:p>
        </w:tc>
      </w:tr>
      <w:tr w:rsidR="0029361B" w:rsidRPr="00CD328D" w14:paraId="0E188568" w14:textId="77777777" w:rsidTr="00432044">
        <w:trPr>
          <w:cantSplit/>
        </w:trPr>
        <w:tc>
          <w:tcPr>
            <w:tcW w:w="2430" w:type="dxa"/>
            <w:vAlign w:val="center"/>
          </w:tcPr>
          <w:p w14:paraId="0F849B6C" w14:textId="7C5757DE" w:rsidR="0029361B" w:rsidRPr="00CD328D" w:rsidRDefault="0029361B" w:rsidP="0029361B">
            <w:pPr>
              <w:pStyle w:val="NoSpacing"/>
              <w:rPr>
                <w:sz w:val="21"/>
                <w:szCs w:val="21"/>
              </w:rPr>
            </w:pPr>
            <w:r w:rsidRPr="00CD328D">
              <w:rPr>
                <w:rFonts w:cs="Arial"/>
                <w:b/>
                <w:sz w:val="21"/>
                <w:szCs w:val="21"/>
              </w:rPr>
              <w:t>24-hour Observation</w:t>
            </w:r>
          </w:p>
        </w:tc>
        <w:tc>
          <w:tcPr>
            <w:tcW w:w="1531" w:type="dxa"/>
          </w:tcPr>
          <w:p w14:paraId="6D4B3E98" w14:textId="77777777" w:rsidR="0029361B" w:rsidRPr="00CD328D" w:rsidRDefault="0029361B" w:rsidP="0029361B">
            <w:pPr>
              <w:pStyle w:val="NoSpacing"/>
              <w:rPr>
                <w:sz w:val="21"/>
                <w:szCs w:val="21"/>
              </w:rPr>
            </w:pPr>
          </w:p>
        </w:tc>
        <w:tc>
          <w:tcPr>
            <w:tcW w:w="2009" w:type="dxa"/>
          </w:tcPr>
          <w:p w14:paraId="7AAD4E8B" w14:textId="77777777" w:rsidR="0029361B" w:rsidRPr="00CD328D" w:rsidRDefault="0029361B" w:rsidP="0029361B">
            <w:pPr>
              <w:pStyle w:val="NoSpacing"/>
              <w:rPr>
                <w:sz w:val="21"/>
                <w:szCs w:val="21"/>
              </w:rPr>
            </w:pPr>
          </w:p>
        </w:tc>
        <w:tc>
          <w:tcPr>
            <w:tcW w:w="2010" w:type="dxa"/>
          </w:tcPr>
          <w:p w14:paraId="65AB181D" w14:textId="77777777" w:rsidR="0029361B" w:rsidRPr="00CD328D" w:rsidRDefault="0029361B" w:rsidP="0029361B">
            <w:pPr>
              <w:pStyle w:val="NoSpacing"/>
              <w:rPr>
                <w:sz w:val="21"/>
                <w:szCs w:val="21"/>
              </w:rPr>
            </w:pPr>
          </w:p>
        </w:tc>
        <w:tc>
          <w:tcPr>
            <w:tcW w:w="2010" w:type="dxa"/>
          </w:tcPr>
          <w:p w14:paraId="6FC906D8" w14:textId="77777777" w:rsidR="0029361B" w:rsidRPr="00CD328D" w:rsidRDefault="0029361B" w:rsidP="0029361B">
            <w:pPr>
              <w:pStyle w:val="NoSpacing"/>
              <w:rPr>
                <w:sz w:val="21"/>
                <w:szCs w:val="21"/>
              </w:rPr>
            </w:pPr>
          </w:p>
        </w:tc>
      </w:tr>
    </w:tbl>
    <w:p w14:paraId="5027A4CC" w14:textId="0EA4D8BF" w:rsidR="00AE46DF" w:rsidRPr="00CD328D" w:rsidRDefault="00AE46DF" w:rsidP="00AE46DF">
      <w:pPr>
        <w:pStyle w:val="NoSpacing"/>
        <w:rPr>
          <w:sz w:val="21"/>
          <w:szCs w:val="21"/>
        </w:rPr>
      </w:pPr>
    </w:p>
    <w:p w14:paraId="651BC1DE" w14:textId="0C1788A3" w:rsidR="0029361B" w:rsidRPr="00CD328D" w:rsidRDefault="0029361B" w:rsidP="0029361B">
      <w:pPr>
        <w:pStyle w:val="NoSpacing"/>
        <w:numPr>
          <w:ilvl w:val="0"/>
          <w:numId w:val="13"/>
        </w:numPr>
        <w:rPr>
          <w:sz w:val="21"/>
          <w:szCs w:val="21"/>
        </w:rPr>
      </w:pPr>
      <w:r w:rsidRPr="00CD328D">
        <w:rPr>
          <w:b/>
          <w:bCs/>
          <w:sz w:val="21"/>
          <w:szCs w:val="21"/>
        </w:rPr>
        <w:t>Question:</w:t>
      </w:r>
      <w:r w:rsidRPr="00CD328D">
        <w:rPr>
          <w:sz w:val="21"/>
          <w:szCs w:val="21"/>
        </w:rPr>
        <w:t xml:space="preserve"> Are ED and 24-hour Observation AU days present greater than the HAI encounters for those outpatient locations for same time period? (Y/N/NA)</w:t>
      </w:r>
    </w:p>
    <w:p w14:paraId="7DE19114" w14:textId="5187B17D" w:rsidR="007367C3" w:rsidRDefault="007367C3" w:rsidP="007367C3">
      <w:pPr>
        <w:pStyle w:val="NoSpacing"/>
        <w:rPr>
          <w:sz w:val="21"/>
          <w:szCs w:val="21"/>
        </w:rPr>
      </w:pPr>
    </w:p>
    <w:p w14:paraId="5DB0E0C0" w14:textId="77777777" w:rsidR="007367C3" w:rsidRDefault="007367C3" w:rsidP="00E7261C">
      <w:pPr>
        <w:pStyle w:val="NoSpacing"/>
        <w:rPr>
          <w:sz w:val="21"/>
          <w:szCs w:val="21"/>
        </w:rPr>
      </w:pPr>
    </w:p>
    <w:p w14:paraId="1FA62304" w14:textId="439A196F" w:rsidR="0029361B" w:rsidRDefault="0029361B" w:rsidP="0029361B">
      <w:pPr>
        <w:pStyle w:val="NoSpacing"/>
        <w:rPr>
          <w:sz w:val="21"/>
          <w:szCs w:val="21"/>
        </w:rPr>
      </w:pPr>
    </w:p>
    <w:p w14:paraId="605E6824" w14:textId="401C6918" w:rsidR="0029361B" w:rsidRDefault="0029361B" w:rsidP="00E7261C">
      <w:pPr>
        <w:pStyle w:val="NoSpacing"/>
        <w:jc w:val="right"/>
        <w:rPr>
          <w:sz w:val="21"/>
          <w:szCs w:val="21"/>
        </w:rPr>
      </w:pPr>
      <w:r w:rsidRPr="0029361B">
        <w:rPr>
          <w:sz w:val="21"/>
          <w:szCs w:val="21"/>
        </w:rPr>
        <w:t xml:space="preserve">End Section B: Validation of </w:t>
      </w:r>
      <w:r w:rsidR="005B4DCE">
        <w:rPr>
          <w:sz w:val="21"/>
          <w:szCs w:val="21"/>
        </w:rPr>
        <w:t>data aggregations and calculations</w:t>
      </w:r>
    </w:p>
    <w:p w14:paraId="72D0B986" w14:textId="77777777" w:rsidR="0029361B" w:rsidRDefault="0029361B" w:rsidP="0029361B">
      <w:pPr>
        <w:pStyle w:val="NoSpacing"/>
        <w:rPr>
          <w:sz w:val="21"/>
          <w:szCs w:val="21"/>
        </w:rPr>
        <w:sectPr w:rsidR="0029361B" w:rsidSect="003D38E6">
          <w:pgSz w:w="12240" w:h="15840" w:code="1"/>
          <w:pgMar w:top="540" w:right="720" w:bottom="720" w:left="720" w:header="720" w:footer="288" w:gutter="0"/>
          <w:cols w:space="720"/>
          <w:titlePg/>
          <w:docGrid w:linePitch="360"/>
        </w:sectPr>
      </w:pPr>
    </w:p>
    <w:p w14:paraId="1F89A1E4" w14:textId="2FA787B6" w:rsidR="0029361B" w:rsidRDefault="0029361B" w:rsidP="0029361B">
      <w:pPr>
        <w:pStyle w:val="Heading2"/>
      </w:pPr>
      <w:bookmarkStart w:id="10" w:name="_Section_C._Spot"/>
      <w:bookmarkEnd w:id="10"/>
      <w:r>
        <w:lastRenderedPageBreak/>
        <w:t xml:space="preserve">Section C. </w:t>
      </w:r>
      <w:r w:rsidR="005B4DCE">
        <w:t>Spot check data submitted to NHSN</w:t>
      </w:r>
    </w:p>
    <w:p w14:paraId="6B6AD578" w14:textId="3BD1AFBA" w:rsidR="0029361B" w:rsidRDefault="0029361B" w:rsidP="0029361B">
      <w:r w:rsidRPr="0029361B">
        <w:t xml:space="preserve">Prior to beginning this section, you should upload at least one month’s worth of AU data into NHSN for all patient care locations. After uploading the data, generate a new data set in NHSN following the </w:t>
      </w:r>
      <w:hyperlink r:id="rId27" w:history="1">
        <w:r w:rsidR="005C2C37" w:rsidRPr="002537FA">
          <w:rPr>
            <w:rStyle w:val="Hyperlink"/>
          </w:rPr>
          <w:t>instructions for data set generation</w:t>
        </w:r>
      </w:hyperlink>
      <w:r w:rsidR="002537FA">
        <w:t>.</w:t>
      </w:r>
      <w:r>
        <w:t xml:space="preserve"> </w:t>
      </w:r>
      <w:r w:rsidR="0079710C" w:rsidRPr="00CF08D1">
        <w:rPr>
          <w:i/>
          <w:iCs/>
        </w:rPr>
        <w:t>For questions answered as “no”, we recommend listing an explanation for your internal reference.</w:t>
      </w:r>
    </w:p>
    <w:p w14:paraId="1FC28B0B" w14:textId="5F7105AA" w:rsidR="0029361B" w:rsidRDefault="0029361B" w:rsidP="0029361B">
      <w:pPr>
        <w:pStyle w:val="Heading3"/>
        <w:numPr>
          <w:ilvl w:val="0"/>
          <w:numId w:val="16"/>
        </w:numPr>
      </w:pPr>
      <w:bookmarkStart w:id="11" w:name="_Use_the_AU"/>
      <w:bookmarkStart w:id="12" w:name="_Hlk49949082"/>
      <w:bookmarkEnd w:id="11"/>
      <w:r>
        <w:t>Us</w:t>
      </w:r>
      <w:r w:rsidR="002F2B22">
        <w:t>e</w:t>
      </w:r>
      <w:r>
        <w:t xml:space="preserve"> the AU Option Data Quality Line List within NHSN</w:t>
      </w:r>
    </w:p>
    <w:p w14:paraId="75435D98" w14:textId="6900EA72" w:rsidR="00C56BDF" w:rsidRPr="00CD328D" w:rsidRDefault="00C56BDF" w:rsidP="00C56BDF">
      <w:pPr>
        <w:pStyle w:val="NoSpacing"/>
        <w:ind w:left="720"/>
        <w:rPr>
          <w:sz w:val="21"/>
          <w:szCs w:val="21"/>
        </w:rPr>
      </w:pPr>
      <w:r w:rsidRPr="00CD328D">
        <w:rPr>
          <w:b/>
          <w:bCs/>
          <w:sz w:val="21"/>
          <w:szCs w:val="21"/>
        </w:rPr>
        <w:t>Methodology:</w:t>
      </w:r>
      <w:r w:rsidRPr="00CD328D">
        <w:rPr>
          <w:sz w:val="21"/>
          <w:szCs w:val="21"/>
        </w:rPr>
        <w:t xml:space="preserve"> The AU Option Data Quality Line List provides facilities with a quick way to assess four data quality issues. </w:t>
      </w:r>
    </w:p>
    <w:p w14:paraId="346A8568" w14:textId="2BEB49E1" w:rsidR="00C56BDF" w:rsidRPr="00CD328D" w:rsidRDefault="00C56BDF" w:rsidP="00C56BDF">
      <w:pPr>
        <w:pStyle w:val="NoSpacing"/>
        <w:numPr>
          <w:ilvl w:val="0"/>
          <w:numId w:val="17"/>
        </w:numPr>
        <w:rPr>
          <w:sz w:val="21"/>
          <w:szCs w:val="21"/>
        </w:rPr>
      </w:pPr>
      <w:r w:rsidRPr="00CD328D">
        <w:rPr>
          <w:sz w:val="21"/>
          <w:szCs w:val="21"/>
        </w:rPr>
        <w:t>Zero or missing antimicrobial days</w:t>
      </w:r>
    </w:p>
    <w:p w14:paraId="758CC3EA" w14:textId="612EAFAF" w:rsidR="00C56BDF" w:rsidRPr="00CD328D" w:rsidRDefault="00C56BDF" w:rsidP="00C56BDF">
      <w:pPr>
        <w:pStyle w:val="NoSpacing"/>
        <w:numPr>
          <w:ilvl w:val="0"/>
          <w:numId w:val="17"/>
        </w:numPr>
        <w:rPr>
          <w:sz w:val="21"/>
          <w:szCs w:val="21"/>
        </w:rPr>
      </w:pPr>
      <w:r w:rsidRPr="00CD328D">
        <w:rPr>
          <w:sz w:val="21"/>
          <w:szCs w:val="21"/>
        </w:rPr>
        <w:t>Antimicrobial days reported w</w:t>
      </w:r>
      <w:r w:rsidR="00487BEA">
        <w:rPr>
          <w:sz w:val="21"/>
          <w:szCs w:val="21"/>
        </w:rPr>
        <w:t>hen</w:t>
      </w:r>
      <w:r w:rsidRPr="00CD328D">
        <w:rPr>
          <w:sz w:val="21"/>
          <w:szCs w:val="21"/>
        </w:rPr>
        <w:t xml:space="preserve"> patients were not present</w:t>
      </w:r>
    </w:p>
    <w:p w14:paraId="3444DFBF" w14:textId="5716AA02" w:rsidR="00C56BDF" w:rsidRPr="00CD328D" w:rsidRDefault="00C56BDF" w:rsidP="00C56BDF">
      <w:pPr>
        <w:pStyle w:val="NoSpacing"/>
        <w:numPr>
          <w:ilvl w:val="0"/>
          <w:numId w:val="17"/>
        </w:numPr>
        <w:rPr>
          <w:sz w:val="21"/>
          <w:szCs w:val="21"/>
        </w:rPr>
      </w:pPr>
      <w:r w:rsidRPr="00CD328D">
        <w:rPr>
          <w:sz w:val="21"/>
          <w:szCs w:val="21"/>
        </w:rPr>
        <w:t xml:space="preserve">Antimicrobial days </w:t>
      </w:r>
      <w:r w:rsidR="00487BEA">
        <w:rPr>
          <w:sz w:val="21"/>
          <w:szCs w:val="21"/>
        </w:rPr>
        <w:t>greater than or equal to</w:t>
      </w:r>
      <w:r w:rsidRPr="00CD328D">
        <w:rPr>
          <w:sz w:val="21"/>
          <w:szCs w:val="21"/>
        </w:rPr>
        <w:t xml:space="preserve"> Days present</w:t>
      </w:r>
    </w:p>
    <w:p w14:paraId="5148600D" w14:textId="1B84FBF9" w:rsidR="00C56BDF" w:rsidRPr="00CD328D" w:rsidRDefault="00C56BDF" w:rsidP="00C56BDF">
      <w:pPr>
        <w:pStyle w:val="NoSpacing"/>
        <w:numPr>
          <w:ilvl w:val="0"/>
          <w:numId w:val="17"/>
        </w:numPr>
        <w:rPr>
          <w:sz w:val="21"/>
          <w:szCs w:val="21"/>
        </w:rPr>
      </w:pPr>
      <w:r w:rsidRPr="00CD328D">
        <w:rPr>
          <w:sz w:val="21"/>
          <w:szCs w:val="21"/>
        </w:rPr>
        <w:t xml:space="preserve">Sum of routes </w:t>
      </w:r>
      <w:r w:rsidR="00487BEA">
        <w:rPr>
          <w:sz w:val="21"/>
          <w:szCs w:val="21"/>
        </w:rPr>
        <w:t>less than</w:t>
      </w:r>
      <w:r w:rsidR="00487BEA" w:rsidRPr="00CD328D">
        <w:rPr>
          <w:sz w:val="21"/>
          <w:szCs w:val="21"/>
        </w:rPr>
        <w:t xml:space="preserve"> </w:t>
      </w:r>
      <w:r w:rsidRPr="00CD328D">
        <w:rPr>
          <w:sz w:val="21"/>
          <w:szCs w:val="21"/>
        </w:rPr>
        <w:t xml:space="preserve">Total Antimicrobial days </w:t>
      </w:r>
    </w:p>
    <w:bookmarkEnd w:id="12"/>
    <w:p w14:paraId="6099BF5E" w14:textId="77777777" w:rsidR="00C56BDF" w:rsidRPr="00CD328D" w:rsidRDefault="00C56BDF" w:rsidP="00C56BDF">
      <w:pPr>
        <w:pStyle w:val="NoSpacing"/>
        <w:rPr>
          <w:sz w:val="21"/>
          <w:szCs w:val="21"/>
        </w:rPr>
      </w:pPr>
    </w:p>
    <w:p w14:paraId="17E8E370" w14:textId="11DDB255" w:rsidR="00C56BDF" w:rsidRPr="00CD328D" w:rsidRDefault="00C56BDF" w:rsidP="00C56BDF">
      <w:pPr>
        <w:pStyle w:val="NoSpacing"/>
        <w:ind w:left="720"/>
        <w:rPr>
          <w:sz w:val="21"/>
          <w:szCs w:val="21"/>
        </w:rPr>
      </w:pPr>
      <w:r w:rsidRPr="00CD328D">
        <w:rPr>
          <w:sz w:val="21"/>
          <w:szCs w:val="21"/>
        </w:rPr>
        <w:t xml:space="preserve">Run the </w:t>
      </w:r>
      <w:hyperlink r:id="rId28" w:history="1">
        <w:r w:rsidRPr="00CD328D">
          <w:rPr>
            <w:rStyle w:val="Hyperlink"/>
            <w:sz w:val="21"/>
            <w:szCs w:val="21"/>
          </w:rPr>
          <w:t>Data Quality Line List</w:t>
        </w:r>
      </w:hyperlink>
      <w:r w:rsidRPr="00CD328D">
        <w:rPr>
          <w:sz w:val="21"/>
          <w:szCs w:val="21"/>
        </w:rPr>
        <w:t xml:space="preserve"> within the NHSN application to check if these issues are present in your data. Within the document, you’ll also find guidance for interpreting your output and next steps for how to address the data quality issue(s).</w:t>
      </w:r>
    </w:p>
    <w:p w14:paraId="08E8940E" w14:textId="5D849129" w:rsidR="00C56BDF" w:rsidRDefault="00C56BDF" w:rsidP="00C56BDF">
      <w:pPr>
        <w:pStyle w:val="NoSpacing"/>
      </w:pPr>
    </w:p>
    <w:p w14:paraId="41C1B4F3" w14:textId="7DA25DDB" w:rsidR="00C56BDF" w:rsidRDefault="002F2B22" w:rsidP="00C56BDF">
      <w:pPr>
        <w:pStyle w:val="Heading3"/>
        <w:numPr>
          <w:ilvl w:val="0"/>
          <w:numId w:val="16"/>
        </w:numPr>
      </w:pPr>
      <w:bookmarkStart w:id="13" w:name="_Review_less_common"/>
      <w:bookmarkEnd w:id="13"/>
      <w:r>
        <w:t>Review</w:t>
      </w:r>
      <w:r w:rsidR="00C56BDF">
        <w:t xml:space="preserve"> less common</w:t>
      </w:r>
      <w:r>
        <w:t xml:space="preserve"> routes of</w:t>
      </w:r>
      <w:r w:rsidR="00C56BDF">
        <w:t xml:space="preserve"> administration</w:t>
      </w:r>
    </w:p>
    <w:p w14:paraId="538F60BF" w14:textId="53686169" w:rsidR="00C56BDF" w:rsidRPr="00CD328D" w:rsidRDefault="00C56BDF" w:rsidP="00C56BDF">
      <w:pPr>
        <w:pStyle w:val="NoSpacing"/>
        <w:ind w:left="720"/>
        <w:rPr>
          <w:i/>
          <w:iCs/>
          <w:sz w:val="21"/>
          <w:szCs w:val="21"/>
        </w:rPr>
      </w:pPr>
      <w:r w:rsidRPr="00CD328D">
        <w:rPr>
          <w:b/>
          <w:bCs/>
          <w:sz w:val="21"/>
          <w:szCs w:val="21"/>
        </w:rPr>
        <w:t>Methodology:</w:t>
      </w:r>
      <w:r w:rsidRPr="00CD328D">
        <w:rPr>
          <w:sz w:val="21"/>
          <w:szCs w:val="21"/>
        </w:rPr>
        <w:t xml:space="preserve"> Generate a line list within NHSN, by clicking “Analysis” then “Reports” then “</w:t>
      </w:r>
      <w:hyperlink r:id="rId29" w:history="1">
        <w:r w:rsidRPr="00CD328D">
          <w:rPr>
            <w:rStyle w:val="Hyperlink"/>
            <w:sz w:val="21"/>
            <w:szCs w:val="21"/>
          </w:rPr>
          <w:t>Line Listing – All Submitted AU data by Location</w:t>
        </w:r>
      </w:hyperlink>
      <w:r w:rsidRPr="00CD328D">
        <w:rPr>
          <w:sz w:val="21"/>
          <w:szCs w:val="21"/>
        </w:rPr>
        <w:t xml:space="preserve">”. Use the line list to answer the following questions. </w:t>
      </w:r>
    </w:p>
    <w:p w14:paraId="3B8E613D" w14:textId="77777777" w:rsidR="002D2C33" w:rsidRDefault="002D2C33" w:rsidP="00C56BDF">
      <w:pPr>
        <w:pStyle w:val="NoSpacing"/>
        <w:ind w:left="720"/>
      </w:pPr>
    </w:p>
    <w:p w14:paraId="3E7F55C8" w14:textId="77777777" w:rsidR="00C56BDF" w:rsidRDefault="00C56BDF" w:rsidP="00C56BDF">
      <w:pPr>
        <w:pStyle w:val="Heading4"/>
        <w:ind w:firstLine="720"/>
      </w:pPr>
      <w:r>
        <w:t>Intramuscular (IM) Route of Administration:</w:t>
      </w:r>
    </w:p>
    <w:p w14:paraId="360A9DB1" w14:textId="60354304" w:rsidR="00C56BDF" w:rsidRPr="00CD328D" w:rsidRDefault="00C56BDF" w:rsidP="00C56BDF">
      <w:pPr>
        <w:pStyle w:val="NoSpacing"/>
        <w:numPr>
          <w:ilvl w:val="0"/>
          <w:numId w:val="18"/>
        </w:numPr>
        <w:rPr>
          <w:sz w:val="21"/>
          <w:szCs w:val="21"/>
        </w:rPr>
      </w:pPr>
      <w:r w:rsidRPr="00CD328D">
        <w:rPr>
          <w:b/>
          <w:bCs/>
          <w:sz w:val="21"/>
          <w:szCs w:val="21"/>
        </w:rPr>
        <w:t>Verify:</w:t>
      </w:r>
      <w:r w:rsidRPr="00CD328D">
        <w:rPr>
          <w:sz w:val="21"/>
          <w:szCs w:val="21"/>
        </w:rPr>
        <w:t xml:space="preserve"> The vendor system is capturing ceftriaxone IM usage in the Emergency Department (ED) (often used for treatment of </w:t>
      </w:r>
      <w:r w:rsidRPr="001539ED">
        <w:rPr>
          <w:i/>
          <w:iCs/>
          <w:sz w:val="21"/>
          <w:szCs w:val="21"/>
        </w:rPr>
        <w:t>N. gonorrhea</w:t>
      </w:r>
      <w:r w:rsidRPr="00CD328D">
        <w:rPr>
          <w:sz w:val="21"/>
          <w:szCs w:val="21"/>
        </w:rPr>
        <w:t xml:space="preserve"> in ED setting). (Y/N/NA if not submitting ED data)</w:t>
      </w:r>
    </w:p>
    <w:p w14:paraId="7658D2D5" w14:textId="489D222D" w:rsidR="002D2C33" w:rsidRPr="00CD328D" w:rsidRDefault="002D2C33" w:rsidP="002D2C33">
      <w:pPr>
        <w:pStyle w:val="NoSpacing"/>
        <w:rPr>
          <w:sz w:val="21"/>
          <w:szCs w:val="21"/>
        </w:rPr>
      </w:pPr>
    </w:p>
    <w:p w14:paraId="4F34E84C" w14:textId="77777777" w:rsidR="002D2C33" w:rsidRPr="00CD328D" w:rsidRDefault="002D2C33" w:rsidP="00E7261C">
      <w:pPr>
        <w:pStyle w:val="NoSpacing"/>
        <w:rPr>
          <w:sz w:val="21"/>
          <w:szCs w:val="21"/>
        </w:rPr>
      </w:pPr>
    </w:p>
    <w:p w14:paraId="668BCA13" w14:textId="3BC07E2E" w:rsidR="00C56BDF" w:rsidRPr="00CD328D" w:rsidRDefault="00C56BDF" w:rsidP="00C56BDF">
      <w:pPr>
        <w:pStyle w:val="NoSpacing"/>
        <w:numPr>
          <w:ilvl w:val="0"/>
          <w:numId w:val="18"/>
        </w:numPr>
        <w:rPr>
          <w:sz w:val="21"/>
          <w:szCs w:val="21"/>
        </w:rPr>
      </w:pPr>
      <w:r w:rsidRPr="00CD328D">
        <w:rPr>
          <w:b/>
          <w:bCs/>
          <w:sz w:val="21"/>
          <w:szCs w:val="21"/>
        </w:rPr>
        <w:t>Verify:</w:t>
      </w:r>
      <w:r w:rsidRPr="00CD328D">
        <w:rPr>
          <w:sz w:val="21"/>
          <w:szCs w:val="21"/>
        </w:rPr>
        <w:t xml:space="preserve"> The vendor system is capturing other agents administered via IM route in ED and this appears appropriate based upon the specific antimicrobial agent (for example, the vendor system should not document oral cephalosporin administered IM). (Y/N/NA if not submitting ED data)</w:t>
      </w:r>
    </w:p>
    <w:p w14:paraId="62B58AFE" w14:textId="69A21BC5" w:rsidR="002D2C33" w:rsidRPr="00CD328D" w:rsidRDefault="002D2C33" w:rsidP="002D2C33">
      <w:pPr>
        <w:pStyle w:val="NoSpacing"/>
        <w:rPr>
          <w:sz w:val="21"/>
          <w:szCs w:val="21"/>
        </w:rPr>
      </w:pPr>
    </w:p>
    <w:p w14:paraId="0B104B2E" w14:textId="77777777" w:rsidR="002D2C33" w:rsidRPr="00CD328D" w:rsidRDefault="002D2C33" w:rsidP="00E7261C">
      <w:pPr>
        <w:pStyle w:val="NoSpacing"/>
        <w:rPr>
          <w:sz w:val="21"/>
          <w:szCs w:val="21"/>
        </w:rPr>
      </w:pPr>
    </w:p>
    <w:p w14:paraId="311A52B4" w14:textId="0B20EBCC" w:rsidR="00C56BDF" w:rsidRPr="00CD328D" w:rsidRDefault="00C56BDF" w:rsidP="00C56BDF">
      <w:pPr>
        <w:pStyle w:val="NoSpacing"/>
        <w:numPr>
          <w:ilvl w:val="0"/>
          <w:numId w:val="18"/>
        </w:numPr>
        <w:rPr>
          <w:sz w:val="21"/>
          <w:szCs w:val="21"/>
        </w:rPr>
      </w:pPr>
      <w:r w:rsidRPr="00CD328D">
        <w:rPr>
          <w:b/>
          <w:bCs/>
          <w:sz w:val="21"/>
          <w:szCs w:val="21"/>
        </w:rPr>
        <w:t>Verify:</w:t>
      </w:r>
      <w:r w:rsidRPr="00CD328D">
        <w:rPr>
          <w:sz w:val="21"/>
          <w:szCs w:val="21"/>
        </w:rPr>
        <w:t xml:space="preserve"> Review IM administrations in non-ED locations and confirm appropriateness based upon specific antimicrobial agent (for example, the vendor system should not document oral cephalosporin as administered IM). (Y/N) </w:t>
      </w:r>
    </w:p>
    <w:p w14:paraId="09029A8C" w14:textId="43EFB17E" w:rsidR="002D2C33" w:rsidRPr="00CD328D" w:rsidRDefault="002D2C33" w:rsidP="002D2C33">
      <w:pPr>
        <w:pStyle w:val="NoSpacing"/>
        <w:rPr>
          <w:sz w:val="21"/>
          <w:szCs w:val="21"/>
        </w:rPr>
      </w:pPr>
    </w:p>
    <w:p w14:paraId="5D79174C" w14:textId="77777777" w:rsidR="002D2C33" w:rsidRPr="00CD328D" w:rsidRDefault="002D2C33" w:rsidP="00E7261C">
      <w:pPr>
        <w:pStyle w:val="NoSpacing"/>
        <w:rPr>
          <w:sz w:val="21"/>
          <w:szCs w:val="21"/>
        </w:rPr>
      </w:pPr>
    </w:p>
    <w:p w14:paraId="45C6F358" w14:textId="097FA75D" w:rsidR="00C56BDF" w:rsidRPr="00CD328D" w:rsidRDefault="00C56BDF" w:rsidP="00C56BDF">
      <w:pPr>
        <w:pStyle w:val="NoSpacing"/>
        <w:numPr>
          <w:ilvl w:val="0"/>
          <w:numId w:val="18"/>
        </w:numPr>
        <w:rPr>
          <w:sz w:val="21"/>
          <w:szCs w:val="21"/>
        </w:rPr>
      </w:pPr>
      <w:r w:rsidRPr="00CD328D">
        <w:rPr>
          <w:b/>
          <w:bCs/>
          <w:sz w:val="21"/>
          <w:szCs w:val="21"/>
        </w:rPr>
        <w:t>Question:</w:t>
      </w:r>
      <w:r w:rsidRPr="00CD328D">
        <w:rPr>
          <w:sz w:val="21"/>
          <w:szCs w:val="21"/>
        </w:rPr>
        <w:t xml:space="preserve"> Did you identify any potential inconsistencies or errors? If so, how did you address these issues?</w:t>
      </w:r>
    </w:p>
    <w:p w14:paraId="01444BB8" w14:textId="34197669" w:rsidR="002D2C33" w:rsidRDefault="002D2C33" w:rsidP="002D2C33">
      <w:pPr>
        <w:pStyle w:val="NoSpacing"/>
      </w:pPr>
    </w:p>
    <w:p w14:paraId="4FE06633" w14:textId="77777777" w:rsidR="002D2C33" w:rsidRDefault="002D2C33" w:rsidP="00E7261C">
      <w:pPr>
        <w:pStyle w:val="NoSpacing"/>
      </w:pPr>
    </w:p>
    <w:p w14:paraId="7C724A23" w14:textId="77777777" w:rsidR="00C56BDF" w:rsidRDefault="00C56BDF" w:rsidP="00C56BDF">
      <w:pPr>
        <w:pStyle w:val="NoSpacing"/>
      </w:pPr>
    </w:p>
    <w:p w14:paraId="59F9D62B" w14:textId="77777777" w:rsidR="00C56BDF" w:rsidRDefault="00C56BDF" w:rsidP="00EB646F">
      <w:pPr>
        <w:pStyle w:val="Heading4"/>
        <w:ind w:firstLine="720"/>
      </w:pPr>
      <w:r>
        <w:t>Intravenous Route of Administration:</w:t>
      </w:r>
    </w:p>
    <w:p w14:paraId="488A21EE" w14:textId="52D3ECB5" w:rsidR="00EB646F" w:rsidRPr="00CD328D" w:rsidRDefault="00C56BDF" w:rsidP="00C56BDF">
      <w:pPr>
        <w:pStyle w:val="NoSpacing"/>
        <w:numPr>
          <w:ilvl w:val="0"/>
          <w:numId w:val="18"/>
        </w:numPr>
        <w:rPr>
          <w:sz w:val="21"/>
          <w:szCs w:val="21"/>
        </w:rPr>
      </w:pPr>
      <w:r w:rsidRPr="00CD328D">
        <w:rPr>
          <w:b/>
          <w:bCs/>
          <w:sz w:val="21"/>
          <w:szCs w:val="21"/>
        </w:rPr>
        <w:t>Verify:</w:t>
      </w:r>
      <w:r w:rsidRPr="00CD328D">
        <w:rPr>
          <w:sz w:val="21"/>
          <w:szCs w:val="21"/>
        </w:rPr>
        <w:t xml:space="preserve"> The vendor system is accurately capturing continuous or extended infusions (for example, piperacillin/tazobactam</w:t>
      </w:r>
      <w:r w:rsidR="00A255BA">
        <w:rPr>
          <w:sz w:val="21"/>
          <w:szCs w:val="21"/>
        </w:rPr>
        <w:t>, cefiderocol, ceftazidime/avibactam, meropenem/vaborbactam</w:t>
      </w:r>
      <w:r w:rsidRPr="00CD328D">
        <w:rPr>
          <w:sz w:val="21"/>
          <w:szCs w:val="21"/>
        </w:rPr>
        <w:t>) if applicable for your facility. (Y/N/NA)</w:t>
      </w:r>
    </w:p>
    <w:p w14:paraId="76D1C9F6" w14:textId="693DC87E" w:rsidR="002D2C33" w:rsidRPr="00CD328D" w:rsidRDefault="002D2C33" w:rsidP="002D2C33">
      <w:pPr>
        <w:pStyle w:val="NoSpacing"/>
        <w:rPr>
          <w:sz w:val="21"/>
          <w:szCs w:val="21"/>
        </w:rPr>
      </w:pPr>
    </w:p>
    <w:p w14:paraId="16211C5D" w14:textId="77777777" w:rsidR="006F2638" w:rsidRPr="00CD328D" w:rsidRDefault="006F2638" w:rsidP="00E7261C">
      <w:pPr>
        <w:pStyle w:val="NoSpacing"/>
        <w:rPr>
          <w:sz w:val="21"/>
          <w:szCs w:val="21"/>
        </w:rPr>
      </w:pPr>
    </w:p>
    <w:p w14:paraId="50B5485C" w14:textId="7042AA3F" w:rsidR="00C56BDF" w:rsidRPr="00CD328D" w:rsidRDefault="00C56BDF" w:rsidP="00C56BDF">
      <w:pPr>
        <w:pStyle w:val="NoSpacing"/>
        <w:numPr>
          <w:ilvl w:val="0"/>
          <w:numId w:val="18"/>
        </w:numPr>
        <w:rPr>
          <w:sz w:val="21"/>
          <w:szCs w:val="21"/>
        </w:rPr>
      </w:pPr>
      <w:r w:rsidRPr="00CD328D">
        <w:rPr>
          <w:b/>
          <w:bCs/>
          <w:sz w:val="21"/>
          <w:szCs w:val="21"/>
        </w:rPr>
        <w:t>Question:</w:t>
      </w:r>
      <w:r w:rsidRPr="00CD328D">
        <w:rPr>
          <w:sz w:val="21"/>
          <w:szCs w:val="21"/>
        </w:rPr>
        <w:t xml:space="preserve"> Did you identify any potential inconsistencies or errors? If so, how did you address these issues?</w:t>
      </w:r>
    </w:p>
    <w:p w14:paraId="71E266B5" w14:textId="0F49C693" w:rsidR="00C56BDF" w:rsidRDefault="00C56BDF" w:rsidP="00C56BDF">
      <w:pPr>
        <w:pStyle w:val="NoSpacing"/>
      </w:pPr>
    </w:p>
    <w:p w14:paraId="1C539E04" w14:textId="4EE1C429" w:rsidR="006F2638" w:rsidRDefault="006F2638" w:rsidP="00C56BDF">
      <w:pPr>
        <w:pStyle w:val="NoSpacing"/>
      </w:pPr>
    </w:p>
    <w:p w14:paraId="462F4863" w14:textId="1EF8E299" w:rsidR="006F2638" w:rsidRDefault="006F2638" w:rsidP="00C56BDF">
      <w:pPr>
        <w:pStyle w:val="NoSpacing"/>
      </w:pPr>
    </w:p>
    <w:p w14:paraId="4D19B8E2" w14:textId="77777777" w:rsidR="006F2638" w:rsidRDefault="006F2638" w:rsidP="00C56BDF">
      <w:pPr>
        <w:pStyle w:val="NoSpacing"/>
      </w:pPr>
    </w:p>
    <w:p w14:paraId="158B2E69" w14:textId="77777777" w:rsidR="00C56BDF" w:rsidRDefault="00C56BDF" w:rsidP="00EB646F">
      <w:pPr>
        <w:pStyle w:val="Heading4"/>
        <w:ind w:firstLine="720"/>
      </w:pPr>
      <w:r>
        <w:lastRenderedPageBreak/>
        <w:t>Digestive Route of Administration:</w:t>
      </w:r>
    </w:p>
    <w:p w14:paraId="178020FA" w14:textId="7B4E5566" w:rsidR="00C56BDF" w:rsidRPr="00CD328D" w:rsidRDefault="00C56BDF" w:rsidP="00EB646F">
      <w:pPr>
        <w:pStyle w:val="NoSpacing"/>
        <w:numPr>
          <w:ilvl w:val="0"/>
          <w:numId w:val="18"/>
        </w:numPr>
        <w:rPr>
          <w:sz w:val="21"/>
          <w:szCs w:val="21"/>
        </w:rPr>
      </w:pPr>
      <w:r w:rsidRPr="00CD328D">
        <w:rPr>
          <w:b/>
          <w:bCs/>
          <w:sz w:val="21"/>
          <w:szCs w:val="21"/>
        </w:rPr>
        <w:t>Verify:</w:t>
      </w:r>
      <w:r w:rsidRPr="00CD328D">
        <w:rPr>
          <w:sz w:val="21"/>
          <w:szCs w:val="21"/>
        </w:rPr>
        <w:t xml:space="preserve"> The vendor system is capturing the parenteral formulation of vancomycin administered orally for </w:t>
      </w:r>
      <w:r w:rsidRPr="001539ED">
        <w:rPr>
          <w:i/>
          <w:iCs/>
          <w:sz w:val="21"/>
          <w:szCs w:val="21"/>
        </w:rPr>
        <w:t>C. difficile</w:t>
      </w:r>
      <w:r w:rsidRPr="00CD328D">
        <w:rPr>
          <w:sz w:val="21"/>
          <w:szCs w:val="21"/>
        </w:rPr>
        <w:t xml:space="preserve"> as digestive rather than IV route if applicable for your facility. (Y/N/NA)</w:t>
      </w:r>
    </w:p>
    <w:p w14:paraId="3B597FD3" w14:textId="73898503" w:rsidR="006F2638" w:rsidRPr="00CD328D" w:rsidRDefault="006F2638" w:rsidP="006F2638">
      <w:pPr>
        <w:pStyle w:val="NoSpacing"/>
        <w:rPr>
          <w:sz w:val="21"/>
          <w:szCs w:val="21"/>
        </w:rPr>
      </w:pPr>
    </w:p>
    <w:p w14:paraId="4CC9780C" w14:textId="77777777" w:rsidR="006F2638" w:rsidRPr="00CD328D" w:rsidRDefault="006F2638" w:rsidP="00B468D7">
      <w:pPr>
        <w:pStyle w:val="NoSpacing"/>
        <w:rPr>
          <w:sz w:val="21"/>
          <w:szCs w:val="21"/>
        </w:rPr>
      </w:pPr>
    </w:p>
    <w:p w14:paraId="12A3C323" w14:textId="680F4384" w:rsidR="00C56BDF" w:rsidRPr="00CD328D" w:rsidRDefault="00C56BDF" w:rsidP="00EB646F">
      <w:pPr>
        <w:pStyle w:val="NoSpacing"/>
        <w:numPr>
          <w:ilvl w:val="0"/>
          <w:numId w:val="18"/>
        </w:numPr>
        <w:rPr>
          <w:sz w:val="21"/>
          <w:szCs w:val="21"/>
        </w:rPr>
      </w:pPr>
      <w:r w:rsidRPr="00CD328D">
        <w:rPr>
          <w:b/>
          <w:bCs/>
          <w:sz w:val="21"/>
          <w:szCs w:val="21"/>
        </w:rPr>
        <w:t>Verify:</w:t>
      </w:r>
      <w:r w:rsidRPr="00CD328D">
        <w:rPr>
          <w:sz w:val="21"/>
          <w:szCs w:val="21"/>
        </w:rPr>
        <w:t xml:space="preserve"> Vancomycin digestive includes oral and rectal administrations of vancomycin. (Y/N)</w:t>
      </w:r>
    </w:p>
    <w:p w14:paraId="2C9E1305" w14:textId="474C6827" w:rsidR="006F2638" w:rsidRPr="00CD328D" w:rsidRDefault="006F2638" w:rsidP="006F2638">
      <w:pPr>
        <w:pStyle w:val="NoSpacing"/>
        <w:rPr>
          <w:sz w:val="21"/>
          <w:szCs w:val="21"/>
        </w:rPr>
      </w:pPr>
    </w:p>
    <w:p w14:paraId="332C8C94" w14:textId="77777777" w:rsidR="006F2638" w:rsidRPr="00CD328D" w:rsidRDefault="006F2638" w:rsidP="00B468D7">
      <w:pPr>
        <w:pStyle w:val="NoSpacing"/>
        <w:rPr>
          <w:sz w:val="21"/>
          <w:szCs w:val="21"/>
        </w:rPr>
      </w:pPr>
    </w:p>
    <w:p w14:paraId="22ED5902" w14:textId="4F19D631" w:rsidR="00C56BDF" w:rsidRPr="00CD328D" w:rsidRDefault="00C56BDF" w:rsidP="00EB646F">
      <w:pPr>
        <w:pStyle w:val="NoSpacing"/>
        <w:numPr>
          <w:ilvl w:val="0"/>
          <w:numId w:val="18"/>
        </w:numPr>
        <w:rPr>
          <w:sz w:val="21"/>
          <w:szCs w:val="21"/>
        </w:rPr>
      </w:pPr>
      <w:r w:rsidRPr="00CD328D">
        <w:rPr>
          <w:b/>
          <w:bCs/>
          <w:sz w:val="21"/>
          <w:szCs w:val="21"/>
        </w:rPr>
        <w:t>Question:</w:t>
      </w:r>
      <w:r w:rsidRPr="00CD328D">
        <w:rPr>
          <w:sz w:val="21"/>
          <w:szCs w:val="21"/>
        </w:rPr>
        <w:t xml:space="preserve"> Did you identify any potential inconsistencies or errors? If so, how did you address these issues?</w:t>
      </w:r>
    </w:p>
    <w:p w14:paraId="2D3AFA22" w14:textId="4A9AA625" w:rsidR="006F2638" w:rsidRDefault="006F2638" w:rsidP="006F2638">
      <w:pPr>
        <w:pStyle w:val="NoSpacing"/>
      </w:pPr>
    </w:p>
    <w:p w14:paraId="29E4B155" w14:textId="4573E631" w:rsidR="006F2638" w:rsidRDefault="006F2638" w:rsidP="006F2638">
      <w:pPr>
        <w:pStyle w:val="NoSpacing"/>
      </w:pPr>
    </w:p>
    <w:p w14:paraId="067C5B33" w14:textId="77777777" w:rsidR="00C56BDF" w:rsidRDefault="00C56BDF" w:rsidP="00C56BDF">
      <w:pPr>
        <w:pStyle w:val="NoSpacing"/>
      </w:pPr>
    </w:p>
    <w:p w14:paraId="24E3F78B" w14:textId="77777777" w:rsidR="00C56BDF" w:rsidRDefault="00C56BDF" w:rsidP="00EB646F">
      <w:pPr>
        <w:pStyle w:val="Heading4"/>
        <w:ind w:firstLine="720"/>
      </w:pPr>
      <w:r>
        <w:t>Respiratory Route of Administration:</w:t>
      </w:r>
    </w:p>
    <w:p w14:paraId="222E062D" w14:textId="38C268B9" w:rsidR="00EB646F" w:rsidRPr="00CD328D" w:rsidRDefault="00C56BDF" w:rsidP="00C56BDF">
      <w:pPr>
        <w:pStyle w:val="NoSpacing"/>
        <w:numPr>
          <w:ilvl w:val="0"/>
          <w:numId w:val="18"/>
        </w:numPr>
        <w:rPr>
          <w:sz w:val="21"/>
          <w:szCs w:val="21"/>
        </w:rPr>
      </w:pPr>
      <w:r w:rsidRPr="00CD328D">
        <w:rPr>
          <w:b/>
          <w:bCs/>
          <w:sz w:val="21"/>
          <w:szCs w:val="21"/>
        </w:rPr>
        <w:t>Verify:</w:t>
      </w:r>
      <w:r w:rsidRPr="00CD328D">
        <w:rPr>
          <w:sz w:val="21"/>
          <w:szCs w:val="21"/>
        </w:rPr>
        <w:t xml:space="preserve"> The vendor system is capturing zanamivir administered via respiratory route. (Y/N)</w:t>
      </w:r>
    </w:p>
    <w:p w14:paraId="78D6C4E2" w14:textId="624C0317" w:rsidR="006F2638" w:rsidRPr="00CD328D" w:rsidRDefault="006F2638" w:rsidP="006F2638">
      <w:pPr>
        <w:pStyle w:val="NoSpacing"/>
        <w:rPr>
          <w:sz w:val="21"/>
          <w:szCs w:val="21"/>
        </w:rPr>
      </w:pPr>
    </w:p>
    <w:p w14:paraId="191F8643" w14:textId="77777777" w:rsidR="006F2638" w:rsidRPr="00CD328D" w:rsidRDefault="006F2638" w:rsidP="00B468D7">
      <w:pPr>
        <w:pStyle w:val="NoSpacing"/>
        <w:rPr>
          <w:sz w:val="21"/>
          <w:szCs w:val="21"/>
        </w:rPr>
      </w:pPr>
    </w:p>
    <w:p w14:paraId="113EC795" w14:textId="696E8A4F" w:rsidR="00EB646F" w:rsidRPr="00CD328D" w:rsidRDefault="00C56BDF" w:rsidP="00C56BDF">
      <w:pPr>
        <w:pStyle w:val="NoSpacing"/>
        <w:numPr>
          <w:ilvl w:val="0"/>
          <w:numId w:val="18"/>
        </w:numPr>
        <w:rPr>
          <w:sz w:val="21"/>
          <w:szCs w:val="21"/>
        </w:rPr>
      </w:pPr>
      <w:r w:rsidRPr="00CD328D">
        <w:rPr>
          <w:b/>
          <w:bCs/>
          <w:sz w:val="21"/>
          <w:szCs w:val="21"/>
        </w:rPr>
        <w:t>Verify:</w:t>
      </w:r>
      <w:r w:rsidRPr="00CD328D">
        <w:rPr>
          <w:sz w:val="21"/>
          <w:szCs w:val="21"/>
        </w:rPr>
        <w:t xml:space="preserve"> The vendor system is capturing amikacin, gentamicin, or tobramycin respiratory usage in ICUs or units with patients who have cystic fibrosis or atypical mycobacterial infections? (Y/N)</w:t>
      </w:r>
    </w:p>
    <w:p w14:paraId="50BCEDF6" w14:textId="7B01DA78" w:rsidR="006F2638" w:rsidRPr="00CD328D" w:rsidRDefault="006F2638" w:rsidP="006F2638">
      <w:pPr>
        <w:pStyle w:val="NoSpacing"/>
        <w:rPr>
          <w:sz w:val="21"/>
          <w:szCs w:val="21"/>
        </w:rPr>
      </w:pPr>
    </w:p>
    <w:p w14:paraId="11272136" w14:textId="77777777" w:rsidR="006F2638" w:rsidRPr="00CD328D" w:rsidRDefault="006F2638" w:rsidP="00B468D7">
      <w:pPr>
        <w:pStyle w:val="NoSpacing"/>
        <w:rPr>
          <w:sz w:val="21"/>
          <w:szCs w:val="21"/>
        </w:rPr>
      </w:pPr>
    </w:p>
    <w:p w14:paraId="7FAD050C" w14:textId="77777777" w:rsidR="006F2638" w:rsidRPr="00CD328D" w:rsidRDefault="00C56BDF" w:rsidP="00C56BDF">
      <w:pPr>
        <w:pStyle w:val="NoSpacing"/>
        <w:numPr>
          <w:ilvl w:val="0"/>
          <w:numId w:val="18"/>
        </w:numPr>
        <w:rPr>
          <w:sz w:val="21"/>
          <w:szCs w:val="21"/>
        </w:rPr>
      </w:pPr>
      <w:r w:rsidRPr="00CD328D">
        <w:rPr>
          <w:b/>
          <w:bCs/>
          <w:sz w:val="21"/>
          <w:szCs w:val="21"/>
        </w:rPr>
        <w:t>Verify:</w:t>
      </w:r>
      <w:r w:rsidRPr="00CD328D">
        <w:rPr>
          <w:sz w:val="21"/>
          <w:szCs w:val="21"/>
        </w:rPr>
        <w:t xml:space="preserve"> The vendor system is capturing aztreonam, colistin*, and/or polymyxin B respiratory administrations. In general, we anticipate less usage than aminoglycosides via respiratory route. (Y/N) </w:t>
      </w:r>
    </w:p>
    <w:p w14:paraId="6065938C" w14:textId="52938047" w:rsidR="00EB646F" w:rsidRPr="00CD328D" w:rsidRDefault="00C56BDF" w:rsidP="00B468D7">
      <w:pPr>
        <w:pStyle w:val="NoSpacing"/>
        <w:ind w:left="720"/>
        <w:rPr>
          <w:sz w:val="21"/>
          <w:szCs w:val="21"/>
        </w:rPr>
      </w:pPr>
      <w:r w:rsidRPr="00CD328D">
        <w:rPr>
          <w:sz w:val="21"/>
          <w:szCs w:val="21"/>
        </w:rPr>
        <w:t>*Note: While the vendor software will report colistin and colistimethate separately in the CDA file, NHSN will roll up colistin and it will appear with colistimethate in the NHSN AU Option Line Lists.</w:t>
      </w:r>
    </w:p>
    <w:p w14:paraId="0368804A" w14:textId="5B0E4869" w:rsidR="006F2638" w:rsidRPr="00CD328D" w:rsidRDefault="006F2638" w:rsidP="006F2638">
      <w:pPr>
        <w:pStyle w:val="NoSpacing"/>
        <w:rPr>
          <w:sz w:val="21"/>
          <w:szCs w:val="21"/>
        </w:rPr>
      </w:pPr>
    </w:p>
    <w:p w14:paraId="4DFCC075" w14:textId="77777777" w:rsidR="006F2638" w:rsidRPr="00CD328D" w:rsidRDefault="006F2638" w:rsidP="00B468D7">
      <w:pPr>
        <w:pStyle w:val="NoSpacing"/>
        <w:rPr>
          <w:sz w:val="21"/>
          <w:szCs w:val="21"/>
        </w:rPr>
      </w:pPr>
    </w:p>
    <w:p w14:paraId="49AFBB8D" w14:textId="33DA4EE2" w:rsidR="00C56BDF" w:rsidRPr="00CD328D" w:rsidRDefault="00C56BDF" w:rsidP="00C56BDF">
      <w:pPr>
        <w:pStyle w:val="NoSpacing"/>
        <w:numPr>
          <w:ilvl w:val="0"/>
          <w:numId w:val="18"/>
        </w:numPr>
        <w:rPr>
          <w:sz w:val="21"/>
          <w:szCs w:val="21"/>
        </w:rPr>
      </w:pPr>
      <w:r w:rsidRPr="00CD328D">
        <w:rPr>
          <w:b/>
          <w:bCs/>
          <w:sz w:val="21"/>
          <w:szCs w:val="21"/>
        </w:rPr>
        <w:t>Question:</w:t>
      </w:r>
      <w:r w:rsidRPr="00CD328D">
        <w:rPr>
          <w:sz w:val="21"/>
          <w:szCs w:val="21"/>
        </w:rPr>
        <w:t xml:space="preserve"> Did you identify any potential inconsistencies or errors? If so, how did you address these issues?</w:t>
      </w:r>
    </w:p>
    <w:p w14:paraId="591100FA" w14:textId="747019F3" w:rsidR="00EB646F" w:rsidRDefault="00EB646F" w:rsidP="00EB646F">
      <w:pPr>
        <w:pStyle w:val="NoSpacing"/>
      </w:pPr>
    </w:p>
    <w:p w14:paraId="0BA06A21" w14:textId="2414285D" w:rsidR="006F2638" w:rsidRDefault="006F2638" w:rsidP="00EB646F">
      <w:pPr>
        <w:pStyle w:val="NoSpacing"/>
      </w:pPr>
    </w:p>
    <w:p w14:paraId="0C0FBB5C" w14:textId="77777777" w:rsidR="006F2638" w:rsidRDefault="006F2638" w:rsidP="00EB646F">
      <w:pPr>
        <w:pStyle w:val="NoSpacing"/>
      </w:pPr>
    </w:p>
    <w:p w14:paraId="71BCDD02" w14:textId="28D320B1" w:rsidR="00EB646F" w:rsidRDefault="00EB646F" w:rsidP="00EB646F">
      <w:pPr>
        <w:pStyle w:val="Heading3"/>
        <w:numPr>
          <w:ilvl w:val="0"/>
          <w:numId w:val="16"/>
        </w:numPr>
      </w:pPr>
      <w:bookmarkStart w:id="14" w:name="_Evaluate_location_specific"/>
      <w:bookmarkEnd w:id="14"/>
      <w:r>
        <w:t>Evaluate location specific “expected” patterns</w:t>
      </w:r>
    </w:p>
    <w:p w14:paraId="2B308CBF" w14:textId="22663101" w:rsidR="00EB646F" w:rsidRPr="00CD328D" w:rsidRDefault="00EB646F" w:rsidP="00EB646F">
      <w:pPr>
        <w:pStyle w:val="NoSpacing"/>
        <w:ind w:left="720"/>
        <w:rPr>
          <w:i/>
          <w:iCs/>
          <w:sz w:val="21"/>
          <w:szCs w:val="21"/>
        </w:rPr>
      </w:pPr>
      <w:r w:rsidRPr="00CD328D">
        <w:rPr>
          <w:b/>
          <w:bCs/>
          <w:sz w:val="21"/>
          <w:szCs w:val="21"/>
        </w:rPr>
        <w:t>Methodology:</w:t>
      </w:r>
      <w:r w:rsidRPr="00CD328D">
        <w:rPr>
          <w:sz w:val="21"/>
          <w:szCs w:val="21"/>
        </w:rPr>
        <w:t xml:space="preserve"> Use the Antimicrobial Use “</w:t>
      </w:r>
      <w:hyperlink r:id="rId30" w:history="1">
        <w:r w:rsidRPr="00CD328D">
          <w:rPr>
            <w:rStyle w:val="Hyperlink"/>
            <w:sz w:val="21"/>
            <w:szCs w:val="21"/>
          </w:rPr>
          <w:t>Line Listing – All Submitted AU data by Location</w:t>
        </w:r>
      </w:hyperlink>
      <w:r w:rsidRPr="00CD328D">
        <w:rPr>
          <w:sz w:val="21"/>
          <w:szCs w:val="21"/>
        </w:rPr>
        <w:t>” to answer the following questions.</w:t>
      </w:r>
      <w:r w:rsidR="006F2638" w:rsidRPr="00CD328D">
        <w:rPr>
          <w:sz w:val="21"/>
          <w:szCs w:val="21"/>
        </w:rPr>
        <w:t xml:space="preserve"> </w:t>
      </w:r>
    </w:p>
    <w:p w14:paraId="4BBFB019" w14:textId="77777777" w:rsidR="006F2638" w:rsidRPr="00CD328D" w:rsidRDefault="006F2638" w:rsidP="00EB646F">
      <w:pPr>
        <w:pStyle w:val="NoSpacing"/>
        <w:ind w:left="720"/>
        <w:rPr>
          <w:b/>
          <w:bCs/>
          <w:sz w:val="21"/>
          <w:szCs w:val="21"/>
        </w:rPr>
      </w:pPr>
    </w:p>
    <w:p w14:paraId="7CC47AA2" w14:textId="5B9DBA5A" w:rsidR="00CD097F" w:rsidRPr="00CD328D" w:rsidRDefault="00EB646F" w:rsidP="00EB646F">
      <w:pPr>
        <w:pStyle w:val="NoSpacing"/>
        <w:numPr>
          <w:ilvl w:val="0"/>
          <w:numId w:val="19"/>
        </w:numPr>
        <w:rPr>
          <w:sz w:val="21"/>
          <w:szCs w:val="21"/>
        </w:rPr>
      </w:pPr>
      <w:r w:rsidRPr="00CD328D">
        <w:rPr>
          <w:b/>
          <w:bCs/>
          <w:sz w:val="21"/>
          <w:szCs w:val="21"/>
        </w:rPr>
        <w:t>Question:</w:t>
      </w:r>
      <w:r w:rsidRPr="00CD328D">
        <w:rPr>
          <w:sz w:val="21"/>
          <w:szCs w:val="21"/>
        </w:rPr>
        <w:t xml:space="preserve"> Review Labor and Delivery usage. Did you find higher usage of beta-lactams such as ampicillin, penicillin G, and cefazolin? (Y/N)</w:t>
      </w:r>
    </w:p>
    <w:p w14:paraId="4D02F0B3" w14:textId="04D8F359" w:rsidR="006F2638" w:rsidRPr="00CD328D" w:rsidRDefault="006F2638" w:rsidP="006F2638">
      <w:pPr>
        <w:pStyle w:val="NoSpacing"/>
        <w:rPr>
          <w:sz w:val="21"/>
          <w:szCs w:val="21"/>
        </w:rPr>
      </w:pPr>
    </w:p>
    <w:p w14:paraId="11FC5B87" w14:textId="77777777" w:rsidR="006F2638" w:rsidRPr="00CD328D" w:rsidRDefault="006F2638" w:rsidP="00B468D7">
      <w:pPr>
        <w:pStyle w:val="NoSpacing"/>
        <w:rPr>
          <w:sz w:val="21"/>
          <w:szCs w:val="21"/>
        </w:rPr>
      </w:pPr>
    </w:p>
    <w:p w14:paraId="6FD1AA8E" w14:textId="78868DA3" w:rsidR="00CD097F" w:rsidRPr="00CD328D" w:rsidRDefault="00EB646F" w:rsidP="00EB646F">
      <w:pPr>
        <w:pStyle w:val="NoSpacing"/>
        <w:numPr>
          <w:ilvl w:val="0"/>
          <w:numId w:val="19"/>
        </w:numPr>
        <w:rPr>
          <w:sz w:val="21"/>
          <w:szCs w:val="21"/>
        </w:rPr>
      </w:pPr>
      <w:r w:rsidRPr="00CD328D">
        <w:rPr>
          <w:b/>
          <w:bCs/>
          <w:sz w:val="21"/>
          <w:szCs w:val="21"/>
        </w:rPr>
        <w:t>Question:</w:t>
      </w:r>
      <w:r w:rsidRPr="00CD328D">
        <w:rPr>
          <w:sz w:val="21"/>
          <w:szCs w:val="21"/>
        </w:rPr>
        <w:t xml:space="preserve"> Review ED usage (if applicable). Did you find use of antibiotics such as azithromycin</w:t>
      </w:r>
      <w:r w:rsidR="00F26FE9">
        <w:rPr>
          <w:sz w:val="21"/>
          <w:szCs w:val="21"/>
        </w:rPr>
        <w:t>,</w:t>
      </w:r>
      <w:r w:rsidRPr="00CD328D">
        <w:rPr>
          <w:sz w:val="21"/>
          <w:szCs w:val="21"/>
        </w:rPr>
        <w:t xml:space="preserve"> ceftriaxone, and/or doxycycline for STD treatment? (Y/N/NA)</w:t>
      </w:r>
    </w:p>
    <w:p w14:paraId="1F47325E" w14:textId="171F38D2" w:rsidR="0079710C" w:rsidRDefault="0079710C" w:rsidP="00B468D7">
      <w:pPr>
        <w:pStyle w:val="NoSpacing"/>
        <w:rPr>
          <w:sz w:val="21"/>
          <w:szCs w:val="21"/>
        </w:rPr>
      </w:pPr>
    </w:p>
    <w:p w14:paraId="23D396E0" w14:textId="77777777" w:rsidR="00487BEA" w:rsidRPr="00CD328D" w:rsidRDefault="00487BEA" w:rsidP="00B468D7">
      <w:pPr>
        <w:pStyle w:val="NoSpacing"/>
        <w:rPr>
          <w:sz w:val="21"/>
          <w:szCs w:val="21"/>
        </w:rPr>
      </w:pPr>
    </w:p>
    <w:p w14:paraId="16B1D269" w14:textId="0963FB0C" w:rsidR="005607D0" w:rsidRPr="00CD328D" w:rsidRDefault="00EB646F" w:rsidP="00EB646F">
      <w:pPr>
        <w:pStyle w:val="NoSpacing"/>
        <w:numPr>
          <w:ilvl w:val="0"/>
          <w:numId w:val="19"/>
        </w:numPr>
        <w:rPr>
          <w:sz w:val="21"/>
          <w:szCs w:val="21"/>
        </w:rPr>
      </w:pPr>
      <w:r w:rsidRPr="00CD328D">
        <w:rPr>
          <w:b/>
          <w:bCs/>
          <w:sz w:val="21"/>
          <w:szCs w:val="21"/>
        </w:rPr>
        <w:t>Question:</w:t>
      </w:r>
      <w:r w:rsidRPr="00CD328D">
        <w:rPr>
          <w:sz w:val="21"/>
          <w:szCs w:val="21"/>
        </w:rPr>
        <w:t xml:space="preserve"> Review NICU usage. Did you find higher usage of ampicillin and gentamicin? (Y/N)</w:t>
      </w:r>
    </w:p>
    <w:p w14:paraId="5626DDDA" w14:textId="2C19DFDE" w:rsidR="0079710C" w:rsidRPr="00CD328D" w:rsidRDefault="0079710C" w:rsidP="0079710C">
      <w:pPr>
        <w:pStyle w:val="NoSpacing"/>
        <w:rPr>
          <w:sz w:val="21"/>
          <w:szCs w:val="21"/>
        </w:rPr>
      </w:pPr>
    </w:p>
    <w:p w14:paraId="77AE2229" w14:textId="77777777" w:rsidR="0079710C" w:rsidRPr="00CD328D" w:rsidRDefault="0079710C" w:rsidP="00B468D7">
      <w:pPr>
        <w:pStyle w:val="NoSpacing"/>
        <w:rPr>
          <w:sz w:val="21"/>
          <w:szCs w:val="21"/>
        </w:rPr>
      </w:pPr>
    </w:p>
    <w:p w14:paraId="6DA4365B" w14:textId="6E6168EA" w:rsidR="005607D0" w:rsidRPr="00CD328D" w:rsidRDefault="00EB646F" w:rsidP="00EB646F">
      <w:pPr>
        <w:pStyle w:val="NoSpacing"/>
        <w:numPr>
          <w:ilvl w:val="0"/>
          <w:numId w:val="19"/>
        </w:numPr>
        <w:rPr>
          <w:sz w:val="21"/>
          <w:szCs w:val="21"/>
        </w:rPr>
      </w:pPr>
      <w:r w:rsidRPr="00CD328D">
        <w:rPr>
          <w:b/>
          <w:bCs/>
          <w:sz w:val="21"/>
          <w:szCs w:val="21"/>
        </w:rPr>
        <w:t>Question:</w:t>
      </w:r>
      <w:r w:rsidRPr="00CD328D">
        <w:rPr>
          <w:sz w:val="21"/>
          <w:szCs w:val="21"/>
        </w:rPr>
        <w:t xml:space="preserve"> Overall, did you find critical care usage greater than non-critical care unit usage? (Y/N)</w:t>
      </w:r>
    </w:p>
    <w:p w14:paraId="2A02DA1C" w14:textId="4A763CD0" w:rsidR="0079710C" w:rsidRDefault="0079710C" w:rsidP="0079710C">
      <w:pPr>
        <w:pStyle w:val="NoSpacing"/>
      </w:pPr>
    </w:p>
    <w:p w14:paraId="3507CCD5" w14:textId="77777777" w:rsidR="0079710C" w:rsidRDefault="0079710C" w:rsidP="00B468D7">
      <w:pPr>
        <w:pStyle w:val="NoSpacing"/>
      </w:pPr>
    </w:p>
    <w:p w14:paraId="2E2B5D0C" w14:textId="0749D5FC" w:rsidR="005607D0" w:rsidRPr="00CD328D" w:rsidRDefault="00EB646F" w:rsidP="00EB646F">
      <w:pPr>
        <w:pStyle w:val="NoSpacing"/>
        <w:numPr>
          <w:ilvl w:val="0"/>
          <w:numId w:val="19"/>
        </w:numPr>
        <w:rPr>
          <w:sz w:val="21"/>
          <w:szCs w:val="21"/>
        </w:rPr>
      </w:pPr>
      <w:r w:rsidRPr="00CD328D">
        <w:rPr>
          <w:b/>
          <w:bCs/>
          <w:sz w:val="21"/>
          <w:szCs w:val="21"/>
        </w:rPr>
        <w:t>Question:</w:t>
      </w:r>
      <w:r w:rsidRPr="00CD328D">
        <w:rPr>
          <w:sz w:val="21"/>
          <w:szCs w:val="21"/>
        </w:rPr>
        <w:t xml:space="preserve"> Review Operating Room usage (if applicable). Did you find higher usage of cefazolin and vancomycin? (Y/N/NA)</w:t>
      </w:r>
    </w:p>
    <w:p w14:paraId="36A2C66A" w14:textId="1DA2AE3F" w:rsidR="0079710C" w:rsidRPr="00CD328D" w:rsidRDefault="0079710C" w:rsidP="0079710C">
      <w:pPr>
        <w:pStyle w:val="NoSpacing"/>
        <w:rPr>
          <w:sz w:val="21"/>
          <w:szCs w:val="21"/>
        </w:rPr>
      </w:pPr>
    </w:p>
    <w:p w14:paraId="05036348" w14:textId="77777777" w:rsidR="0079710C" w:rsidRPr="00CD328D" w:rsidRDefault="0079710C" w:rsidP="00B468D7">
      <w:pPr>
        <w:pStyle w:val="NoSpacing"/>
        <w:rPr>
          <w:sz w:val="21"/>
          <w:szCs w:val="21"/>
        </w:rPr>
      </w:pPr>
    </w:p>
    <w:p w14:paraId="0BE53E21" w14:textId="5DFF8202" w:rsidR="00EB646F" w:rsidRPr="00CD328D" w:rsidRDefault="00EB646F" w:rsidP="00EB646F">
      <w:pPr>
        <w:pStyle w:val="NoSpacing"/>
        <w:numPr>
          <w:ilvl w:val="0"/>
          <w:numId w:val="19"/>
        </w:numPr>
        <w:rPr>
          <w:sz w:val="21"/>
          <w:szCs w:val="21"/>
        </w:rPr>
      </w:pPr>
      <w:r w:rsidRPr="00CD328D">
        <w:rPr>
          <w:b/>
          <w:bCs/>
          <w:sz w:val="21"/>
          <w:szCs w:val="21"/>
        </w:rPr>
        <w:t>Question:</w:t>
      </w:r>
      <w:r w:rsidRPr="00CD328D">
        <w:rPr>
          <w:sz w:val="21"/>
          <w:szCs w:val="21"/>
        </w:rPr>
        <w:t xml:space="preserve"> Review cancer and/or transplant locations usage. </w:t>
      </w:r>
    </w:p>
    <w:p w14:paraId="59EE4274" w14:textId="6E048411" w:rsidR="005607D0" w:rsidRPr="00CD328D" w:rsidRDefault="00EB646F" w:rsidP="00EB646F">
      <w:pPr>
        <w:pStyle w:val="NoSpacing"/>
        <w:numPr>
          <w:ilvl w:val="0"/>
          <w:numId w:val="20"/>
        </w:numPr>
        <w:ind w:hanging="360"/>
        <w:rPr>
          <w:sz w:val="21"/>
          <w:szCs w:val="21"/>
        </w:rPr>
      </w:pPr>
      <w:r w:rsidRPr="00CD328D">
        <w:rPr>
          <w:sz w:val="21"/>
          <w:szCs w:val="21"/>
        </w:rPr>
        <w:lastRenderedPageBreak/>
        <w:t>Did you find usage of antifungals including azoles, echinocandins, and amphotericin B products? (Y/N)</w:t>
      </w:r>
    </w:p>
    <w:p w14:paraId="3E4B61E2" w14:textId="6CF6EF8B" w:rsidR="0079710C" w:rsidRPr="00CD328D" w:rsidRDefault="0079710C" w:rsidP="0079710C">
      <w:pPr>
        <w:pStyle w:val="NoSpacing"/>
        <w:rPr>
          <w:sz w:val="21"/>
          <w:szCs w:val="21"/>
        </w:rPr>
      </w:pPr>
    </w:p>
    <w:p w14:paraId="58509C88" w14:textId="77777777" w:rsidR="0079710C" w:rsidRPr="00CD328D" w:rsidRDefault="0079710C" w:rsidP="00B468D7">
      <w:pPr>
        <w:pStyle w:val="NoSpacing"/>
        <w:rPr>
          <w:sz w:val="21"/>
          <w:szCs w:val="21"/>
        </w:rPr>
      </w:pPr>
    </w:p>
    <w:p w14:paraId="6FC27F64" w14:textId="2C5D604D" w:rsidR="00EB646F" w:rsidRPr="00CD328D" w:rsidRDefault="00EB646F" w:rsidP="00EB646F">
      <w:pPr>
        <w:pStyle w:val="NoSpacing"/>
        <w:numPr>
          <w:ilvl w:val="0"/>
          <w:numId w:val="20"/>
        </w:numPr>
        <w:ind w:hanging="360"/>
        <w:rPr>
          <w:sz w:val="21"/>
          <w:szCs w:val="21"/>
        </w:rPr>
      </w:pPr>
      <w:r w:rsidRPr="00CD328D">
        <w:rPr>
          <w:sz w:val="21"/>
          <w:szCs w:val="21"/>
        </w:rPr>
        <w:t xml:space="preserve">Verify accurate capture of amphotericin B vs amphotericin B lipid </w:t>
      </w:r>
      <w:r w:rsidR="00487BEA">
        <w:rPr>
          <w:sz w:val="21"/>
          <w:szCs w:val="21"/>
        </w:rPr>
        <w:t>complex vs amphotericin B liposomal</w:t>
      </w:r>
      <w:r w:rsidRPr="00CD328D">
        <w:rPr>
          <w:sz w:val="21"/>
          <w:szCs w:val="21"/>
        </w:rPr>
        <w:t>. (Y/N)</w:t>
      </w:r>
    </w:p>
    <w:p w14:paraId="278E7D73" w14:textId="206F7FAB" w:rsidR="0079710C" w:rsidRPr="00CD328D" w:rsidRDefault="0079710C" w:rsidP="0079710C">
      <w:pPr>
        <w:pStyle w:val="NoSpacing"/>
        <w:rPr>
          <w:sz w:val="21"/>
          <w:szCs w:val="21"/>
        </w:rPr>
      </w:pPr>
    </w:p>
    <w:p w14:paraId="70818342" w14:textId="77777777" w:rsidR="0079710C" w:rsidRPr="00CD328D" w:rsidRDefault="0079710C" w:rsidP="00B468D7">
      <w:pPr>
        <w:pStyle w:val="NoSpacing"/>
        <w:rPr>
          <w:sz w:val="21"/>
          <w:szCs w:val="21"/>
        </w:rPr>
      </w:pPr>
    </w:p>
    <w:p w14:paraId="342849A3" w14:textId="4572BB25" w:rsidR="00EB646F" w:rsidRPr="00CD328D" w:rsidRDefault="00EB646F" w:rsidP="005607D0">
      <w:pPr>
        <w:pStyle w:val="NoSpacing"/>
        <w:numPr>
          <w:ilvl w:val="0"/>
          <w:numId w:val="19"/>
        </w:numPr>
        <w:rPr>
          <w:sz w:val="21"/>
          <w:szCs w:val="21"/>
        </w:rPr>
      </w:pPr>
      <w:r w:rsidRPr="00CD328D">
        <w:rPr>
          <w:b/>
          <w:bCs/>
          <w:sz w:val="21"/>
          <w:szCs w:val="21"/>
        </w:rPr>
        <w:t>Question:</w:t>
      </w:r>
      <w:r w:rsidRPr="00CD328D">
        <w:rPr>
          <w:sz w:val="21"/>
          <w:szCs w:val="21"/>
        </w:rPr>
        <w:t xml:space="preserve"> Did you identify any potential inconsistencies or errors? If so, how did you address these issues?</w:t>
      </w:r>
    </w:p>
    <w:p w14:paraId="05AC879B" w14:textId="46DAE6BA" w:rsidR="0079710C" w:rsidRDefault="0079710C" w:rsidP="0079710C">
      <w:pPr>
        <w:pStyle w:val="NoSpacing"/>
      </w:pPr>
    </w:p>
    <w:p w14:paraId="56D247DC" w14:textId="5C1B980A" w:rsidR="0079710C" w:rsidRDefault="0079710C" w:rsidP="0079710C">
      <w:pPr>
        <w:pStyle w:val="NoSpacing"/>
      </w:pPr>
    </w:p>
    <w:p w14:paraId="2696096E" w14:textId="64F48C90" w:rsidR="005607D0" w:rsidRDefault="005607D0" w:rsidP="005607D0">
      <w:pPr>
        <w:pStyle w:val="NoSpacing"/>
      </w:pPr>
    </w:p>
    <w:p w14:paraId="14C154B8" w14:textId="5633AC1A" w:rsidR="005607D0" w:rsidRDefault="005607D0" w:rsidP="005607D0">
      <w:pPr>
        <w:pStyle w:val="Heading3"/>
        <w:numPr>
          <w:ilvl w:val="0"/>
          <w:numId w:val="16"/>
        </w:numPr>
      </w:pPr>
      <w:bookmarkStart w:id="15" w:name="_Evaluate_drug_specific"/>
      <w:bookmarkEnd w:id="15"/>
      <w:r>
        <w:t>Evaluate drug specific “expected” patterns</w:t>
      </w:r>
    </w:p>
    <w:p w14:paraId="2E2C5098" w14:textId="6BF95F0D" w:rsidR="005607D0" w:rsidRPr="00CD328D" w:rsidRDefault="005607D0" w:rsidP="005607D0">
      <w:pPr>
        <w:pStyle w:val="NoSpacing"/>
        <w:ind w:left="720"/>
        <w:rPr>
          <w:sz w:val="21"/>
          <w:szCs w:val="21"/>
        </w:rPr>
      </w:pPr>
      <w:r w:rsidRPr="00CD328D">
        <w:rPr>
          <w:b/>
          <w:bCs/>
          <w:sz w:val="21"/>
          <w:szCs w:val="21"/>
        </w:rPr>
        <w:t>Methodology:</w:t>
      </w:r>
      <w:r w:rsidRPr="00CD328D">
        <w:rPr>
          <w:sz w:val="21"/>
          <w:szCs w:val="21"/>
        </w:rPr>
        <w:t xml:space="preserve"> Use the Antimicrobial Use “</w:t>
      </w:r>
      <w:hyperlink r:id="rId31" w:history="1">
        <w:r w:rsidRPr="00CD328D">
          <w:rPr>
            <w:rStyle w:val="Hyperlink"/>
            <w:sz w:val="21"/>
            <w:szCs w:val="21"/>
          </w:rPr>
          <w:t>Line Listing – All Submitted AU data by Location</w:t>
        </w:r>
      </w:hyperlink>
      <w:r w:rsidRPr="00CD328D">
        <w:rPr>
          <w:sz w:val="21"/>
          <w:szCs w:val="21"/>
        </w:rPr>
        <w:t>” to answer the following questions.</w:t>
      </w:r>
      <w:r w:rsidR="0079710C" w:rsidRPr="00CD328D">
        <w:rPr>
          <w:sz w:val="21"/>
          <w:szCs w:val="21"/>
        </w:rPr>
        <w:t xml:space="preserve"> </w:t>
      </w:r>
    </w:p>
    <w:p w14:paraId="3E20E6A3" w14:textId="77777777" w:rsidR="0079710C" w:rsidRPr="00CD328D" w:rsidRDefault="0079710C" w:rsidP="005607D0">
      <w:pPr>
        <w:pStyle w:val="NoSpacing"/>
        <w:ind w:left="720"/>
        <w:rPr>
          <w:sz w:val="21"/>
          <w:szCs w:val="21"/>
        </w:rPr>
      </w:pPr>
    </w:p>
    <w:p w14:paraId="751CB3FA" w14:textId="29311809" w:rsidR="005607D0" w:rsidRPr="00CD328D" w:rsidRDefault="005607D0" w:rsidP="005607D0">
      <w:pPr>
        <w:pStyle w:val="NoSpacing"/>
        <w:numPr>
          <w:ilvl w:val="0"/>
          <w:numId w:val="21"/>
        </w:numPr>
        <w:rPr>
          <w:sz w:val="21"/>
          <w:szCs w:val="21"/>
        </w:rPr>
      </w:pPr>
      <w:r w:rsidRPr="00CD328D">
        <w:rPr>
          <w:b/>
          <w:bCs/>
          <w:sz w:val="21"/>
          <w:szCs w:val="21"/>
        </w:rPr>
        <w:t>Verify:</w:t>
      </w:r>
      <w:r w:rsidRPr="00CD328D">
        <w:rPr>
          <w:sz w:val="21"/>
          <w:szCs w:val="21"/>
        </w:rPr>
        <w:t xml:space="preserve"> The vendor system is capturing non-formulary and rarely used agents. (Y/N) </w:t>
      </w:r>
    </w:p>
    <w:p w14:paraId="5B73E809" w14:textId="08998826" w:rsidR="0079710C" w:rsidRPr="00CD328D" w:rsidRDefault="0079710C" w:rsidP="0079710C">
      <w:pPr>
        <w:pStyle w:val="NoSpacing"/>
        <w:rPr>
          <w:sz w:val="21"/>
          <w:szCs w:val="21"/>
        </w:rPr>
      </w:pPr>
    </w:p>
    <w:p w14:paraId="0508DC58" w14:textId="77777777" w:rsidR="0079710C" w:rsidRPr="00CD328D" w:rsidRDefault="0079710C" w:rsidP="00B468D7">
      <w:pPr>
        <w:pStyle w:val="NoSpacing"/>
        <w:rPr>
          <w:sz w:val="21"/>
          <w:szCs w:val="21"/>
        </w:rPr>
      </w:pPr>
    </w:p>
    <w:p w14:paraId="29FEC677" w14:textId="73B54407" w:rsidR="005607D0" w:rsidRPr="00CD328D" w:rsidRDefault="005607D0" w:rsidP="005607D0">
      <w:pPr>
        <w:pStyle w:val="NoSpacing"/>
        <w:numPr>
          <w:ilvl w:val="0"/>
          <w:numId w:val="21"/>
        </w:numPr>
        <w:rPr>
          <w:sz w:val="21"/>
          <w:szCs w:val="21"/>
        </w:rPr>
      </w:pPr>
      <w:r w:rsidRPr="00CD328D">
        <w:rPr>
          <w:b/>
          <w:bCs/>
          <w:sz w:val="21"/>
          <w:szCs w:val="21"/>
        </w:rPr>
        <w:t>Verify:</w:t>
      </w:r>
      <w:r w:rsidRPr="00CD328D">
        <w:rPr>
          <w:sz w:val="21"/>
          <w:szCs w:val="21"/>
        </w:rPr>
        <w:t xml:space="preserve"> Correct usage of N/A or zero in cases of no use of the specific drug. (Y/N) </w:t>
      </w:r>
    </w:p>
    <w:p w14:paraId="2E1080AC" w14:textId="15444397" w:rsidR="005607D0" w:rsidRPr="00CD328D" w:rsidRDefault="005607D0" w:rsidP="005607D0">
      <w:pPr>
        <w:pStyle w:val="NoSpacing"/>
        <w:ind w:left="720"/>
        <w:rPr>
          <w:sz w:val="21"/>
          <w:szCs w:val="21"/>
        </w:rPr>
      </w:pPr>
      <w:r w:rsidRPr="00CD328D">
        <w:rPr>
          <w:b/>
          <w:bCs/>
          <w:sz w:val="21"/>
          <w:szCs w:val="21"/>
        </w:rPr>
        <w:t>Note:</w:t>
      </w:r>
      <w:r w:rsidRPr="00CD328D">
        <w:rPr>
          <w:sz w:val="21"/>
          <w:szCs w:val="21"/>
        </w:rPr>
        <w:t xml:space="preserve"> According to the AU Option protocol “Not applicable (N/A)” is reported when an antimicrobial cannot be electronically captured from eMAR/BCMA while “0” is reported when the facility had no administrations of the drug and/or route during the given month in the specific location. In NHSN, “N/A” is shown as “.” in the line list.</w:t>
      </w:r>
      <w:r w:rsidR="00487BEA">
        <w:rPr>
          <w:sz w:val="21"/>
          <w:szCs w:val="21"/>
        </w:rPr>
        <w:t xml:space="preserve"> Facilities should only report “NA” for non-formulary </w:t>
      </w:r>
      <w:r w:rsidR="00215EA4">
        <w:rPr>
          <w:sz w:val="21"/>
          <w:szCs w:val="21"/>
        </w:rPr>
        <w:t xml:space="preserve">agents when those agents, if administered, cannot be accurately electronically captured in the eMAR/BCMA system. </w:t>
      </w:r>
    </w:p>
    <w:p w14:paraId="6F4D066D" w14:textId="78FC76C2" w:rsidR="0079710C" w:rsidRPr="00CD328D" w:rsidRDefault="0079710C" w:rsidP="005607D0">
      <w:pPr>
        <w:pStyle w:val="NoSpacing"/>
        <w:ind w:left="720"/>
        <w:rPr>
          <w:sz w:val="21"/>
          <w:szCs w:val="21"/>
        </w:rPr>
      </w:pPr>
    </w:p>
    <w:p w14:paraId="0864F7BA" w14:textId="77777777" w:rsidR="0079710C" w:rsidRPr="00CD328D" w:rsidRDefault="0079710C" w:rsidP="005607D0">
      <w:pPr>
        <w:pStyle w:val="NoSpacing"/>
        <w:ind w:left="720"/>
        <w:rPr>
          <w:sz w:val="21"/>
          <w:szCs w:val="21"/>
        </w:rPr>
      </w:pPr>
    </w:p>
    <w:p w14:paraId="2311A01B" w14:textId="248048CE" w:rsidR="005607D0" w:rsidRPr="00CD328D" w:rsidRDefault="005607D0" w:rsidP="005607D0">
      <w:pPr>
        <w:pStyle w:val="NoSpacing"/>
        <w:numPr>
          <w:ilvl w:val="0"/>
          <w:numId w:val="21"/>
        </w:numPr>
        <w:rPr>
          <w:sz w:val="21"/>
          <w:szCs w:val="21"/>
        </w:rPr>
      </w:pPr>
      <w:r w:rsidRPr="00CD328D">
        <w:rPr>
          <w:b/>
          <w:bCs/>
          <w:sz w:val="21"/>
          <w:szCs w:val="21"/>
        </w:rPr>
        <w:t>Question:</w:t>
      </w:r>
      <w:r w:rsidRPr="00CD328D">
        <w:rPr>
          <w:sz w:val="21"/>
          <w:szCs w:val="21"/>
        </w:rPr>
        <w:t xml:space="preserve"> Does your facility have higher usage of vancomycin and piperacillin-tazobactam and lower usage with oral cephalosporins and nafcillin in the inpatient setting? (Y/N)</w:t>
      </w:r>
    </w:p>
    <w:p w14:paraId="6875BD15" w14:textId="07E3BBF4" w:rsidR="0079710C" w:rsidRPr="00CD328D" w:rsidRDefault="0079710C" w:rsidP="0079710C">
      <w:pPr>
        <w:pStyle w:val="NoSpacing"/>
        <w:rPr>
          <w:sz w:val="21"/>
          <w:szCs w:val="21"/>
        </w:rPr>
      </w:pPr>
    </w:p>
    <w:p w14:paraId="46AE33A4" w14:textId="77777777" w:rsidR="0079710C" w:rsidRPr="00CD328D" w:rsidRDefault="0079710C" w:rsidP="00B468D7">
      <w:pPr>
        <w:pStyle w:val="NoSpacing"/>
        <w:rPr>
          <w:sz w:val="21"/>
          <w:szCs w:val="21"/>
        </w:rPr>
      </w:pPr>
    </w:p>
    <w:p w14:paraId="01E462C1" w14:textId="23FFF6AB" w:rsidR="005530BA" w:rsidRPr="00CD328D" w:rsidRDefault="005607D0" w:rsidP="005607D0">
      <w:pPr>
        <w:pStyle w:val="NoSpacing"/>
        <w:numPr>
          <w:ilvl w:val="0"/>
          <w:numId w:val="21"/>
        </w:numPr>
        <w:rPr>
          <w:sz w:val="21"/>
          <w:szCs w:val="21"/>
        </w:rPr>
      </w:pPr>
      <w:r w:rsidRPr="00CD328D">
        <w:rPr>
          <w:b/>
          <w:bCs/>
          <w:sz w:val="21"/>
          <w:szCs w:val="21"/>
        </w:rPr>
        <w:t>Verify:</w:t>
      </w:r>
      <w:r w:rsidRPr="00CD328D">
        <w:rPr>
          <w:sz w:val="21"/>
          <w:szCs w:val="21"/>
        </w:rPr>
        <w:t xml:space="preserve"> Anti-influenza agents (for example, oseltamivir, zanamivir) have usage during flu season with potential peaks in usage in January and February. (Y/N)</w:t>
      </w:r>
    </w:p>
    <w:p w14:paraId="2DA6BAAA" w14:textId="7053DC9A" w:rsidR="0079710C" w:rsidRPr="00CD328D" w:rsidRDefault="0079710C" w:rsidP="0079710C">
      <w:pPr>
        <w:pStyle w:val="NoSpacing"/>
        <w:rPr>
          <w:sz w:val="21"/>
          <w:szCs w:val="21"/>
        </w:rPr>
      </w:pPr>
    </w:p>
    <w:p w14:paraId="5C42FFC6" w14:textId="77777777" w:rsidR="0079710C" w:rsidRPr="00CD328D" w:rsidRDefault="0079710C" w:rsidP="00B468D7">
      <w:pPr>
        <w:pStyle w:val="NoSpacing"/>
        <w:rPr>
          <w:sz w:val="21"/>
          <w:szCs w:val="21"/>
        </w:rPr>
      </w:pPr>
    </w:p>
    <w:p w14:paraId="278AD1FF" w14:textId="30081E35" w:rsidR="005530BA" w:rsidRPr="00CD328D" w:rsidRDefault="005607D0" w:rsidP="005607D0">
      <w:pPr>
        <w:pStyle w:val="NoSpacing"/>
        <w:numPr>
          <w:ilvl w:val="0"/>
          <w:numId w:val="21"/>
        </w:numPr>
        <w:rPr>
          <w:sz w:val="21"/>
          <w:szCs w:val="21"/>
        </w:rPr>
      </w:pPr>
      <w:r w:rsidRPr="00CD328D">
        <w:rPr>
          <w:b/>
          <w:bCs/>
          <w:sz w:val="21"/>
          <w:szCs w:val="21"/>
        </w:rPr>
        <w:t>Verify:</w:t>
      </w:r>
      <w:r w:rsidRPr="00CD328D">
        <w:rPr>
          <w:sz w:val="21"/>
          <w:szCs w:val="21"/>
        </w:rPr>
        <w:t xml:space="preserve"> </w:t>
      </w:r>
      <w:bookmarkStart w:id="16" w:name="_Hlk61962520"/>
      <w:r w:rsidRPr="00CD328D">
        <w:rPr>
          <w:sz w:val="21"/>
          <w:szCs w:val="21"/>
        </w:rPr>
        <w:t>The vendor system is correctly capturing single and combination drugs such as amoxicillin and amoxicillin/clavulanate, ampicillin and ampicillin/sulbactam, ceftazidime and ceftazidime/avibactam,</w:t>
      </w:r>
      <w:r w:rsidR="00F841F6">
        <w:rPr>
          <w:sz w:val="21"/>
          <w:szCs w:val="21"/>
        </w:rPr>
        <w:t xml:space="preserve"> and</w:t>
      </w:r>
      <w:r w:rsidRPr="00CD328D">
        <w:rPr>
          <w:sz w:val="21"/>
          <w:szCs w:val="21"/>
        </w:rPr>
        <w:t xml:space="preserve"> meropenem and meropenem/vaborbactam. For example, </w:t>
      </w:r>
      <w:r w:rsidR="00D46DA6" w:rsidRPr="00CD328D">
        <w:rPr>
          <w:sz w:val="21"/>
          <w:szCs w:val="21"/>
        </w:rPr>
        <w:t xml:space="preserve">the vendor system is not mapping and aggregating </w:t>
      </w:r>
      <w:r w:rsidRPr="00CD328D">
        <w:rPr>
          <w:sz w:val="21"/>
          <w:szCs w:val="21"/>
        </w:rPr>
        <w:t xml:space="preserve">ceftazidime/avibactam </w:t>
      </w:r>
      <w:r w:rsidR="00D46DA6" w:rsidRPr="00CD328D">
        <w:rPr>
          <w:sz w:val="21"/>
          <w:szCs w:val="21"/>
        </w:rPr>
        <w:t>t</w:t>
      </w:r>
      <w:r w:rsidRPr="00CD328D">
        <w:rPr>
          <w:sz w:val="21"/>
          <w:szCs w:val="21"/>
        </w:rPr>
        <w:t>o ceftazidime (Y/N)</w:t>
      </w:r>
    </w:p>
    <w:bookmarkEnd w:id="16"/>
    <w:p w14:paraId="708B66FF" w14:textId="2EFB2F1C" w:rsidR="0079710C" w:rsidRPr="00CD328D" w:rsidRDefault="0079710C" w:rsidP="0079710C">
      <w:pPr>
        <w:pStyle w:val="NoSpacing"/>
        <w:rPr>
          <w:sz w:val="21"/>
          <w:szCs w:val="21"/>
        </w:rPr>
      </w:pPr>
    </w:p>
    <w:p w14:paraId="11E61AE4" w14:textId="77777777" w:rsidR="0079710C" w:rsidRPr="00CD328D" w:rsidRDefault="0079710C" w:rsidP="00B468D7">
      <w:pPr>
        <w:pStyle w:val="NoSpacing"/>
        <w:rPr>
          <w:sz w:val="21"/>
          <w:szCs w:val="21"/>
        </w:rPr>
      </w:pPr>
    </w:p>
    <w:p w14:paraId="175E579C" w14:textId="09B3EB25" w:rsidR="005607D0" w:rsidRPr="00CD328D" w:rsidRDefault="005607D0" w:rsidP="005607D0">
      <w:pPr>
        <w:pStyle w:val="NoSpacing"/>
        <w:numPr>
          <w:ilvl w:val="0"/>
          <w:numId w:val="21"/>
        </w:numPr>
        <w:rPr>
          <w:sz w:val="21"/>
          <w:szCs w:val="21"/>
        </w:rPr>
      </w:pPr>
      <w:r w:rsidRPr="00CD328D">
        <w:rPr>
          <w:b/>
          <w:bCs/>
          <w:sz w:val="21"/>
          <w:szCs w:val="21"/>
        </w:rPr>
        <w:t>Verify:</w:t>
      </w:r>
      <w:r w:rsidRPr="00CD328D">
        <w:rPr>
          <w:sz w:val="21"/>
          <w:szCs w:val="21"/>
        </w:rPr>
        <w:t xml:space="preserve"> If your facility has submitted AU data for more than one month, confirm general usage patterns for a specific location are similar across months. (Y/N)</w:t>
      </w:r>
    </w:p>
    <w:p w14:paraId="3F7AA489" w14:textId="77777777" w:rsidR="00432044" w:rsidRDefault="00432044" w:rsidP="008340F2">
      <w:pPr>
        <w:pStyle w:val="NoSpacing"/>
        <w:rPr>
          <w:b/>
          <w:bCs/>
          <w:sz w:val="21"/>
          <w:szCs w:val="21"/>
        </w:rPr>
      </w:pPr>
    </w:p>
    <w:p w14:paraId="2A84A246" w14:textId="77777777" w:rsidR="00432044" w:rsidRDefault="00432044" w:rsidP="008340F2">
      <w:pPr>
        <w:pStyle w:val="NoSpacing"/>
        <w:rPr>
          <w:b/>
          <w:bCs/>
          <w:sz w:val="21"/>
          <w:szCs w:val="21"/>
        </w:rPr>
      </w:pPr>
    </w:p>
    <w:p w14:paraId="141F426A" w14:textId="77777777" w:rsidR="00432044" w:rsidRDefault="00432044" w:rsidP="008340F2">
      <w:pPr>
        <w:pStyle w:val="NoSpacing"/>
        <w:rPr>
          <w:b/>
          <w:bCs/>
          <w:sz w:val="21"/>
          <w:szCs w:val="21"/>
        </w:rPr>
        <w:sectPr w:rsidR="00432044" w:rsidSect="003D38E6">
          <w:pgSz w:w="12240" w:h="15840" w:code="1"/>
          <w:pgMar w:top="540" w:right="720" w:bottom="720" w:left="720" w:header="720" w:footer="288" w:gutter="0"/>
          <w:cols w:space="720"/>
          <w:titlePg/>
          <w:docGrid w:linePitch="360"/>
        </w:sectPr>
      </w:pPr>
    </w:p>
    <w:p w14:paraId="1FB2B0E2" w14:textId="2B73A57D" w:rsidR="00E20C9D" w:rsidRPr="00CD328D" w:rsidRDefault="00E20C9D" w:rsidP="008340F2">
      <w:pPr>
        <w:pStyle w:val="NoSpacing"/>
        <w:rPr>
          <w:b/>
          <w:bCs/>
          <w:sz w:val="21"/>
          <w:szCs w:val="21"/>
        </w:rPr>
      </w:pPr>
      <w:r w:rsidRPr="00432044">
        <w:rPr>
          <w:b/>
          <w:bCs/>
          <w:sz w:val="21"/>
          <w:szCs w:val="21"/>
          <w:u w:val="single"/>
        </w:rPr>
        <w:lastRenderedPageBreak/>
        <w:t>Important note</w:t>
      </w:r>
      <w:r w:rsidRPr="00CD328D">
        <w:rPr>
          <w:b/>
          <w:bCs/>
          <w:sz w:val="21"/>
          <w:szCs w:val="21"/>
        </w:rPr>
        <w:t xml:space="preserve">: </w:t>
      </w:r>
      <w:r w:rsidRPr="00CD328D">
        <w:rPr>
          <w:sz w:val="21"/>
          <w:szCs w:val="21"/>
        </w:rPr>
        <w:t>Th</w:t>
      </w:r>
      <w:r w:rsidR="00087B3E" w:rsidRPr="00CD328D">
        <w:rPr>
          <w:sz w:val="21"/>
          <w:szCs w:val="21"/>
        </w:rPr>
        <w:t>is document includes the</w:t>
      </w:r>
      <w:r w:rsidRPr="00CD328D">
        <w:rPr>
          <w:sz w:val="21"/>
          <w:szCs w:val="21"/>
        </w:rPr>
        <w:t xml:space="preserve"> next two sections, </w:t>
      </w:r>
      <w:r w:rsidR="00842D0F">
        <w:rPr>
          <w:sz w:val="21"/>
          <w:szCs w:val="21"/>
        </w:rPr>
        <w:t>“</w:t>
      </w:r>
      <w:r w:rsidRPr="00CD328D">
        <w:rPr>
          <w:sz w:val="21"/>
          <w:szCs w:val="21"/>
        </w:rPr>
        <w:t>Review aggregations</w:t>
      </w:r>
      <w:r w:rsidR="00842D0F">
        <w:rPr>
          <w:sz w:val="21"/>
          <w:szCs w:val="21"/>
        </w:rPr>
        <w:t>”</w:t>
      </w:r>
      <w:r w:rsidRPr="00CD328D">
        <w:rPr>
          <w:sz w:val="21"/>
          <w:szCs w:val="21"/>
        </w:rPr>
        <w:t xml:space="preserve"> and </w:t>
      </w:r>
      <w:r w:rsidR="00842D0F">
        <w:rPr>
          <w:sz w:val="21"/>
          <w:szCs w:val="21"/>
        </w:rPr>
        <w:t>“</w:t>
      </w:r>
      <w:r w:rsidRPr="00CD328D">
        <w:rPr>
          <w:sz w:val="21"/>
          <w:szCs w:val="21"/>
        </w:rPr>
        <w:t>Comparing AU and HAI denominator data</w:t>
      </w:r>
      <w:r w:rsidR="00842D0F">
        <w:rPr>
          <w:sz w:val="21"/>
          <w:szCs w:val="21"/>
        </w:rPr>
        <w:t>”</w:t>
      </w:r>
      <w:r w:rsidRPr="00CD328D">
        <w:rPr>
          <w:sz w:val="21"/>
          <w:szCs w:val="21"/>
        </w:rPr>
        <w:t>, in Section B</w:t>
      </w:r>
      <w:r w:rsidR="00087B3E" w:rsidRPr="00CD328D">
        <w:rPr>
          <w:sz w:val="21"/>
          <w:szCs w:val="21"/>
        </w:rPr>
        <w:t xml:space="preserve"> as well</w:t>
      </w:r>
      <w:r w:rsidR="00842D0F">
        <w:rPr>
          <w:sz w:val="21"/>
          <w:szCs w:val="21"/>
        </w:rPr>
        <w:t xml:space="preserve"> (pages 5-10)</w:t>
      </w:r>
      <w:r w:rsidRPr="00CD328D">
        <w:rPr>
          <w:sz w:val="21"/>
          <w:szCs w:val="21"/>
        </w:rPr>
        <w:t xml:space="preserve">. If you’ve already completed these sections as part of section B above, you can </w:t>
      </w:r>
      <w:r w:rsidR="00275B33" w:rsidRPr="00CD328D">
        <w:rPr>
          <w:sz w:val="21"/>
          <w:szCs w:val="21"/>
        </w:rPr>
        <w:t>skip these sections in Section C. If you did not complete Section B, please proceed with the following questions.</w:t>
      </w:r>
      <w:r w:rsidR="00275B33" w:rsidRPr="00CD328D">
        <w:rPr>
          <w:b/>
          <w:bCs/>
          <w:sz w:val="21"/>
          <w:szCs w:val="21"/>
        </w:rPr>
        <w:t xml:space="preserve"> </w:t>
      </w:r>
    </w:p>
    <w:p w14:paraId="1BCD80CF" w14:textId="77777777" w:rsidR="00275B33" w:rsidRPr="00B468D7" w:rsidRDefault="00275B33" w:rsidP="008340F2">
      <w:pPr>
        <w:pStyle w:val="NoSpacing"/>
        <w:rPr>
          <w:b/>
          <w:bCs/>
        </w:rPr>
      </w:pPr>
    </w:p>
    <w:p w14:paraId="2B5ADF2E" w14:textId="5A51B489" w:rsidR="00E20C9D" w:rsidRDefault="00E20C9D" w:rsidP="00B468D7">
      <w:pPr>
        <w:pStyle w:val="Heading3"/>
        <w:numPr>
          <w:ilvl w:val="0"/>
          <w:numId w:val="16"/>
        </w:numPr>
      </w:pPr>
      <w:bookmarkStart w:id="17" w:name="_Review_aggregations_1"/>
      <w:bookmarkEnd w:id="17"/>
      <w:r>
        <w:t>Review aggregations</w:t>
      </w:r>
    </w:p>
    <w:p w14:paraId="707B6D08" w14:textId="77777777" w:rsidR="00E20C9D" w:rsidRDefault="00E20C9D" w:rsidP="00E20C9D">
      <w:pPr>
        <w:pStyle w:val="Heading4"/>
        <w:ind w:firstLine="720"/>
      </w:pPr>
      <w:r>
        <w:t>Aggregating FacWideIN antimicrobial days</w:t>
      </w:r>
    </w:p>
    <w:p w14:paraId="4A12AD50" w14:textId="2472904F" w:rsidR="00E20C9D" w:rsidRPr="00CD328D" w:rsidRDefault="00E20C9D" w:rsidP="00E20C9D">
      <w:pPr>
        <w:pStyle w:val="NoSpacing"/>
        <w:ind w:left="720"/>
        <w:rPr>
          <w:sz w:val="21"/>
          <w:szCs w:val="21"/>
        </w:rPr>
      </w:pPr>
      <w:r w:rsidRPr="00CD328D">
        <w:rPr>
          <w:b/>
          <w:bCs/>
          <w:sz w:val="21"/>
          <w:szCs w:val="21"/>
        </w:rPr>
        <w:t>Methodology</w:t>
      </w:r>
      <w:r w:rsidRPr="00CD328D">
        <w:rPr>
          <w:sz w:val="21"/>
          <w:szCs w:val="21"/>
        </w:rPr>
        <w:t>: Choose three commonly used drugs, administer</w:t>
      </w:r>
      <w:r w:rsidR="0067471A">
        <w:rPr>
          <w:sz w:val="21"/>
          <w:szCs w:val="21"/>
        </w:rPr>
        <w:t>ed</w:t>
      </w:r>
      <w:r w:rsidRPr="00CD328D">
        <w:rPr>
          <w:sz w:val="21"/>
          <w:szCs w:val="21"/>
        </w:rPr>
        <w:t xml:space="preserve"> more than once per day, to confirm appropriate aggregation of FacWideIN antimicrobial days (see table </w:t>
      </w:r>
      <w:r w:rsidR="00F841F6">
        <w:rPr>
          <w:sz w:val="21"/>
          <w:szCs w:val="21"/>
        </w:rPr>
        <w:t>below</w:t>
      </w:r>
      <w:r w:rsidRPr="00CD328D">
        <w:rPr>
          <w:sz w:val="21"/>
          <w:szCs w:val="21"/>
        </w:rPr>
        <w:t>).</w:t>
      </w:r>
      <w:r w:rsidR="003C4124" w:rsidRPr="00CD328D">
        <w:rPr>
          <w:sz w:val="21"/>
          <w:szCs w:val="21"/>
        </w:rPr>
        <w:t xml:space="preserve"> Use the Antimicrobial Use “</w:t>
      </w:r>
      <w:hyperlink r:id="rId32" w:history="1">
        <w:r w:rsidR="003C4124" w:rsidRPr="00CD328D">
          <w:rPr>
            <w:rStyle w:val="Hyperlink"/>
            <w:sz w:val="21"/>
            <w:szCs w:val="21"/>
          </w:rPr>
          <w:t>Line Listing – All Submitted AU data by Location</w:t>
        </w:r>
      </w:hyperlink>
      <w:r w:rsidR="003C4124" w:rsidRPr="00CD328D">
        <w:rPr>
          <w:sz w:val="21"/>
          <w:szCs w:val="21"/>
        </w:rPr>
        <w:t xml:space="preserve">” to answer the following questions. Remove the location filter and add a filter for the three drugs of interest for the most efficient data review. </w:t>
      </w:r>
    </w:p>
    <w:p w14:paraId="498FB4FF" w14:textId="77777777" w:rsidR="00E20C9D" w:rsidRPr="00CD328D" w:rsidRDefault="00E20C9D" w:rsidP="00E20C9D">
      <w:pPr>
        <w:pStyle w:val="NoSpacing"/>
        <w:ind w:left="720"/>
        <w:rPr>
          <w:sz w:val="21"/>
          <w:szCs w:val="21"/>
        </w:rPr>
      </w:pPr>
    </w:p>
    <w:p w14:paraId="291F79CC" w14:textId="39F07FB1" w:rsidR="00E20C9D" w:rsidRPr="00CD328D" w:rsidRDefault="00E20C9D" w:rsidP="00E20C9D">
      <w:pPr>
        <w:pStyle w:val="NoSpacing"/>
        <w:ind w:left="720"/>
        <w:rPr>
          <w:sz w:val="21"/>
          <w:szCs w:val="21"/>
        </w:rPr>
      </w:pPr>
      <w:r w:rsidRPr="00CD328D">
        <w:rPr>
          <w:b/>
          <w:bCs/>
          <w:sz w:val="21"/>
          <w:szCs w:val="21"/>
        </w:rPr>
        <w:t>Example:</w:t>
      </w:r>
      <w:r w:rsidRPr="00CD328D">
        <w:rPr>
          <w:sz w:val="21"/>
          <w:szCs w:val="21"/>
        </w:rPr>
        <w:t xml:space="preserve"> The location specific piperacillin/tazobactam antimicrobial days may add up to be higher than the FacWideIN piperacillin/tazobactam antimicrobial days because piperacillin/tazobactam </w:t>
      </w:r>
      <w:r w:rsidR="0067471A">
        <w:rPr>
          <w:sz w:val="21"/>
          <w:szCs w:val="21"/>
        </w:rPr>
        <w:t xml:space="preserve">can be administered </w:t>
      </w:r>
      <w:r w:rsidRPr="00CD328D">
        <w:rPr>
          <w:sz w:val="21"/>
          <w:szCs w:val="21"/>
        </w:rPr>
        <w:t>more than once daily. Therefore, if a patient received piperacillin/tazobactam once in the medical ward in the morning then was transferred and received the remaining doses in the medical ICU, that patient would attribute one total piperacillin/tazobactam antimicrobial day to both the medical ward and the medical ICU but could still only attribute one total piperacillin/tazobactam for the FacWideIN count.</w:t>
      </w:r>
    </w:p>
    <w:p w14:paraId="2D806E7A" w14:textId="77777777" w:rsidR="00697C02" w:rsidRDefault="00697C02" w:rsidP="00E20C9D">
      <w:pPr>
        <w:pStyle w:val="NoSpacing"/>
        <w:ind w:left="720"/>
        <w:rPr>
          <w:sz w:val="21"/>
          <w:szCs w:val="21"/>
        </w:rPr>
      </w:pPr>
    </w:p>
    <w:p w14:paraId="379054D0" w14:textId="36AD32BE" w:rsidR="00E20C9D" w:rsidRPr="00CD328D" w:rsidRDefault="00E20C9D" w:rsidP="00E20C9D">
      <w:pPr>
        <w:pStyle w:val="NoSpacing"/>
        <w:ind w:left="720"/>
        <w:rPr>
          <w:sz w:val="21"/>
          <w:szCs w:val="21"/>
        </w:rPr>
      </w:pPr>
      <w:r w:rsidRPr="00CD328D">
        <w:rPr>
          <w:sz w:val="21"/>
          <w:szCs w:val="21"/>
        </w:rPr>
        <w:t>Please list the drug-specific values of antimicrobial days for FacWideIN and the drug-specific values of antimicrobial days for the aggregate of all inpatient locations in the table below:</w:t>
      </w:r>
    </w:p>
    <w:p w14:paraId="371270E7" w14:textId="77777777" w:rsidR="00E20C9D" w:rsidRPr="00CD328D" w:rsidRDefault="00E20C9D" w:rsidP="00E20C9D">
      <w:pPr>
        <w:pStyle w:val="NoSpacing"/>
        <w:rPr>
          <w:sz w:val="21"/>
          <w:szCs w:val="21"/>
        </w:rPr>
      </w:pPr>
    </w:p>
    <w:tbl>
      <w:tblPr>
        <w:tblStyle w:val="TableGrid"/>
        <w:tblW w:w="0" w:type="auto"/>
        <w:tblInd w:w="355" w:type="dxa"/>
        <w:tblLook w:val="04A0" w:firstRow="1" w:lastRow="0" w:firstColumn="1" w:lastColumn="0" w:noHBand="0" w:noVBand="1"/>
      </w:tblPr>
      <w:tblGrid>
        <w:gridCol w:w="1170"/>
        <w:gridCol w:w="2250"/>
        <w:gridCol w:w="2190"/>
        <w:gridCol w:w="2190"/>
        <w:gridCol w:w="2190"/>
      </w:tblGrid>
      <w:tr w:rsidR="00E20C9D" w:rsidRPr="00CD328D" w14:paraId="498E1AB0" w14:textId="77777777" w:rsidTr="00E20C9D">
        <w:tc>
          <w:tcPr>
            <w:tcW w:w="1170" w:type="dxa"/>
          </w:tcPr>
          <w:p w14:paraId="59821061" w14:textId="77777777" w:rsidR="00E20C9D" w:rsidRPr="00CD328D" w:rsidRDefault="00E20C9D" w:rsidP="00E20C9D">
            <w:pPr>
              <w:pStyle w:val="NoSpacing"/>
              <w:rPr>
                <w:sz w:val="21"/>
                <w:szCs w:val="21"/>
              </w:rPr>
            </w:pPr>
          </w:p>
        </w:tc>
        <w:tc>
          <w:tcPr>
            <w:tcW w:w="2250" w:type="dxa"/>
            <w:vAlign w:val="center"/>
          </w:tcPr>
          <w:p w14:paraId="6DBB377F" w14:textId="77777777" w:rsidR="00E20C9D" w:rsidRPr="00CD328D" w:rsidRDefault="00E20C9D" w:rsidP="00E20C9D">
            <w:pPr>
              <w:pStyle w:val="NoSpacing"/>
              <w:rPr>
                <w:sz w:val="21"/>
                <w:szCs w:val="21"/>
              </w:rPr>
            </w:pPr>
            <w:r w:rsidRPr="00CD328D">
              <w:rPr>
                <w:rFonts w:cs="Arial"/>
                <w:b/>
                <w:sz w:val="21"/>
                <w:szCs w:val="21"/>
              </w:rPr>
              <w:t>Drug Name</w:t>
            </w:r>
          </w:p>
        </w:tc>
        <w:tc>
          <w:tcPr>
            <w:tcW w:w="2190" w:type="dxa"/>
            <w:vAlign w:val="center"/>
          </w:tcPr>
          <w:p w14:paraId="424CF04F" w14:textId="77777777" w:rsidR="00E20C9D" w:rsidRPr="00CD328D" w:rsidRDefault="00E20C9D" w:rsidP="00E20C9D">
            <w:pPr>
              <w:pStyle w:val="NoSpacing"/>
              <w:rPr>
                <w:sz w:val="21"/>
                <w:szCs w:val="21"/>
              </w:rPr>
            </w:pPr>
            <w:r w:rsidRPr="00CD328D">
              <w:rPr>
                <w:rFonts w:cs="Arial"/>
                <w:b/>
                <w:sz w:val="21"/>
                <w:szCs w:val="21"/>
              </w:rPr>
              <w:t>Month/Year</w:t>
            </w:r>
          </w:p>
        </w:tc>
        <w:tc>
          <w:tcPr>
            <w:tcW w:w="2190" w:type="dxa"/>
            <w:vAlign w:val="center"/>
          </w:tcPr>
          <w:p w14:paraId="1CABD334" w14:textId="77777777" w:rsidR="00E20C9D" w:rsidRPr="00CD328D" w:rsidRDefault="00E20C9D" w:rsidP="00E20C9D">
            <w:pPr>
              <w:pStyle w:val="NoSpacing"/>
              <w:rPr>
                <w:sz w:val="21"/>
                <w:szCs w:val="21"/>
              </w:rPr>
            </w:pPr>
            <w:r w:rsidRPr="00CD328D">
              <w:rPr>
                <w:rFonts w:cs="Arial"/>
                <w:b/>
                <w:sz w:val="21"/>
                <w:szCs w:val="21"/>
              </w:rPr>
              <w:t>Total Antimicrobial Days for FacWideIN</w:t>
            </w:r>
          </w:p>
        </w:tc>
        <w:tc>
          <w:tcPr>
            <w:tcW w:w="2190" w:type="dxa"/>
            <w:vAlign w:val="center"/>
          </w:tcPr>
          <w:p w14:paraId="06D236D4" w14:textId="77777777" w:rsidR="00E20C9D" w:rsidRPr="00CD328D" w:rsidRDefault="00E20C9D" w:rsidP="00E20C9D">
            <w:pPr>
              <w:pStyle w:val="NoSpacing"/>
              <w:rPr>
                <w:sz w:val="21"/>
                <w:szCs w:val="21"/>
              </w:rPr>
            </w:pPr>
            <w:r w:rsidRPr="00CD328D">
              <w:rPr>
                <w:rFonts w:cs="Arial"/>
                <w:b/>
                <w:sz w:val="21"/>
                <w:szCs w:val="21"/>
              </w:rPr>
              <w:t>Total Antimicrobial Days for aggregate of all individual inpatient locations</w:t>
            </w:r>
          </w:p>
        </w:tc>
      </w:tr>
      <w:tr w:rsidR="00E20C9D" w:rsidRPr="00CD328D" w14:paraId="5445F367" w14:textId="77777777" w:rsidTr="00E20C9D">
        <w:tc>
          <w:tcPr>
            <w:tcW w:w="1170" w:type="dxa"/>
          </w:tcPr>
          <w:p w14:paraId="6BA2AA33" w14:textId="77777777" w:rsidR="00E20C9D" w:rsidRPr="00CD328D" w:rsidRDefault="00E20C9D" w:rsidP="00E20C9D">
            <w:pPr>
              <w:pStyle w:val="NoSpacing"/>
              <w:rPr>
                <w:b/>
                <w:bCs/>
                <w:sz w:val="21"/>
                <w:szCs w:val="21"/>
              </w:rPr>
            </w:pPr>
            <w:r w:rsidRPr="00CD328D">
              <w:rPr>
                <w:b/>
                <w:bCs/>
                <w:sz w:val="21"/>
                <w:szCs w:val="21"/>
              </w:rPr>
              <w:t>Drug 1</w:t>
            </w:r>
          </w:p>
        </w:tc>
        <w:tc>
          <w:tcPr>
            <w:tcW w:w="2250" w:type="dxa"/>
          </w:tcPr>
          <w:p w14:paraId="5A6865AE" w14:textId="77777777" w:rsidR="00E20C9D" w:rsidRPr="00CD328D" w:rsidRDefault="00E20C9D" w:rsidP="00E20C9D">
            <w:pPr>
              <w:pStyle w:val="NoSpacing"/>
              <w:rPr>
                <w:sz w:val="21"/>
                <w:szCs w:val="21"/>
              </w:rPr>
            </w:pPr>
          </w:p>
        </w:tc>
        <w:tc>
          <w:tcPr>
            <w:tcW w:w="2190" w:type="dxa"/>
          </w:tcPr>
          <w:p w14:paraId="7211A77D" w14:textId="77777777" w:rsidR="00E20C9D" w:rsidRPr="00CD328D" w:rsidRDefault="00E20C9D" w:rsidP="00E20C9D">
            <w:pPr>
              <w:pStyle w:val="NoSpacing"/>
              <w:rPr>
                <w:sz w:val="21"/>
                <w:szCs w:val="21"/>
              </w:rPr>
            </w:pPr>
          </w:p>
        </w:tc>
        <w:tc>
          <w:tcPr>
            <w:tcW w:w="2190" w:type="dxa"/>
          </w:tcPr>
          <w:p w14:paraId="2A535A1A" w14:textId="77777777" w:rsidR="00E20C9D" w:rsidRPr="00CD328D" w:rsidRDefault="00E20C9D" w:rsidP="00E20C9D">
            <w:pPr>
              <w:pStyle w:val="NoSpacing"/>
              <w:rPr>
                <w:sz w:val="21"/>
                <w:szCs w:val="21"/>
              </w:rPr>
            </w:pPr>
          </w:p>
        </w:tc>
        <w:tc>
          <w:tcPr>
            <w:tcW w:w="2190" w:type="dxa"/>
          </w:tcPr>
          <w:p w14:paraId="5AB45C4E" w14:textId="77777777" w:rsidR="00E20C9D" w:rsidRPr="00CD328D" w:rsidRDefault="00E20C9D" w:rsidP="00E20C9D">
            <w:pPr>
              <w:pStyle w:val="NoSpacing"/>
              <w:rPr>
                <w:sz w:val="21"/>
                <w:szCs w:val="21"/>
              </w:rPr>
            </w:pPr>
          </w:p>
        </w:tc>
      </w:tr>
      <w:tr w:rsidR="00E20C9D" w:rsidRPr="00CD328D" w14:paraId="360DDCED" w14:textId="77777777" w:rsidTr="00E20C9D">
        <w:tc>
          <w:tcPr>
            <w:tcW w:w="1170" w:type="dxa"/>
          </w:tcPr>
          <w:p w14:paraId="1A9792CF" w14:textId="77777777" w:rsidR="00E20C9D" w:rsidRPr="00CD328D" w:rsidRDefault="00E20C9D" w:rsidP="00E20C9D">
            <w:pPr>
              <w:pStyle w:val="NoSpacing"/>
              <w:rPr>
                <w:b/>
                <w:bCs/>
                <w:sz w:val="21"/>
                <w:szCs w:val="21"/>
              </w:rPr>
            </w:pPr>
            <w:r w:rsidRPr="00CD328D">
              <w:rPr>
                <w:b/>
                <w:bCs/>
                <w:sz w:val="21"/>
                <w:szCs w:val="21"/>
              </w:rPr>
              <w:t>Drug 2</w:t>
            </w:r>
          </w:p>
        </w:tc>
        <w:tc>
          <w:tcPr>
            <w:tcW w:w="2250" w:type="dxa"/>
          </w:tcPr>
          <w:p w14:paraId="43E7C140" w14:textId="77777777" w:rsidR="00E20C9D" w:rsidRPr="00CD328D" w:rsidRDefault="00E20C9D" w:rsidP="00E20C9D">
            <w:pPr>
              <w:pStyle w:val="NoSpacing"/>
              <w:rPr>
                <w:sz w:val="21"/>
                <w:szCs w:val="21"/>
              </w:rPr>
            </w:pPr>
          </w:p>
        </w:tc>
        <w:tc>
          <w:tcPr>
            <w:tcW w:w="2190" w:type="dxa"/>
          </w:tcPr>
          <w:p w14:paraId="2CED9AFA" w14:textId="77777777" w:rsidR="00E20C9D" w:rsidRPr="00CD328D" w:rsidRDefault="00E20C9D" w:rsidP="00E20C9D">
            <w:pPr>
              <w:pStyle w:val="NoSpacing"/>
              <w:rPr>
                <w:sz w:val="21"/>
                <w:szCs w:val="21"/>
              </w:rPr>
            </w:pPr>
          </w:p>
        </w:tc>
        <w:tc>
          <w:tcPr>
            <w:tcW w:w="2190" w:type="dxa"/>
          </w:tcPr>
          <w:p w14:paraId="325F43C9" w14:textId="77777777" w:rsidR="00E20C9D" w:rsidRPr="00CD328D" w:rsidRDefault="00E20C9D" w:rsidP="00E20C9D">
            <w:pPr>
              <w:pStyle w:val="NoSpacing"/>
              <w:rPr>
                <w:sz w:val="21"/>
                <w:szCs w:val="21"/>
              </w:rPr>
            </w:pPr>
          </w:p>
        </w:tc>
        <w:tc>
          <w:tcPr>
            <w:tcW w:w="2190" w:type="dxa"/>
          </w:tcPr>
          <w:p w14:paraId="0BB83D21" w14:textId="77777777" w:rsidR="00E20C9D" w:rsidRPr="00CD328D" w:rsidRDefault="00E20C9D" w:rsidP="00E20C9D">
            <w:pPr>
              <w:pStyle w:val="NoSpacing"/>
              <w:rPr>
                <w:sz w:val="21"/>
                <w:szCs w:val="21"/>
              </w:rPr>
            </w:pPr>
          </w:p>
        </w:tc>
      </w:tr>
      <w:tr w:rsidR="00E20C9D" w:rsidRPr="00CD328D" w14:paraId="7BAB2991" w14:textId="77777777" w:rsidTr="00E20C9D">
        <w:tc>
          <w:tcPr>
            <w:tcW w:w="1170" w:type="dxa"/>
          </w:tcPr>
          <w:p w14:paraId="4CE143F1" w14:textId="77777777" w:rsidR="00E20C9D" w:rsidRPr="00CD328D" w:rsidRDefault="00E20C9D" w:rsidP="00E20C9D">
            <w:pPr>
              <w:pStyle w:val="NoSpacing"/>
              <w:rPr>
                <w:b/>
                <w:bCs/>
                <w:sz w:val="21"/>
                <w:szCs w:val="21"/>
              </w:rPr>
            </w:pPr>
            <w:r w:rsidRPr="00CD328D">
              <w:rPr>
                <w:b/>
                <w:bCs/>
                <w:sz w:val="21"/>
                <w:szCs w:val="21"/>
              </w:rPr>
              <w:t>Drug 3</w:t>
            </w:r>
          </w:p>
        </w:tc>
        <w:tc>
          <w:tcPr>
            <w:tcW w:w="2250" w:type="dxa"/>
          </w:tcPr>
          <w:p w14:paraId="78F85834" w14:textId="77777777" w:rsidR="00E20C9D" w:rsidRPr="00CD328D" w:rsidRDefault="00E20C9D" w:rsidP="00E20C9D">
            <w:pPr>
              <w:pStyle w:val="NoSpacing"/>
              <w:rPr>
                <w:sz w:val="21"/>
                <w:szCs w:val="21"/>
              </w:rPr>
            </w:pPr>
          </w:p>
        </w:tc>
        <w:tc>
          <w:tcPr>
            <w:tcW w:w="2190" w:type="dxa"/>
          </w:tcPr>
          <w:p w14:paraId="6A5CB30E" w14:textId="77777777" w:rsidR="00E20C9D" w:rsidRPr="00CD328D" w:rsidRDefault="00E20C9D" w:rsidP="00E20C9D">
            <w:pPr>
              <w:pStyle w:val="NoSpacing"/>
              <w:rPr>
                <w:sz w:val="21"/>
                <w:szCs w:val="21"/>
              </w:rPr>
            </w:pPr>
          </w:p>
        </w:tc>
        <w:tc>
          <w:tcPr>
            <w:tcW w:w="2190" w:type="dxa"/>
          </w:tcPr>
          <w:p w14:paraId="014E1D25" w14:textId="77777777" w:rsidR="00E20C9D" w:rsidRPr="00CD328D" w:rsidRDefault="00E20C9D" w:rsidP="00E20C9D">
            <w:pPr>
              <w:pStyle w:val="NoSpacing"/>
              <w:rPr>
                <w:sz w:val="21"/>
                <w:szCs w:val="21"/>
              </w:rPr>
            </w:pPr>
          </w:p>
        </w:tc>
        <w:tc>
          <w:tcPr>
            <w:tcW w:w="2190" w:type="dxa"/>
          </w:tcPr>
          <w:p w14:paraId="2CC0CDFD" w14:textId="77777777" w:rsidR="00E20C9D" w:rsidRPr="00CD328D" w:rsidRDefault="00E20C9D" w:rsidP="00E20C9D">
            <w:pPr>
              <w:pStyle w:val="NoSpacing"/>
              <w:rPr>
                <w:sz w:val="21"/>
                <w:szCs w:val="21"/>
              </w:rPr>
            </w:pPr>
          </w:p>
        </w:tc>
      </w:tr>
    </w:tbl>
    <w:p w14:paraId="70669007" w14:textId="77777777" w:rsidR="00E20C9D" w:rsidRPr="00CD328D" w:rsidRDefault="00E20C9D" w:rsidP="00E20C9D">
      <w:pPr>
        <w:pStyle w:val="NoSpacing"/>
        <w:rPr>
          <w:sz w:val="21"/>
          <w:szCs w:val="21"/>
        </w:rPr>
      </w:pPr>
    </w:p>
    <w:p w14:paraId="29B057CD" w14:textId="77777777" w:rsidR="00E20C9D" w:rsidRPr="00CD328D" w:rsidRDefault="00E20C9D" w:rsidP="00E20C9D">
      <w:pPr>
        <w:pStyle w:val="NoSpacing"/>
        <w:numPr>
          <w:ilvl w:val="0"/>
          <w:numId w:val="10"/>
        </w:numPr>
        <w:rPr>
          <w:sz w:val="21"/>
          <w:szCs w:val="21"/>
        </w:rPr>
      </w:pPr>
      <w:r w:rsidRPr="00CD328D">
        <w:rPr>
          <w:b/>
          <w:bCs/>
          <w:sz w:val="21"/>
          <w:szCs w:val="21"/>
        </w:rPr>
        <w:t>Question</w:t>
      </w:r>
      <w:r w:rsidRPr="00CD328D">
        <w:rPr>
          <w:sz w:val="21"/>
          <w:szCs w:val="21"/>
        </w:rPr>
        <w:t xml:space="preserve">: Using the data you’ve populated in the table above, are the antimicrobial days for those given drugs fewer in FacWideIN than by adding up each location? (Y/N) </w:t>
      </w:r>
    </w:p>
    <w:p w14:paraId="6D2525AB" w14:textId="77777777" w:rsidR="00E20C9D" w:rsidRPr="00CD328D" w:rsidRDefault="00E20C9D" w:rsidP="00E20C9D">
      <w:pPr>
        <w:pStyle w:val="NoSpacing"/>
        <w:rPr>
          <w:sz w:val="21"/>
          <w:szCs w:val="21"/>
        </w:rPr>
      </w:pPr>
    </w:p>
    <w:p w14:paraId="4522F4ED" w14:textId="77777777" w:rsidR="00E20C9D" w:rsidRPr="00CD328D" w:rsidRDefault="00E20C9D" w:rsidP="00E20C9D">
      <w:pPr>
        <w:pStyle w:val="NoSpacing"/>
        <w:rPr>
          <w:sz w:val="21"/>
          <w:szCs w:val="21"/>
        </w:rPr>
      </w:pPr>
    </w:p>
    <w:p w14:paraId="691AFFD6" w14:textId="77777777" w:rsidR="00E20C9D" w:rsidRPr="00CD328D" w:rsidRDefault="00E20C9D" w:rsidP="00E20C9D">
      <w:pPr>
        <w:pStyle w:val="NoSpacing"/>
        <w:ind w:firstLine="720"/>
        <w:rPr>
          <w:sz w:val="21"/>
          <w:szCs w:val="21"/>
        </w:rPr>
      </w:pPr>
      <w:r w:rsidRPr="00CD328D">
        <w:rPr>
          <w:sz w:val="21"/>
          <w:szCs w:val="21"/>
        </w:rPr>
        <w:t xml:space="preserve">If the counts for FacWideIN are </w:t>
      </w:r>
      <w:r w:rsidRPr="00CD328D">
        <w:rPr>
          <w:sz w:val="21"/>
          <w:szCs w:val="21"/>
          <w:u w:val="single"/>
        </w:rPr>
        <w:t>higher</w:t>
      </w:r>
      <w:r w:rsidRPr="00CD328D">
        <w:rPr>
          <w:sz w:val="21"/>
          <w:szCs w:val="21"/>
        </w:rPr>
        <w:t xml:space="preserve"> than the sum of the locations:</w:t>
      </w:r>
    </w:p>
    <w:p w14:paraId="4BD5A97B" w14:textId="77777777" w:rsidR="00E20C9D" w:rsidRPr="00CD328D" w:rsidRDefault="00E20C9D" w:rsidP="00E20C9D">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Is the vendor system incorrectly including non-inpatient locations (for example, ED or 24-hour observation) in the FacWideIN calculations? (Y/N)</w:t>
      </w:r>
    </w:p>
    <w:p w14:paraId="5ED3AD5F" w14:textId="77777777" w:rsidR="00E20C9D" w:rsidRPr="00CD328D" w:rsidRDefault="00E20C9D" w:rsidP="00E20C9D">
      <w:pPr>
        <w:pStyle w:val="NoSpacing"/>
        <w:rPr>
          <w:sz w:val="21"/>
          <w:szCs w:val="21"/>
        </w:rPr>
      </w:pPr>
    </w:p>
    <w:p w14:paraId="79AEFF9B" w14:textId="77777777" w:rsidR="00E20C9D" w:rsidRPr="00CD328D" w:rsidRDefault="00E20C9D" w:rsidP="00E20C9D">
      <w:pPr>
        <w:pStyle w:val="NoSpacing"/>
        <w:rPr>
          <w:sz w:val="21"/>
          <w:szCs w:val="21"/>
        </w:rPr>
      </w:pPr>
    </w:p>
    <w:p w14:paraId="4990E54E" w14:textId="77777777" w:rsidR="00E20C9D" w:rsidRPr="00CD328D" w:rsidRDefault="00E20C9D" w:rsidP="00E20C9D">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Are you missing a reportable inpatient location when doing the location-specific sums? (Y/N)</w:t>
      </w:r>
    </w:p>
    <w:p w14:paraId="56B9AEE3" w14:textId="77777777" w:rsidR="00E20C9D" w:rsidRPr="00CD328D" w:rsidRDefault="00E20C9D" w:rsidP="00E20C9D">
      <w:pPr>
        <w:pStyle w:val="NoSpacing"/>
        <w:rPr>
          <w:sz w:val="21"/>
          <w:szCs w:val="21"/>
        </w:rPr>
      </w:pPr>
    </w:p>
    <w:p w14:paraId="2C77143B" w14:textId="77777777" w:rsidR="00E20C9D" w:rsidRPr="00CD328D" w:rsidRDefault="00E20C9D" w:rsidP="00E20C9D">
      <w:pPr>
        <w:pStyle w:val="NoSpacing"/>
        <w:rPr>
          <w:sz w:val="21"/>
          <w:szCs w:val="21"/>
        </w:rPr>
      </w:pPr>
    </w:p>
    <w:p w14:paraId="6F4FE622" w14:textId="77777777" w:rsidR="00E20C9D" w:rsidRPr="00CD328D" w:rsidRDefault="00E20C9D" w:rsidP="00E20C9D">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For units the vendor system is not reporting individually due to lack of accurate capture of either antimicrobial days or days present, is the vendor system also correctly excluding them from the FacWideIN calculations? (Y/N)</w:t>
      </w:r>
    </w:p>
    <w:p w14:paraId="673CAA39" w14:textId="77777777" w:rsidR="00E20C9D" w:rsidRPr="00CD328D" w:rsidRDefault="00E20C9D" w:rsidP="00E20C9D">
      <w:pPr>
        <w:pStyle w:val="NoSpacing"/>
        <w:rPr>
          <w:sz w:val="21"/>
          <w:szCs w:val="21"/>
        </w:rPr>
      </w:pPr>
    </w:p>
    <w:p w14:paraId="1D5B40EC" w14:textId="77777777" w:rsidR="00E20C9D" w:rsidRPr="00CD328D" w:rsidRDefault="00E20C9D" w:rsidP="00E20C9D">
      <w:pPr>
        <w:pStyle w:val="NoSpacing"/>
        <w:rPr>
          <w:sz w:val="21"/>
          <w:szCs w:val="21"/>
        </w:rPr>
      </w:pPr>
    </w:p>
    <w:p w14:paraId="50A4615C" w14:textId="77777777" w:rsidR="00E3622B" w:rsidRDefault="00E3622B" w:rsidP="00432044">
      <w:pPr>
        <w:pStyle w:val="NoSpacing"/>
        <w:rPr>
          <w:sz w:val="21"/>
          <w:szCs w:val="21"/>
        </w:rPr>
      </w:pPr>
    </w:p>
    <w:p w14:paraId="50D66D02" w14:textId="427654EA" w:rsidR="00E20C9D" w:rsidRPr="00CD328D" w:rsidRDefault="00E20C9D" w:rsidP="00E20C9D">
      <w:pPr>
        <w:pStyle w:val="NoSpacing"/>
        <w:ind w:firstLine="720"/>
        <w:rPr>
          <w:sz w:val="21"/>
          <w:szCs w:val="21"/>
        </w:rPr>
      </w:pPr>
      <w:r w:rsidRPr="00CD328D">
        <w:rPr>
          <w:sz w:val="21"/>
          <w:szCs w:val="21"/>
        </w:rPr>
        <w:t xml:space="preserve">If the counts for FacWideIN are considerably </w:t>
      </w:r>
      <w:r w:rsidRPr="00CD328D">
        <w:rPr>
          <w:sz w:val="21"/>
          <w:szCs w:val="21"/>
          <w:u w:val="single"/>
        </w:rPr>
        <w:t>lower</w:t>
      </w:r>
      <w:r w:rsidRPr="00CD328D">
        <w:rPr>
          <w:sz w:val="21"/>
          <w:szCs w:val="21"/>
        </w:rPr>
        <w:t xml:space="preserve"> than the sum of the locations:</w:t>
      </w:r>
    </w:p>
    <w:p w14:paraId="4D20C64F" w14:textId="77777777" w:rsidR="00E20C9D" w:rsidRPr="00CD328D" w:rsidRDefault="00E20C9D" w:rsidP="00E20C9D">
      <w:pPr>
        <w:pStyle w:val="NoSpacing"/>
        <w:numPr>
          <w:ilvl w:val="0"/>
          <w:numId w:val="11"/>
        </w:numPr>
        <w:ind w:left="1170" w:hanging="450"/>
        <w:rPr>
          <w:sz w:val="21"/>
          <w:szCs w:val="21"/>
        </w:rPr>
      </w:pPr>
      <w:r w:rsidRPr="00CD328D">
        <w:rPr>
          <w:b/>
          <w:bCs/>
          <w:sz w:val="21"/>
          <w:szCs w:val="21"/>
        </w:rPr>
        <w:t>Question:</w:t>
      </w:r>
      <w:r w:rsidRPr="00CD328D">
        <w:rPr>
          <w:sz w:val="21"/>
          <w:szCs w:val="21"/>
        </w:rPr>
        <w:t xml:space="preserve"> Is the vendor system’s FacWideIN logic including all inpatient locations (including Operating Rooms, Interventional Radiology if applicable)? (Y/N)</w:t>
      </w:r>
    </w:p>
    <w:p w14:paraId="7D64A3B4" w14:textId="77777777" w:rsidR="00E20C9D" w:rsidRPr="00CD328D" w:rsidRDefault="00E20C9D" w:rsidP="00E20C9D">
      <w:pPr>
        <w:pStyle w:val="NoSpacing"/>
        <w:rPr>
          <w:sz w:val="21"/>
          <w:szCs w:val="21"/>
        </w:rPr>
      </w:pPr>
    </w:p>
    <w:p w14:paraId="18E93CE2" w14:textId="77777777" w:rsidR="00E20C9D" w:rsidRPr="002D2D40" w:rsidRDefault="00E20C9D" w:rsidP="00E20C9D">
      <w:pPr>
        <w:pStyle w:val="NoSpacing"/>
        <w:rPr>
          <w:sz w:val="21"/>
          <w:szCs w:val="21"/>
        </w:rPr>
      </w:pPr>
    </w:p>
    <w:p w14:paraId="46D173C2" w14:textId="7D4FA545" w:rsidR="00E20C9D" w:rsidRDefault="00E20C9D" w:rsidP="00E20C9D">
      <w:pPr>
        <w:pStyle w:val="Heading4"/>
        <w:ind w:firstLine="720"/>
      </w:pPr>
      <w:r>
        <w:lastRenderedPageBreak/>
        <w:t>Aggregating</w:t>
      </w:r>
      <w:r w:rsidR="00E51D33">
        <w:t xml:space="preserve"> FacWideIN</w:t>
      </w:r>
      <w:r>
        <w:t xml:space="preserve"> days present</w:t>
      </w:r>
    </w:p>
    <w:p w14:paraId="6C52A228" w14:textId="10E07E31" w:rsidR="00E20C9D" w:rsidRPr="00CD328D" w:rsidRDefault="00E20C9D" w:rsidP="00E20C9D">
      <w:pPr>
        <w:pStyle w:val="NoSpacing"/>
        <w:ind w:left="720"/>
        <w:rPr>
          <w:sz w:val="21"/>
          <w:szCs w:val="21"/>
        </w:rPr>
      </w:pPr>
      <w:r w:rsidRPr="00CD328D">
        <w:rPr>
          <w:sz w:val="21"/>
          <w:szCs w:val="21"/>
        </w:rPr>
        <w:t>To confirm the appropriate aggregation of FacWideIN days present, please list the value of days present for FacWideIN and the value of days present for the aggregate of all locations in the table below</w:t>
      </w:r>
      <w:r w:rsidR="003C4124" w:rsidRPr="00CD328D">
        <w:rPr>
          <w:sz w:val="21"/>
          <w:szCs w:val="21"/>
        </w:rPr>
        <w:t>. Use the Antimicrobial Use “</w:t>
      </w:r>
      <w:hyperlink r:id="rId33" w:history="1">
        <w:r w:rsidR="003C4124" w:rsidRPr="00CD328D">
          <w:rPr>
            <w:rStyle w:val="Hyperlink"/>
            <w:sz w:val="21"/>
            <w:szCs w:val="21"/>
          </w:rPr>
          <w:t>Line Listing – All Submitted AU data by Location</w:t>
        </w:r>
      </w:hyperlink>
      <w:r w:rsidR="003C4124" w:rsidRPr="00CD328D">
        <w:rPr>
          <w:sz w:val="21"/>
          <w:szCs w:val="21"/>
        </w:rPr>
        <w:t>”</w:t>
      </w:r>
      <w:r w:rsidR="00C12B0A" w:rsidRPr="00CD328D">
        <w:rPr>
          <w:sz w:val="21"/>
          <w:szCs w:val="21"/>
        </w:rPr>
        <w:t xml:space="preserve"> report. R</w:t>
      </w:r>
      <w:r w:rsidR="003C4124" w:rsidRPr="00CD328D">
        <w:rPr>
          <w:sz w:val="21"/>
          <w:szCs w:val="21"/>
        </w:rPr>
        <w:t xml:space="preserve">emove the location filter and add a filter for </w:t>
      </w:r>
      <w:r w:rsidR="00C12B0A" w:rsidRPr="00CD328D">
        <w:rPr>
          <w:sz w:val="21"/>
          <w:szCs w:val="21"/>
        </w:rPr>
        <w:t>a single drug</w:t>
      </w:r>
      <w:r w:rsidR="003C4124" w:rsidRPr="00CD328D">
        <w:rPr>
          <w:sz w:val="21"/>
          <w:szCs w:val="21"/>
        </w:rPr>
        <w:t xml:space="preserve"> for the most efficient data review.</w:t>
      </w:r>
    </w:p>
    <w:p w14:paraId="3923B9B7" w14:textId="77777777" w:rsidR="00E20C9D" w:rsidRPr="00CD328D" w:rsidRDefault="00E20C9D" w:rsidP="00E20C9D">
      <w:pPr>
        <w:pStyle w:val="NoSpacing"/>
        <w:rPr>
          <w:sz w:val="21"/>
          <w:szCs w:val="21"/>
        </w:rPr>
      </w:pPr>
    </w:p>
    <w:tbl>
      <w:tblPr>
        <w:tblStyle w:val="TableGrid"/>
        <w:tblW w:w="0" w:type="auto"/>
        <w:tblInd w:w="355" w:type="dxa"/>
        <w:tblLook w:val="04A0" w:firstRow="1" w:lastRow="0" w:firstColumn="1" w:lastColumn="0" w:noHBand="0" w:noVBand="1"/>
      </w:tblPr>
      <w:tblGrid>
        <w:gridCol w:w="2790"/>
        <w:gridCol w:w="3600"/>
        <w:gridCol w:w="3600"/>
      </w:tblGrid>
      <w:tr w:rsidR="00E20C9D" w:rsidRPr="00CD328D" w14:paraId="137BE9A0" w14:textId="77777777" w:rsidTr="00E20C9D">
        <w:tc>
          <w:tcPr>
            <w:tcW w:w="2790" w:type="dxa"/>
            <w:vAlign w:val="center"/>
          </w:tcPr>
          <w:p w14:paraId="2A986B96" w14:textId="77777777" w:rsidR="00E20C9D" w:rsidRPr="00CD328D" w:rsidRDefault="00E20C9D" w:rsidP="00E20C9D">
            <w:pPr>
              <w:pStyle w:val="NoSpacing"/>
              <w:rPr>
                <w:sz w:val="21"/>
                <w:szCs w:val="21"/>
              </w:rPr>
            </w:pPr>
            <w:r w:rsidRPr="00CD328D">
              <w:rPr>
                <w:rFonts w:cs="Arial"/>
                <w:b/>
                <w:sz w:val="21"/>
                <w:szCs w:val="21"/>
              </w:rPr>
              <w:t>Month/Year</w:t>
            </w:r>
          </w:p>
        </w:tc>
        <w:tc>
          <w:tcPr>
            <w:tcW w:w="3600" w:type="dxa"/>
            <w:vAlign w:val="center"/>
          </w:tcPr>
          <w:p w14:paraId="3464259F" w14:textId="77777777" w:rsidR="00E20C9D" w:rsidRPr="00CD328D" w:rsidRDefault="00E20C9D" w:rsidP="00E20C9D">
            <w:pPr>
              <w:pStyle w:val="NoSpacing"/>
              <w:rPr>
                <w:sz w:val="21"/>
                <w:szCs w:val="21"/>
              </w:rPr>
            </w:pPr>
            <w:r w:rsidRPr="00CD328D">
              <w:rPr>
                <w:rFonts w:cs="Arial"/>
                <w:b/>
                <w:sz w:val="21"/>
                <w:szCs w:val="21"/>
              </w:rPr>
              <w:t>Total Days Present for FacWideIN</w:t>
            </w:r>
          </w:p>
        </w:tc>
        <w:tc>
          <w:tcPr>
            <w:tcW w:w="3600" w:type="dxa"/>
            <w:vAlign w:val="center"/>
          </w:tcPr>
          <w:p w14:paraId="01040D39" w14:textId="77777777" w:rsidR="00E20C9D" w:rsidRPr="00CD328D" w:rsidRDefault="00E20C9D" w:rsidP="00E20C9D">
            <w:pPr>
              <w:pStyle w:val="NoSpacing"/>
              <w:rPr>
                <w:sz w:val="21"/>
                <w:szCs w:val="21"/>
              </w:rPr>
            </w:pPr>
            <w:r w:rsidRPr="00CD328D">
              <w:rPr>
                <w:rFonts w:cs="Arial"/>
                <w:b/>
                <w:sz w:val="21"/>
                <w:szCs w:val="21"/>
              </w:rPr>
              <w:t>Total Days Present for aggregate of all individual inpatient locations</w:t>
            </w:r>
          </w:p>
        </w:tc>
      </w:tr>
      <w:tr w:rsidR="00E20C9D" w:rsidRPr="00CD328D" w14:paraId="3DDD3D7F" w14:textId="77777777" w:rsidTr="00E20C9D">
        <w:tc>
          <w:tcPr>
            <w:tcW w:w="2790" w:type="dxa"/>
          </w:tcPr>
          <w:p w14:paraId="13BE4F29" w14:textId="77777777" w:rsidR="00E20C9D" w:rsidRPr="00CD328D" w:rsidRDefault="00E20C9D" w:rsidP="00E20C9D">
            <w:pPr>
              <w:pStyle w:val="NoSpacing"/>
              <w:rPr>
                <w:sz w:val="21"/>
                <w:szCs w:val="21"/>
              </w:rPr>
            </w:pPr>
          </w:p>
        </w:tc>
        <w:tc>
          <w:tcPr>
            <w:tcW w:w="3600" w:type="dxa"/>
          </w:tcPr>
          <w:p w14:paraId="06EF8112" w14:textId="77777777" w:rsidR="00E20C9D" w:rsidRPr="00CD328D" w:rsidRDefault="00E20C9D" w:rsidP="00E20C9D">
            <w:pPr>
              <w:pStyle w:val="NoSpacing"/>
              <w:rPr>
                <w:sz w:val="21"/>
                <w:szCs w:val="21"/>
              </w:rPr>
            </w:pPr>
          </w:p>
        </w:tc>
        <w:tc>
          <w:tcPr>
            <w:tcW w:w="3600" w:type="dxa"/>
          </w:tcPr>
          <w:p w14:paraId="2D374EF8" w14:textId="77777777" w:rsidR="00E20C9D" w:rsidRPr="00CD328D" w:rsidRDefault="00E20C9D" w:rsidP="00E20C9D">
            <w:pPr>
              <w:pStyle w:val="NoSpacing"/>
              <w:rPr>
                <w:sz w:val="21"/>
                <w:szCs w:val="21"/>
              </w:rPr>
            </w:pPr>
          </w:p>
        </w:tc>
      </w:tr>
    </w:tbl>
    <w:p w14:paraId="6B8D1893" w14:textId="77777777" w:rsidR="00E20C9D" w:rsidRPr="00CD328D" w:rsidRDefault="00E20C9D" w:rsidP="00E20C9D">
      <w:pPr>
        <w:pStyle w:val="NoSpacing"/>
        <w:rPr>
          <w:sz w:val="21"/>
          <w:szCs w:val="21"/>
        </w:rPr>
      </w:pPr>
    </w:p>
    <w:p w14:paraId="1EF4A30F" w14:textId="77777777" w:rsidR="00E20C9D" w:rsidRPr="00CD328D" w:rsidRDefault="00E20C9D" w:rsidP="00E20C9D">
      <w:pPr>
        <w:pStyle w:val="NoSpacing"/>
        <w:ind w:left="720"/>
        <w:rPr>
          <w:sz w:val="21"/>
          <w:szCs w:val="21"/>
        </w:rPr>
      </w:pPr>
      <w:r w:rsidRPr="00CD328D">
        <w:rPr>
          <w:b/>
          <w:bCs/>
          <w:sz w:val="21"/>
          <w:szCs w:val="21"/>
        </w:rPr>
        <w:t>Note:</w:t>
      </w:r>
      <w:r w:rsidRPr="00CD328D">
        <w:rPr>
          <w:sz w:val="21"/>
          <w:szCs w:val="21"/>
        </w:rPr>
        <w:t xml:space="preserve"> Due to admissions, discharges and transfers the FacWideIN days present count should always be less than the sum of the location-specific days present count.</w:t>
      </w:r>
    </w:p>
    <w:p w14:paraId="2A204068" w14:textId="77777777" w:rsidR="00E20C9D" w:rsidRPr="00CD328D" w:rsidRDefault="00E20C9D" w:rsidP="00E20C9D">
      <w:pPr>
        <w:pStyle w:val="NoSpacing"/>
        <w:ind w:left="720"/>
        <w:rPr>
          <w:sz w:val="21"/>
          <w:szCs w:val="21"/>
        </w:rPr>
      </w:pPr>
    </w:p>
    <w:p w14:paraId="325393F9" w14:textId="4C430DC2" w:rsidR="00E20C9D" w:rsidRPr="00CD328D" w:rsidRDefault="00E20C9D" w:rsidP="00E20C9D">
      <w:pPr>
        <w:pStyle w:val="NoSpacing"/>
        <w:numPr>
          <w:ilvl w:val="0"/>
          <w:numId w:val="10"/>
        </w:numPr>
        <w:rPr>
          <w:sz w:val="21"/>
          <w:szCs w:val="21"/>
        </w:rPr>
      </w:pPr>
      <w:r w:rsidRPr="00CD328D">
        <w:rPr>
          <w:b/>
          <w:bCs/>
          <w:sz w:val="21"/>
          <w:szCs w:val="21"/>
        </w:rPr>
        <w:t>Question:</w:t>
      </w:r>
      <w:r w:rsidRPr="00CD328D">
        <w:rPr>
          <w:sz w:val="21"/>
          <w:szCs w:val="21"/>
        </w:rPr>
        <w:t xml:space="preserve"> Using the data you’ve populated in the table above, are days present for FacWideIN fewer than</w:t>
      </w:r>
      <w:r w:rsidR="00FF228A">
        <w:rPr>
          <w:sz w:val="21"/>
          <w:szCs w:val="21"/>
        </w:rPr>
        <w:t xml:space="preserve"> the sum of days present by location?</w:t>
      </w:r>
      <w:r w:rsidRPr="00CD328D">
        <w:rPr>
          <w:sz w:val="21"/>
          <w:szCs w:val="21"/>
        </w:rPr>
        <w:t xml:space="preserve"> (Y/N) </w:t>
      </w:r>
    </w:p>
    <w:p w14:paraId="4B608828" w14:textId="77777777" w:rsidR="00E20C9D" w:rsidRPr="00CD328D" w:rsidRDefault="00E20C9D" w:rsidP="00E20C9D">
      <w:pPr>
        <w:pStyle w:val="NoSpacing"/>
        <w:rPr>
          <w:sz w:val="21"/>
          <w:szCs w:val="21"/>
        </w:rPr>
      </w:pPr>
    </w:p>
    <w:p w14:paraId="5154320F" w14:textId="77777777" w:rsidR="00E20C9D" w:rsidRPr="00CD328D" w:rsidRDefault="00E20C9D" w:rsidP="00E20C9D">
      <w:pPr>
        <w:pStyle w:val="NoSpacing"/>
        <w:rPr>
          <w:sz w:val="21"/>
          <w:szCs w:val="21"/>
        </w:rPr>
      </w:pPr>
    </w:p>
    <w:p w14:paraId="261146E3" w14:textId="77777777" w:rsidR="00E20C9D" w:rsidRPr="00CD328D" w:rsidRDefault="00E20C9D" w:rsidP="00E20C9D">
      <w:pPr>
        <w:pStyle w:val="NoSpacing"/>
        <w:ind w:firstLine="720"/>
        <w:rPr>
          <w:sz w:val="21"/>
          <w:szCs w:val="21"/>
        </w:rPr>
      </w:pPr>
      <w:r w:rsidRPr="00CD328D">
        <w:rPr>
          <w:sz w:val="21"/>
          <w:szCs w:val="21"/>
        </w:rPr>
        <w:t xml:space="preserve">If the counts for FacWideIN are </w:t>
      </w:r>
      <w:r w:rsidRPr="00CD328D">
        <w:rPr>
          <w:sz w:val="21"/>
          <w:szCs w:val="21"/>
          <w:u w:val="single"/>
        </w:rPr>
        <w:t>higher</w:t>
      </w:r>
      <w:r w:rsidRPr="00CD328D">
        <w:rPr>
          <w:sz w:val="21"/>
          <w:szCs w:val="21"/>
        </w:rPr>
        <w:t xml:space="preserve"> than the sum of the locations:</w:t>
      </w:r>
    </w:p>
    <w:p w14:paraId="7FD93958" w14:textId="77777777" w:rsidR="00E20C9D" w:rsidRPr="00CD328D" w:rsidRDefault="00E20C9D" w:rsidP="00E20C9D">
      <w:pPr>
        <w:pStyle w:val="NoSpacing"/>
        <w:numPr>
          <w:ilvl w:val="0"/>
          <w:numId w:val="12"/>
        </w:numPr>
        <w:ind w:left="1170" w:hanging="450"/>
        <w:rPr>
          <w:sz w:val="21"/>
          <w:szCs w:val="21"/>
        </w:rPr>
      </w:pPr>
      <w:r w:rsidRPr="00CD328D">
        <w:rPr>
          <w:b/>
          <w:bCs/>
          <w:sz w:val="21"/>
          <w:szCs w:val="21"/>
        </w:rPr>
        <w:t>Question:</w:t>
      </w:r>
      <w:r w:rsidRPr="00CD328D">
        <w:rPr>
          <w:sz w:val="21"/>
          <w:szCs w:val="21"/>
        </w:rPr>
        <w:t xml:space="preserve"> Is the vendor system incorrectly including non-inpatient locations (for example, ED or 24-hour observation) in the FacWideIN calculations? (Y/N)</w:t>
      </w:r>
    </w:p>
    <w:p w14:paraId="4B79DEBA" w14:textId="77777777" w:rsidR="00E20C9D" w:rsidRPr="00CD328D" w:rsidRDefault="00E20C9D" w:rsidP="00E20C9D">
      <w:pPr>
        <w:pStyle w:val="NoSpacing"/>
        <w:rPr>
          <w:sz w:val="21"/>
          <w:szCs w:val="21"/>
        </w:rPr>
      </w:pPr>
    </w:p>
    <w:p w14:paraId="1D6265DB" w14:textId="77777777" w:rsidR="00E20C9D" w:rsidRPr="00CD328D" w:rsidRDefault="00E20C9D" w:rsidP="00E20C9D">
      <w:pPr>
        <w:pStyle w:val="NoSpacing"/>
        <w:rPr>
          <w:sz w:val="21"/>
          <w:szCs w:val="21"/>
        </w:rPr>
      </w:pPr>
    </w:p>
    <w:p w14:paraId="62EA45B1" w14:textId="77777777" w:rsidR="00E20C9D" w:rsidRPr="00CD328D" w:rsidRDefault="00E20C9D" w:rsidP="00E20C9D">
      <w:pPr>
        <w:pStyle w:val="NoSpacing"/>
        <w:numPr>
          <w:ilvl w:val="0"/>
          <w:numId w:val="12"/>
        </w:numPr>
        <w:ind w:left="1170" w:hanging="450"/>
        <w:rPr>
          <w:sz w:val="21"/>
          <w:szCs w:val="21"/>
        </w:rPr>
      </w:pPr>
      <w:r w:rsidRPr="00CD328D">
        <w:rPr>
          <w:b/>
          <w:bCs/>
          <w:sz w:val="21"/>
          <w:szCs w:val="21"/>
        </w:rPr>
        <w:t>Question:</w:t>
      </w:r>
      <w:r w:rsidRPr="00CD328D">
        <w:rPr>
          <w:sz w:val="21"/>
          <w:szCs w:val="21"/>
        </w:rPr>
        <w:t xml:space="preserve"> Are you missing a reportable inpatient location when doing the location-specific sums? (Y/N)</w:t>
      </w:r>
    </w:p>
    <w:p w14:paraId="50808DE9" w14:textId="77777777" w:rsidR="00E20C9D" w:rsidRPr="00CD328D" w:rsidRDefault="00E20C9D" w:rsidP="00E20C9D">
      <w:pPr>
        <w:pStyle w:val="NoSpacing"/>
        <w:rPr>
          <w:sz w:val="21"/>
          <w:szCs w:val="21"/>
        </w:rPr>
      </w:pPr>
    </w:p>
    <w:p w14:paraId="6ED11216" w14:textId="77777777" w:rsidR="00E20C9D" w:rsidRPr="00CD328D" w:rsidRDefault="00E20C9D" w:rsidP="00E20C9D">
      <w:pPr>
        <w:pStyle w:val="NoSpacing"/>
        <w:rPr>
          <w:sz w:val="21"/>
          <w:szCs w:val="21"/>
        </w:rPr>
      </w:pPr>
    </w:p>
    <w:p w14:paraId="65AFCC27" w14:textId="77777777" w:rsidR="00E20C9D" w:rsidRPr="00CD328D" w:rsidRDefault="00E20C9D" w:rsidP="00E20C9D">
      <w:pPr>
        <w:pStyle w:val="NoSpacing"/>
        <w:numPr>
          <w:ilvl w:val="0"/>
          <w:numId w:val="12"/>
        </w:numPr>
        <w:ind w:left="1170" w:hanging="450"/>
        <w:rPr>
          <w:sz w:val="21"/>
          <w:szCs w:val="21"/>
        </w:rPr>
      </w:pPr>
      <w:r w:rsidRPr="00CD328D">
        <w:rPr>
          <w:b/>
          <w:bCs/>
          <w:sz w:val="21"/>
          <w:szCs w:val="21"/>
        </w:rPr>
        <w:t>Question:</w:t>
      </w:r>
      <w:r w:rsidRPr="00CD328D">
        <w:rPr>
          <w:sz w:val="21"/>
          <w:szCs w:val="21"/>
        </w:rPr>
        <w:t xml:space="preserve"> For units the vendor system is not reporting individually due to lack of accurate capture of either antimicrobial days or days present, is the vendor system also correctly excluding them from the FacWideIN calculations? (Y/N)</w:t>
      </w:r>
    </w:p>
    <w:p w14:paraId="2437DF3E" w14:textId="77777777" w:rsidR="00E20C9D" w:rsidRPr="00CD328D" w:rsidRDefault="00E20C9D" w:rsidP="00E20C9D">
      <w:pPr>
        <w:pStyle w:val="NoSpacing"/>
        <w:rPr>
          <w:sz w:val="21"/>
          <w:szCs w:val="21"/>
        </w:rPr>
      </w:pPr>
    </w:p>
    <w:p w14:paraId="0E7C16A8" w14:textId="77777777" w:rsidR="00E20C9D" w:rsidRPr="00CD328D" w:rsidRDefault="00E20C9D" w:rsidP="00E20C9D">
      <w:pPr>
        <w:pStyle w:val="NoSpacing"/>
        <w:rPr>
          <w:sz w:val="21"/>
          <w:szCs w:val="21"/>
        </w:rPr>
      </w:pPr>
    </w:p>
    <w:p w14:paraId="497DE94C" w14:textId="77777777" w:rsidR="00E20C9D" w:rsidRPr="00CD328D" w:rsidRDefault="00E20C9D" w:rsidP="00E20C9D">
      <w:pPr>
        <w:pStyle w:val="NoSpacing"/>
        <w:ind w:firstLine="720"/>
        <w:rPr>
          <w:sz w:val="21"/>
          <w:szCs w:val="21"/>
        </w:rPr>
      </w:pPr>
      <w:r w:rsidRPr="00CD328D">
        <w:rPr>
          <w:sz w:val="21"/>
          <w:szCs w:val="21"/>
        </w:rPr>
        <w:t xml:space="preserve">If the counts for FacWideIN are considerably </w:t>
      </w:r>
      <w:r w:rsidRPr="00CD328D">
        <w:rPr>
          <w:sz w:val="21"/>
          <w:szCs w:val="21"/>
          <w:u w:val="single"/>
        </w:rPr>
        <w:t>lower</w:t>
      </w:r>
      <w:r w:rsidRPr="00CD328D">
        <w:rPr>
          <w:sz w:val="21"/>
          <w:szCs w:val="21"/>
        </w:rPr>
        <w:t xml:space="preserve"> than the sum of the locations:</w:t>
      </w:r>
    </w:p>
    <w:p w14:paraId="7E6BE046" w14:textId="77777777" w:rsidR="00E20C9D" w:rsidRPr="00CD328D" w:rsidRDefault="00E20C9D" w:rsidP="00E20C9D">
      <w:pPr>
        <w:pStyle w:val="NoSpacing"/>
        <w:numPr>
          <w:ilvl w:val="0"/>
          <w:numId w:val="12"/>
        </w:numPr>
        <w:ind w:left="1170" w:hanging="450"/>
        <w:rPr>
          <w:sz w:val="21"/>
          <w:szCs w:val="21"/>
        </w:rPr>
      </w:pPr>
      <w:r w:rsidRPr="00CD328D">
        <w:rPr>
          <w:b/>
          <w:bCs/>
          <w:sz w:val="21"/>
          <w:szCs w:val="21"/>
        </w:rPr>
        <w:t>Question:</w:t>
      </w:r>
      <w:r w:rsidRPr="00CD328D">
        <w:rPr>
          <w:sz w:val="21"/>
          <w:szCs w:val="21"/>
        </w:rPr>
        <w:t xml:space="preserve"> Is the vendor system’s FacWideIN logic including all inpatient locations (including Operating Rooms, Interventional Radiology if applicable)? (Y/N)</w:t>
      </w:r>
    </w:p>
    <w:p w14:paraId="0B87CB34" w14:textId="77777777" w:rsidR="00E20C9D" w:rsidRDefault="00E20C9D" w:rsidP="00E20C9D">
      <w:pPr>
        <w:pStyle w:val="NoSpacing"/>
        <w:rPr>
          <w:sz w:val="21"/>
          <w:szCs w:val="21"/>
        </w:rPr>
      </w:pPr>
    </w:p>
    <w:p w14:paraId="738B4169" w14:textId="77777777" w:rsidR="00E20C9D" w:rsidRPr="002D2D40" w:rsidRDefault="00E20C9D" w:rsidP="00E20C9D">
      <w:pPr>
        <w:pStyle w:val="NoSpacing"/>
        <w:rPr>
          <w:sz w:val="21"/>
          <w:szCs w:val="21"/>
        </w:rPr>
      </w:pPr>
    </w:p>
    <w:p w14:paraId="405949D6" w14:textId="77777777" w:rsidR="00E20C9D" w:rsidRDefault="00E20C9D" w:rsidP="00E20C9D">
      <w:pPr>
        <w:pStyle w:val="NoSpacing"/>
      </w:pPr>
    </w:p>
    <w:p w14:paraId="3C7277C6" w14:textId="2221041E" w:rsidR="00E20C9D" w:rsidRDefault="00E20C9D" w:rsidP="00B468D7">
      <w:pPr>
        <w:pStyle w:val="Heading3"/>
        <w:numPr>
          <w:ilvl w:val="0"/>
          <w:numId w:val="16"/>
        </w:numPr>
      </w:pPr>
      <w:bookmarkStart w:id="18" w:name="_Compare_AU_and_1"/>
      <w:bookmarkEnd w:id="18"/>
      <w:r>
        <w:t>Compar</w:t>
      </w:r>
      <w:r w:rsidR="002F2B22">
        <w:t>e</w:t>
      </w:r>
      <w:r>
        <w:t xml:space="preserve"> AU and HAI denominator</w:t>
      </w:r>
      <w:r w:rsidR="002F2B22">
        <w:t>s</w:t>
      </w:r>
    </w:p>
    <w:p w14:paraId="0E69C964" w14:textId="77777777" w:rsidR="00E20C9D" w:rsidRDefault="00E20C9D" w:rsidP="00E20C9D">
      <w:pPr>
        <w:pStyle w:val="NoSpacing"/>
        <w:ind w:left="720"/>
        <w:rPr>
          <w:sz w:val="21"/>
          <w:szCs w:val="21"/>
        </w:rPr>
      </w:pPr>
      <w:r w:rsidRPr="00CF08D1">
        <w:rPr>
          <w:b/>
          <w:bCs/>
          <w:sz w:val="21"/>
          <w:szCs w:val="21"/>
        </w:rPr>
        <w:t>Note:</w:t>
      </w:r>
      <w:r w:rsidRPr="002D2D40">
        <w:rPr>
          <w:sz w:val="21"/>
          <w:szCs w:val="21"/>
        </w:rPr>
        <w:t xml:space="preserve"> The NHSN Team expects some variability due to the different data sources used for the various reporting modules of NHSN.</w:t>
      </w:r>
    </w:p>
    <w:p w14:paraId="0B5FA85F" w14:textId="77777777" w:rsidR="00E20C9D" w:rsidRPr="002D2D40" w:rsidRDefault="00E20C9D" w:rsidP="00E20C9D">
      <w:pPr>
        <w:pStyle w:val="NoSpacing"/>
        <w:ind w:left="720"/>
        <w:rPr>
          <w:sz w:val="21"/>
          <w:szCs w:val="21"/>
        </w:rPr>
      </w:pPr>
    </w:p>
    <w:p w14:paraId="6FCAE9F9" w14:textId="77777777" w:rsidR="00E20C9D" w:rsidRPr="002D2D40" w:rsidRDefault="00E20C9D" w:rsidP="00E20C9D">
      <w:pPr>
        <w:pStyle w:val="NoSpacing"/>
        <w:ind w:left="720"/>
        <w:rPr>
          <w:sz w:val="21"/>
          <w:szCs w:val="21"/>
        </w:rPr>
      </w:pPr>
      <w:r w:rsidRPr="00CF08D1">
        <w:rPr>
          <w:b/>
          <w:bCs/>
          <w:sz w:val="21"/>
          <w:szCs w:val="21"/>
        </w:rPr>
        <w:t>Methodology:</w:t>
      </w:r>
      <w:r>
        <w:rPr>
          <w:sz w:val="21"/>
          <w:szCs w:val="21"/>
        </w:rPr>
        <w:t xml:space="preserve"> P</w:t>
      </w:r>
      <w:r w:rsidRPr="002D2D40">
        <w:rPr>
          <w:sz w:val="21"/>
          <w:szCs w:val="21"/>
        </w:rPr>
        <w:t>lease list the days present and patient days reported for the locations in the table below and calculate the percent difference. We recommend checking at least two ICU locations, two ward locations, and one NICU location (if applicable).</w:t>
      </w:r>
      <w:r w:rsidRPr="00667B89">
        <w:rPr>
          <w:sz w:val="21"/>
          <w:szCs w:val="21"/>
        </w:rPr>
        <w:t xml:space="preserve"> </w:t>
      </w:r>
      <w:r w:rsidRPr="002D2D40">
        <w:rPr>
          <w:sz w:val="21"/>
          <w:szCs w:val="21"/>
        </w:rPr>
        <w:t>You can find the HAI patient days on the NHSN Device-associated summary records used for CLABSI/CAUTI reporting.</w:t>
      </w:r>
    </w:p>
    <w:p w14:paraId="567EEEC4" w14:textId="77777777" w:rsidR="00E20C9D" w:rsidRPr="002D2D40" w:rsidRDefault="00E20C9D" w:rsidP="00E20C9D">
      <w:pPr>
        <w:pStyle w:val="NoSpacing"/>
        <w:rPr>
          <w:rFonts w:cs="Arial"/>
          <w:sz w:val="21"/>
          <w:szCs w:val="21"/>
        </w:rPr>
      </w:pPr>
    </w:p>
    <w:p w14:paraId="5E9AB20A" w14:textId="77777777" w:rsidR="00E20C9D" w:rsidRPr="002D2D40" w:rsidRDefault="00E20C9D" w:rsidP="00E20C9D">
      <w:pPr>
        <w:pStyle w:val="NoSpacing"/>
        <w:ind w:left="720"/>
        <w:rPr>
          <w:rFonts w:cs="Arial"/>
          <w:sz w:val="21"/>
          <w:szCs w:val="21"/>
        </w:rPr>
      </w:pPr>
      <w:r w:rsidRPr="002D2D40">
        <w:rPr>
          <w:rFonts w:cs="Arial"/>
          <w:b/>
          <w:sz w:val="21"/>
          <w:szCs w:val="21"/>
        </w:rPr>
        <w:t>Note:</w:t>
      </w:r>
      <w:r w:rsidRPr="002D2D40">
        <w:rPr>
          <w:rFonts w:cs="Arial"/>
          <w:sz w:val="21"/>
          <w:szCs w:val="21"/>
        </w:rPr>
        <w:t xml:space="preserve"> For facilities participating in CMS reporting, all adult, pediatric, and neonatal ICU locations along with adult and pediatric medical, surgical, and medical/surgical ward locations will have reported location-specific HAI patient days. You may need to ask your IP for help in finding these numbers within NHSN.</w:t>
      </w:r>
    </w:p>
    <w:p w14:paraId="6FAD057E" w14:textId="77777777" w:rsidR="00E20C9D" w:rsidRPr="002D2D40" w:rsidRDefault="00E20C9D" w:rsidP="00E20C9D">
      <w:pPr>
        <w:pStyle w:val="NoSpacing"/>
        <w:rPr>
          <w:rFonts w:cs="Arial"/>
          <w:sz w:val="21"/>
          <w:szCs w:val="21"/>
        </w:rPr>
      </w:pPr>
    </w:p>
    <w:p w14:paraId="5BB8A723" w14:textId="5A5F853D" w:rsidR="00E20C9D" w:rsidRPr="002D2D40" w:rsidRDefault="00E20C9D" w:rsidP="00E20C9D">
      <w:pPr>
        <w:pStyle w:val="NoSpacing"/>
        <w:ind w:left="720"/>
        <w:rPr>
          <w:sz w:val="21"/>
          <w:szCs w:val="21"/>
        </w:rPr>
      </w:pPr>
      <w:r w:rsidRPr="002D2D40">
        <w:rPr>
          <w:sz w:val="21"/>
          <w:szCs w:val="21"/>
        </w:rPr>
        <w:t>Based on internal NHSN analyses of days present and patient days, on average the AU days present are 24% higher than the HAI patient days for the same month/location. You can find the detailed breakdown by location type in</w:t>
      </w:r>
      <w:r w:rsidR="00697C02">
        <w:rPr>
          <w:sz w:val="21"/>
          <w:szCs w:val="21"/>
        </w:rPr>
        <w:t xml:space="preserve"> the Days Present section of</w:t>
      </w:r>
      <w:r w:rsidRPr="002D2D40">
        <w:rPr>
          <w:sz w:val="21"/>
          <w:szCs w:val="21"/>
        </w:rPr>
        <w:t xml:space="preserve"> the </w:t>
      </w:r>
      <w:hyperlink r:id="rId34" w:history="1">
        <w:r w:rsidRPr="003E5897">
          <w:rPr>
            <w:rStyle w:val="Hyperlink"/>
            <w:sz w:val="21"/>
            <w:szCs w:val="21"/>
          </w:rPr>
          <w:t>AU Option FAQs</w:t>
        </w:r>
      </w:hyperlink>
      <w:r w:rsidRPr="002D2D40">
        <w:rPr>
          <w:sz w:val="21"/>
          <w:szCs w:val="21"/>
        </w:rPr>
        <w:t xml:space="preserve">.   </w:t>
      </w:r>
    </w:p>
    <w:p w14:paraId="55F0C700" w14:textId="77777777" w:rsidR="00E20C9D" w:rsidRPr="002D2D40" w:rsidRDefault="00E20C9D" w:rsidP="00E20C9D">
      <w:pPr>
        <w:pStyle w:val="NoSpacing"/>
        <w:rPr>
          <w:sz w:val="21"/>
          <w:szCs w:val="21"/>
        </w:rPr>
      </w:pPr>
    </w:p>
    <w:p w14:paraId="110F2A50" w14:textId="77777777" w:rsidR="00E20C9D" w:rsidRPr="002D2D40" w:rsidRDefault="00E20C9D" w:rsidP="00E20C9D">
      <w:pPr>
        <w:pStyle w:val="NoSpacing"/>
        <w:ind w:firstLine="720"/>
        <w:rPr>
          <w:sz w:val="21"/>
          <w:szCs w:val="21"/>
        </w:rPr>
      </w:pPr>
      <w:r w:rsidRPr="00A318FB">
        <w:rPr>
          <w:rFonts w:asciiTheme="majorHAnsi" w:hAnsiTheme="majorHAnsi"/>
          <w:sz w:val="21"/>
          <w:szCs w:val="21"/>
        </w:rPr>
        <w:lastRenderedPageBreak/>
        <w:t>Percent Difference:</w:t>
      </w:r>
      <w:r w:rsidRPr="002D2D40">
        <w:rPr>
          <w:sz w:val="21"/>
          <w:szCs w:val="21"/>
        </w:rPr>
        <w:t xml:space="preserve">  </w:t>
      </w:r>
      <m:oMath>
        <m:f>
          <m:fPr>
            <m:ctrlPr>
              <w:rPr>
                <w:rFonts w:ascii="Cambria Math" w:hAnsi="Cambria Math"/>
                <w:i/>
                <w:sz w:val="28"/>
                <w:szCs w:val="28"/>
              </w:rPr>
            </m:ctrlPr>
          </m:fPr>
          <m:num>
            <m:r>
              <w:rPr>
                <w:rFonts w:ascii="Cambria Math" w:hAnsi="Cambria Math"/>
                <w:sz w:val="28"/>
                <w:szCs w:val="28"/>
              </w:rPr>
              <m:t>(AU Days Present-HAI Patient Days)</m:t>
            </m:r>
          </m:num>
          <m:den>
            <m:r>
              <w:rPr>
                <w:rFonts w:ascii="Cambria Math" w:hAnsi="Cambria Math"/>
                <w:sz w:val="28"/>
                <w:szCs w:val="28"/>
              </w:rPr>
              <m:t>AU Days Present</m:t>
            </m:r>
          </m:den>
        </m:f>
        <m:r>
          <w:rPr>
            <w:rFonts w:ascii="Cambria Math" w:hAnsi="Cambria Math"/>
            <w:sz w:val="28"/>
            <w:szCs w:val="28"/>
          </w:rPr>
          <m:t xml:space="preserve"> ×100</m:t>
        </m:r>
      </m:oMath>
    </w:p>
    <w:p w14:paraId="0DD6F457" w14:textId="77777777" w:rsidR="00E20C9D" w:rsidRDefault="00E20C9D" w:rsidP="00E20C9D">
      <w:pPr>
        <w:pStyle w:val="Heading4"/>
      </w:pPr>
    </w:p>
    <w:p w14:paraId="0A6866B4" w14:textId="77777777" w:rsidR="00E20C9D" w:rsidRDefault="00E20C9D" w:rsidP="00E20C9D">
      <w:pPr>
        <w:pStyle w:val="Heading4"/>
        <w:ind w:firstLine="720"/>
      </w:pPr>
      <w:r>
        <w:t>Location specific days present and patient days</w:t>
      </w:r>
    </w:p>
    <w:tbl>
      <w:tblPr>
        <w:tblStyle w:val="TableGrid"/>
        <w:tblW w:w="0" w:type="auto"/>
        <w:tblInd w:w="355" w:type="dxa"/>
        <w:tblLook w:val="04A0" w:firstRow="1" w:lastRow="0" w:firstColumn="1" w:lastColumn="0" w:noHBand="0" w:noVBand="1"/>
      </w:tblPr>
      <w:tblGrid>
        <w:gridCol w:w="1620"/>
        <w:gridCol w:w="2250"/>
        <w:gridCol w:w="2040"/>
        <w:gridCol w:w="2040"/>
        <w:gridCol w:w="2040"/>
      </w:tblGrid>
      <w:tr w:rsidR="00E20C9D" w14:paraId="39E2DEE2" w14:textId="77777777" w:rsidTr="00E20C9D">
        <w:tc>
          <w:tcPr>
            <w:tcW w:w="1620" w:type="dxa"/>
            <w:vAlign w:val="center"/>
          </w:tcPr>
          <w:p w14:paraId="6238CA99" w14:textId="77777777" w:rsidR="00E20C9D" w:rsidRPr="00A318FB" w:rsidRDefault="00E20C9D" w:rsidP="00E20C9D">
            <w:r w:rsidRPr="00A318FB">
              <w:rPr>
                <w:rFonts w:cs="Arial"/>
                <w:b/>
              </w:rPr>
              <w:t>Month/Year</w:t>
            </w:r>
          </w:p>
        </w:tc>
        <w:tc>
          <w:tcPr>
            <w:tcW w:w="2250" w:type="dxa"/>
            <w:vAlign w:val="center"/>
          </w:tcPr>
          <w:p w14:paraId="37C14D2A" w14:textId="77777777" w:rsidR="00E20C9D" w:rsidRPr="00A318FB" w:rsidRDefault="00E20C9D" w:rsidP="00E20C9D">
            <w:r w:rsidRPr="00A318FB">
              <w:rPr>
                <w:rFonts w:cs="Arial"/>
                <w:b/>
              </w:rPr>
              <w:t>Location Name</w:t>
            </w:r>
          </w:p>
        </w:tc>
        <w:tc>
          <w:tcPr>
            <w:tcW w:w="2040" w:type="dxa"/>
            <w:vAlign w:val="center"/>
          </w:tcPr>
          <w:p w14:paraId="0DBA0839" w14:textId="77777777" w:rsidR="00E20C9D" w:rsidRPr="00A318FB" w:rsidRDefault="00E20C9D" w:rsidP="00E20C9D">
            <w:r w:rsidRPr="00A318FB">
              <w:rPr>
                <w:rFonts w:cs="Arial"/>
                <w:b/>
              </w:rPr>
              <w:t>Total AU Days Present</w:t>
            </w:r>
          </w:p>
        </w:tc>
        <w:tc>
          <w:tcPr>
            <w:tcW w:w="2040" w:type="dxa"/>
            <w:vAlign w:val="center"/>
          </w:tcPr>
          <w:p w14:paraId="34DA1C85" w14:textId="77777777" w:rsidR="00E20C9D" w:rsidRPr="00A318FB" w:rsidRDefault="00E20C9D" w:rsidP="00E20C9D">
            <w:r w:rsidRPr="00A318FB">
              <w:rPr>
                <w:rFonts w:cs="Arial"/>
                <w:b/>
              </w:rPr>
              <w:t>Total HAI Patient Days</w:t>
            </w:r>
          </w:p>
        </w:tc>
        <w:tc>
          <w:tcPr>
            <w:tcW w:w="2040" w:type="dxa"/>
          </w:tcPr>
          <w:p w14:paraId="2E84DB6E" w14:textId="77777777" w:rsidR="00E20C9D" w:rsidRPr="00A318FB" w:rsidRDefault="00E20C9D" w:rsidP="00E20C9D">
            <w:pPr>
              <w:rPr>
                <w:rFonts w:cs="Arial"/>
                <w:b/>
              </w:rPr>
            </w:pPr>
            <w:r>
              <w:rPr>
                <w:rFonts w:cs="Arial"/>
                <w:b/>
              </w:rPr>
              <w:t>Percent Difference</w:t>
            </w:r>
          </w:p>
        </w:tc>
      </w:tr>
      <w:tr w:rsidR="00E20C9D" w14:paraId="5A420DF4" w14:textId="77777777" w:rsidTr="00E20C9D">
        <w:tc>
          <w:tcPr>
            <w:tcW w:w="1620" w:type="dxa"/>
          </w:tcPr>
          <w:p w14:paraId="4F8D485C" w14:textId="77777777" w:rsidR="00E20C9D" w:rsidRDefault="00E20C9D" w:rsidP="00E20C9D"/>
        </w:tc>
        <w:tc>
          <w:tcPr>
            <w:tcW w:w="2250" w:type="dxa"/>
          </w:tcPr>
          <w:p w14:paraId="7A1DDD77" w14:textId="77777777" w:rsidR="00E20C9D" w:rsidRDefault="00E20C9D" w:rsidP="00E20C9D"/>
        </w:tc>
        <w:tc>
          <w:tcPr>
            <w:tcW w:w="2040" w:type="dxa"/>
          </w:tcPr>
          <w:p w14:paraId="66C61B95" w14:textId="77777777" w:rsidR="00E20C9D" w:rsidRDefault="00E20C9D" w:rsidP="00E20C9D"/>
        </w:tc>
        <w:tc>
          <w:tcPr>
            <w:tcW w:w="2040" w:type="dxa"/>
          </w:tcPr>
          <w:p w14:paraId="591D1EFC" w14:textId="77777777" w:rsidR="00E20C9D" w:rsidRDefault="00E20C9D" w:rsidP="00E20C9D"/>
        </w:tc>
        <w:tc>
          <w:tcPr>
            <w:tcW w:w="2040" w:type="dxa"/>
          </w:tcPr>
          <w:p w14:paraId="4D3A8D0D" w14:textId="77777777" w:rsidR="00E20C9D" w:rsidRDefault="00E20C9D" w:rsidP="00E20C9D"/>
        </w:tc>
      </w:tr>
      <w:tr w:rsidR="00E20C9D" w14:paraId="1DB1847B" w14:textId="77777777" w:rsidTr="00E20C9D">
        <w:tc>
          <w:tcPr>
            <w:tcW w:w="1620" w:type="dxa"/>
          </w:tcPr>
          <w:p w14:paraId="331E2880" w14:textId="77777777" w:rsidR="00E20C9D" w:rsidRDefault="00E20C9D" w:rsidP="00E20C9D"/>
        </w:tc>
        <w:tc>
          <w:tcPr>
            <w:tcW w:w="2250" w:type="dxa"/>
          </w:tcPr>
          <w:p w14:paraId="27048EB1" w14:textId="77777777" w:rsidR="00E20C9D" w:rsidRDefault="00E20C9D" w:rsidP="00E20C9D"/>
        </w:tc>
        <w:tc>
          <w:tcPr>
            <w:tcW w:w="2040" w:type="dxa"/>
          </w:tcPr>
          <w:p w14:paraId="74E2EE1F" w14:textId="77777777" w:rsidR="00E20C9D" w:rsidRDefault="00E20C9D" w:rsidP="00E20C9D"/>
        </w:tc>
        <w:tc>
          <w:tcPr>
            <w:tcW w:w="2040" w:type="dxa"/>
          </w:tcPr>
          <w:p w14:paraId="40D60297" w14:textId="77777777" w:rsidR="00E20C9D" w:rsidRDefault="00E20C9D" w:rsidP="00E20C9D"/>
        </w:tc>
        <w:tc>
          <w:tcPr>
            <w:tcW w:w="2040" w:type="dxa"/>
          </w:tcPr>
          <w:p w14:paraId="6D2E20E9" w14:textId="77777777" w:rsidR="00E20C9D" w:rsidRDefault="00E20C9D" w:rsidP="00E20C9D"/>
        </w:tc>
      </w:tr>
      <w:tr w:rsidR="00E20C9D" w14:paraId="02E61867" w14:textId="77777777" w:rsidTr="00E20C9D">
        <w:tc>
          <w:tcPr>
            <w:tcW w:w="1620" w:type="dxa"/>
          </w:tcPr>
          <w:p w14:paraId="3E3423A6" w14:textId="77777777" w:rsidR="00E20C9D" w:rsidRDefault="00E20C9D" w:rsidP="00E20C9D"/>
        </w:tc>
        <w:tc>
          <w:tcPr>
            <w:tcW w:w="2250" w:type="dxa"/>
          </w:tcPr>
          <w:p w14:paraId="71485D49" w14:textId="77777777" w:rsidR="00E20C9D" w:rsidRDefault="00E20C9D" w:rsidP="00E20C9D"/>
        </w:tc>
        <w:tc>
          <w:tcPr>
            <w:tcW w:w="2040" w:type="dxa"/>
          </w:tcPr>
          <w:p w14:paraId="002FAC64" w14:textId="77777777" w:rsidR="00E20C9D" w:rsidRDefault="00E20C9D" w:rsidP="00E20C9D"/>
        </w:tc>
        <w:tc>
          <w:tcPr>
            <w:tcW w:w="2040" w:type="dxa"/>
          </w:tcPr>
          <w:p w14:paraId="3FF516F9" w14:textId="77777777" w:rsidR="00E20C9D" w:rsidRDefault="00E20C9D" w:rsidP="00E20C9D"/>
        </w:tc>
        <w:tc>
          <w:tcPr>
            <w:tcW w:w="2040" w:type="dxa"/>
          </w:tcPr>
          <w:p w14:paraId="387F3376" w14:textId="77777777" w:rsidR="00E20C9D" w:rsidRDefault="00E20C9D" w:rsidP="00E20C9D"/>
        </w:tc>
      </w:tr>
      <w:tr w:rsidR="00E20C9D" w14:paraId="0001E118" w14:textId="77777777" w:rsidTr="00E20C9D">
        <w:tc>
          <w:tcPr>
            <w:tcW w:w="1620" w:type="dxa"/>
          </w:tcPr>
          <w:p w14:paraId="5042D56C" w14:textId="77777777" w:rsidR="00E20C9D" w:rsidRDefault="00E20C9D" w:rsidP="00E20C9D"/>
        </w:tc>
        <w:tc>
          <w:tcPr>
            <w:tcW w:w="2250" w:type="dxa"/>
          </w:tcPr>
          <w:p w14:paraId="2F027E4F" w14:textId="77777777" w:rsidR="00E20C9D" w:rsidRDefault="00E20C9D" w:rsidP="00E20C9D"/>
        </w:tc>
        <w:tc>
          <w:tcPr>
            <w:tcW w:w="2040" w:type="dxa"/>
          </w:tcPr>
          <w:p w14:paraId="0DB460AA" w14:textId="77777777" w:rsidR="00E20C9D" w:rsidRDefault="00E20C9D" w:rsidP="00E20C9D"/>
        </w:tc>
        <w:tc>
          <w:tcPr>
            <w:tcW w:w="2040" w:type="dxa"/>
          </w:tcPr>
          <w:p w14:paraId="5BED0391" w14:textId="77777777" w:rsidR="00E20C9D" w:rsidRDefault="00E20C9D" w:rsidP="00E20C9D"/>
        </w:tc>
        <w:tc>
          <w:tcPr>
            <w:tcW w:w="2040" w:type="dxa"/>
          </w:tcPr>
          <w:p w14:paraId="2EAEB927" w14:textId="77777777" w:rsidR="00E20C9D" w:rsidRDefault="00E20C9D" w:rsidP="00E20C9D"/>
        </w:tc>
      </w:tr>
      <w:tr w:rsidR="00E20C9D" w14:paraId="3A7CE0C0" w14:textId="77777777" w:rsidTr="00E20C9D">
        <w:tc>
          <w:tcPr>
            <w:tcW w:w="1620" w:type="dxa"/>
          </w:tcPr>
          <w:p w14:paraId="6324F39D" w14:textId="77777777" w:rsidR="00E20C9D" w:rsidRDefault="00E20C9D" w:rsidP="00E20C9D"/>
        </w:tc>
        <w:tc>
          <w:tcPr>
            <w:tcW w:w="2250" w:type="dxa"/>
          </w:tcPr>
          <w:p w14:paraId="1BA2BA16" w14:textId="77777777" w:rsidR="00E20C9D" w:rsidRDefault="00E20C9D" w:rsidP="00E20C9D"/>
        </w:tc>
        <w:tc>
          <w:tcPr>
            <w:tcW w:w="2040" w:type="dxa"/>
          </w:tcPr>
          <w:p w14:paraId="4CC99C7B" w14:textId="77777777" w:rsidR="00E20C9D" w:rsidRDefault="00E20C9D" w:rsidP="00E20C9D"/>
        </w:tc>
        <w:tc>
          <w:tcPr>
            <w:tcW w:w="2040" w:type="dxa"/>
          </w:tcPr>
          <w:p w14:paraId="6D850741" w14:textId="77777777" w:rsidR="00E20C9D" w:rsidRDefault="00E20C9D" w:rsidP="00E20C9D"/>
        </w:tc>
        <w:tc>
          <w:tcPr>
            <w:tcW w:w="2040" w:type="dxa"/>
          </w:tcPr>
          <w:p w14:paraId="23742A06" w14:textId="77777777" w:rsidR="00E20C9D" w:rsidRDefault="00E20C9D" w:rsidP="00E20C9D"/>
        </w:tc>
      </w:tr>
    </w:tbl>
    <w:p w14:paraId="63C704E8" w14:textId="77777777" w:rsidR="00E20C9D" w:rsidRDefault="00E20C9D" w:rsidP="00E20C9D">
      <w:pPr>
        <w:pStyle w:val="NoSpacing"/>
      </w:pPr>
    </w:p>
    <w:p w14:paraId="65142C58" w14:textId="77777777" w:rsidR="00E20C9D" w:rsidRDefault="00E20C9D" w:rsidP="00E20C9D">
      <w:pPr>
        <w:pStyle w:val="NoSpacing"/>
        <w:numPr>
          <w:ilvl w:val="0"/>
          <w:numId w:val="13"/>
        </w:numPr>
        <w:rPr>
          <w:sz w:val="21"/>
          <w:szCs w:val="21"/>
        </w:rPr>
      </w:pPr>
      <w:r w:rsidRPr="00CF08D1">
        <w:rPr>
          <w:b/>
          <w:bCs/>
          <w:sz w:val="21"/>
          <w:szCs w:val="21"/>
        </w:rPr>
        <w:t>Question:</w:t>
      </w:r>
      <w:r w:rsidRPr="00A318FB">
        <w:rPr>
          <w:sz w:val="21"/>
          <w:szCs w:val="21"/>
        </w:rPr>
        <w:t xml:space="preserve"> Are AU days present greater than HAI patient days for each location listed above? (Y/N)  </w:t>
      </w:r>
    </w:p>
    <w:p w14:paraId="51F613AB" w14:textId="77777777" w:rsidR="00E20C9D" w:rsidRDefault="00E20C9D" w:rsidP="00E20C9D">
      <w:pPr>
        <w:pStyle w:val="NoSpacing"/>
        <w:rPr>
          <w:sz w:val="21"/>
          <w:szCs w:val="21"/>
        </w:rPr>
      </w:pPr>
    </w:p>
    <w:p w14:paraId="685D6FF2" w14:textId="77777777" w:rsidR="00E20C9D" w:rsidRPr="00A318FB" w:rsidRDefault="00E20C9D" w:rsidP="00E20C9D">
      <w:pPr>
        <w:pStyle w:val="NoSpacing"/>
        <w:rPr>
          <w:sz w:val="21"/>
          <w:szCs w:val="21"/>
        </w:rPr>
      </w:pPr>
    </w:p>
    <w:p w14:paraId="639C752C" w14:textId="77777777" w:rsidR="00E20C9D" w:rsidRDefault="00E20C9D" w:rsidP="00E20C9D">
      <w:pPr>
        <w:pStyle w:val="NoSpacing"/>
        <w:numPr>
          <w:ilvl w:val="0"/>
          <w:numId w:val="14"/>
        </w:numPr>
        <w:ind w:hanging="360"/>
        <w:rPr>
          <w:sz w:val="21"/>
          <w:szCs w:val="21"/>
        </w:rPr>
      </w:pPr>
      <w:r w:rsidRPr="00A318FB">
        <w:rPr>
          <w:sz w:val="21"/>
          <w:szCs w:val="21"/>
        </w:rPr>
        <w:t xml:space="preserve">If the percent difference is </w:t>
      </w:r>
      <w:r w:rsidRPr="00CF08D1">
        <w:rPr>
          <w:sz w:val="21"/>
          <w:szCs w:val="21"/>
          <w:u w:val="single"/>
        </w:rPr>
        <w:t>considerably higher than the average</w:t>
      </w:r>
      <w:r w:rsidRPr="00A318FB">
        <w:rPr>
          <w:sz w:val="21"/>
          <w:szCs w:val="21"/>
        </w:rPr>
        <w:t xml:space="preserve"> for that location type, consider discussing the denominator counts with your vendor. Check for double counting (for AU reporting, the vendor system should count a patient only once per location per day).</w:t>
      </w:r>
    </w:p>
    <w:p w14:paraId="04480629" w14:textId="77777777" w:rsidR="00E20C9D" w:rsidRPr="00A318FB" w:rsidRDefault="00E20C9D" w:rsidP="00E20C9D">
      <w:pPr>
        <w:pStyle w:val="NoSpacing"/>
        <w:rPr>
          <w:sz w:val="21"/>
          <w:szCs w:val="21"/>
        </w:rPr>
      </w:pPr>
    </w:p>
    <w:p w14:paraId="5A20F8F5" w14:textId="0E43A3C5" w:rsidR="00E20C9D" w:rsidRDefault="00E20C9D" w:rsidP="00E20C9D">
      <w:pPr>
        <w:pStyle w:val="NoSpacing"/>
        <w:numPr>
          <w:ilvl w:val="0"/>
          <w:numId w:val="14"/>
        </w:numPr>
        <w:ind w:hanging="360"/>
        <w:rPr>
          <w:sz w:val="21"/>
          <w:szCs w:val="21"/>
        </w:rPr>
      </w:pPr>
      <w:r w:rsidRPr="00A318FB">
        <w:rPr>
          <w:sz w:val="21"/>
          <w:szCs w:val="21"/>
        </w:rPr>
        <w:t xml:space="preserve">If AU Days Present are </w:t>
      </w:r>
      <w:r w:rsidRPr="00CF08D1">
        <w:rPr>
          <w:sz w:val="21"/>
          <w:szCs w:val="21"/>
          <w:u w:val="single"/>
        </w:rPr>
        <w:t>equal</w:t>
      </w:r>
      <w:r w:rsidRPr="00A318FB">
        <w:rPr>
          <w:sz w:val="21"/>
          <w:szCs w:val="21"/>
        </w:rPr>
        <w:t xml:space="preserve"> to the HAI patient days, check with your vendor as this should never happen.</w:t>
      </w:r>
      <w:r w:rsidR="00301CC9">
        <w:rPr>
          <w:sz w:val="21"/>
          <w:szCs w:val="21"/>
        </w:rPr>
        <w:t xml:space="preserve"> </w:t>
      </w:r>
      <w:r w:rsidR="00301CC9" w:rsidRPr="00A318FB">
        <w:rPr>
          <w:sz w:val="21"/>
          <w:szCs w:val="21"/>
        </w:rPr>
        <w:t>Make sure the vendor system is including all patients in the location counts regardless of patient status (for example, observation, emergency).</w:t>
      </w:r>
    </w:p>
    <w:p w14:paraId="53EE6613" w14:textId="77777777" w:rsidR="00432044" w:rsidRPr="00A318FB" w:rsidRDefault="00432044" w:rsidP="00432044">
      <w:pPr>
        <w:pStyle w:val="NoSpacing"/>
        <w:rPr>
          <w:sz w:val="21"/>
          <w:szCs w:val="21"/>
        </w:rPr>
      </w:pPr>
    </w:p>
    <w:p w14:paraId="3DFBB355" w14:textId="77777777" w:rsidR="00E20C9D" w:rsidRDefault="00E20C9D" w:rsidP="00E20C9D">
      <w:pPr>
        <w:pStyle w:val="NoSpacing"/>
        <w:numPr>
          <w:ilvl w:val="0"/>
          <w:numId w:val="14"/>
        </w:numPr>
        <w:ind w:hanging="360"/>
        <w:rPr>
          <w:sz w:val="21"/>
          <w:szCs w:val="21"/>
        </w:rPr>
      </w:pPr>
      <w:r w:rsidRPr="00A318FB">
        <w:rPr>
          <w:sz w:val="21"/>
          <w:szCs w:val="21"/>
        </w:rPr>
        <w:t xml:space="preserve">If AU Days present are </w:t>
      </w:r>
      <w:r w:rsidRPr="00CF08D1">
        <w:rPr>
          <w:sz w:val="21"/>
          <w:szCs w:val="21"/>
          <w:u w:val="single"/>
        </w:rPr>
        <w:t>lower</w:t>
      </w:r>
      <w:r w:rsidRPr="00A318FB">
        <w:rPr>
          <w:sz w:val="21"/>
          <w:szCs w:val="21"/>
        </w:rPr>
        <w:t xml:space="preserve"> than the HAI patient days, check with your vendor as this should never happen. Make sure the vendor system is including all patients in the location counts regardless of patient status (for example, observation, emergency).</w:t>
      </w:r>
    </w:p>
    <w:p w14:paraId="7C1BA608" w14:textId="77777777" w:rsidR="00E20C9D" w:rsidRDefault="00E20C9D" w:rsidP="00E20C9D">
      <w:pPr>
        <w:pStyle w:val="NoSpacing"/>
        <w:rPr>
          <w:sz w:val="21"/>
          <w:szCs w:val="21"/>
        </w:rPr>
      </w:pPr>
    </w:p>
    <w:p w14:paraId="4BBD7F29" w14:textId="77777777" w:rsidR="00E20C9D" w:rsidRDefault="00E20C9D" w:rsidP="00E20C9D">
      <w:pPr>
        <w:pStyle w:val="Heading4"/>
        <w:ind w:firstLine="720"/>
      </w:pPr>
      <w:r>
        <w:t>FacWideIN days present and patient days</w:t>
      </w:r>
    </w:p>
    <w:p w14:paraId="3FC42448" w14:textId="77777777" w:rsidR="00E20C9D" w:rsidRPr="00CD328D" w:rsidRDefault="00E20C9D" w:rsidP="00E20C9D">
      <w:pPr>
        <w:pStyle w:val="NoSpacing"/>
        <w:ind w:left="720"/>
        <w:rPr>
          <w:sz w:val="21"/>
          <w:szCs w:val="21"/>
        </w:rPr>
      </w:pPr>
      <w:r w:rsidRPr="00CD328D">
        <w:rPr>
          <w:b/>
          <w:bCs/>
          <w:sz w:val="21"/>
          <w:szCs w:val="21"/>
        </w:rPr>
        <w:t>Methodology:</w:t>
      </w:r>
      <w:r w:rsidRPr="00CD328D">
        <w:rPr>
          <w:sz w:val="21"/>
          <w:szCs w:val="21"/>
        </w:rPr>
        <w:t xml:space="preserve"> Please list the AU days present and admissions and HAI MDRO/CDI total facility patient days and admissions reported for FacWideIN in the table below. You can find the HAI FacWideIN total facility patient days and admissions on the NHSN MDRO/CDI Module summary records used for LabID reporting.</w:t>
      </w:r>
      <w:r w:rsidRPr="00CD328D">
        <w:rPr>
          <w:b/>
          <w:bCs/>
          <w:sz w:val="21"/>
          <w:szCs w:val="21"/>
        </w:rPr>
        <w:t xml:space="preserve"> </w:t>
      </w:r>
      <w:r w:rsidRPr="00CD328D">
        <w:rPr>
          <w:sz w:val="21"/>
          <w:szCs w:val="21"/>
        </w:rPr>
        <w:t>You may need to ask your IP for help in finding these numbers.</w:t>
      </w:r>
    </w:p>
    <w:p w14:paraId="62B0B692" w14:textId="77777777" w:rsidR="00E20C9D" w:rsidRPr="00CD328D" w:rsidRDefault="00E20C9D" w:rsidP="00E20C9D">
      <w:pPr>
        <w:pStyle w:val="NoSpacing"/>
        <w:ind w:left="720"/>
        <w:rPr>
          <w:sz w:val="21"/>
          <w:szCs w:val="21"/>
        </w:rPr>
      </w:pPr>
    </w:p>
    <w:p w14:paraId="3058E5C4" w14:textId="5B83B0FB" w:rsidR="00E20C9D" w:rsidRPr="00CD328D" w:rsidRDefault="00E20C9D" w:rsidP="00E20C9D">
      <w:pPr>
        <w:pStyle w:val="NoSpacing"/>
        <w:ind w:left="720"/>
        <w:rPr>
          <w:sz w:val="21"/>
          <w:szCs w:val="21"/>
        </w:rPr>
      </w:pPr>
      <w:r w:rsidRPr="00CD328D">
        <w:rPr>
          <w:sz w:val="21"/>
          <w:szCs w:val="21"/>
        </w:rPr>
        <w:t xml:space="preserve">Based on internal NHSN analyses of days present and patient days, on average the FacWideIN AU days present are 24% higher than the FacWideIN HAI patient days for the same month. </w:t>
      </w:r>
      <w:r w:rsidR="00301CC9">
        <w:rPr>
          <w:sz w:val="21"/>
          <w:szCs w:val="21"/>
        </w:rPr>
        <w:t>Due to the slightly different definitions and data sources</w:t>
      </w:r>
      <w:r w:rsidR="00301CC9" w:rsidRPr="00906934">
        <w:rPr>
          <w:sz w:val="21"/>
          <w:szCs w:val="21"/>
        </w:rPr>
        <w:t xml:space="preserve"> </w:t>
      </w:r>
      <w:r w:rsidR="00301CC9" w:rsidRPr="00CD328D">
        <w:rPr>
          <w:sz w:val="21"/>
          <w:szCs w:val="21"/>
        </w:rPr>
        <w:t>used to collect these counts</w:t>
      </w:r>
      <w:r w:rsidR="00301CC9">
        <w:rPr>
          <w:sz w:val="21"/>
          <w:szCs w:val="21"/>
        </w:rPr>
        <w:t>, t</w:t>
      </w:r>
      <w:r w:rsidR="00301CC9" w:rsidRPr="00CD328D">
        <w:rPr>
          <w:sz w:val="21"/>
          <w:szCs w:val="21"/>
        </w:rPr>
        <w:t>he NHSN Team expects some small variation</w:t>
      </w:r>
      <w:r w:rsidR="00301CC9">
        <w:rPr>
          <w:sz w:val="21"/>
          <w:szCs w:val="21"/>
        </w:rPr>
        <w:t xml:space="preserve"> in admissions counts</w:t>
      </w:r>
      <w:r w:rsidR="00301CC9" w:rsidRPr="00CD328D">
        <w:rPr>
          <w:sz w:val="21"/>
          <w:szCs w:val="21"/>
        </w:rPr>
        <w:t>.</w:t>
      </w:r>
    </w:p>
    <w:p w14:paraId="5D736B2A" w14:textId="77777777" w:rsidR="00E20C9D" w:rsidRPr="00CD328D" w:rsidRDefault="00E20C9D" w:rsidP="00E20C9D">
      <w:pPr>
        <w:pStyle w:val="NoSpacing"/>
        <w:ind w:left="720"/>
        <w:rPr>
          <w:sz w:val="21"/>
          <w:szCs w:val="21"/>
        </w:rPr>
      </w:pPr>
    </w:p>
    <w:tbl>
      <w:tblPr>
        <w:tblStyle w:val="TableGrid"/>
        <w:tblW w:w="0" w:type="auto"/>
        <w:tblInd w:w="355" w:type="dxa"/>
        <w:tblLook w:val="04A0" w:firstRow="1" w:lastRow="0" w:firstColumn="1" w:lastColumn="0" w:noHBand="0" w:noVBand="1"/>
      </w:tblPr>
      <w:tblGrid>
        <w:gridCol w:w="1440"/>
        <w:gridCol w:w="1620"/>
        <w:gridCol w:w="1620"/>
        <w:gridCol w:w="1620"/>
        <w:gridCol w:w="360"/>
        <w:gridCol w:w="1665"/>
        <w:gridCol w:w="1665"/>
      </w:tblGrid>
      <w:tr w:rsidR="00E20C9D" w:rsidRPr="00CD328D" w14:paraId="3BF6D4B7" w14:textId="77777777" w:rsidTr="00E20C9D">
        <w:tc>
          <w:tcPr>
            <w:tcW w:w="1440" w:type="dxa"/>
            <w:vAlign w:val="center"/>
          </w:tcPr>
          <w:p w14:paraId="2FE317BB" w14:textId="77777777" w:rsidR="00E20C9D" w:rsidRPr="00CD328D" w:rsidRDefault="00E20C9D" w:rsidP="004012C8">
            <w:pPr>
              <w:pStyle w:val="NoSpacing"/>
              <w:rPr>
                <w:sz w:val="21"/>
                <w:szCs w:val="21"/>
              </w:rPr>
            </w:pPr>
            <w:r w:rsidRPr="00CD328D">
              <w:rPr>
                <w:rFonts w:cs="Arial"/>
                <w:b/>
                <w:sz w:val="21"/>
                <w:szCs w:val="21"/>
              </w:rPr>
              <w:t>Month/Year</w:t>
            </w:r>
          </w:p>
        </w:tc>
        <w:tc>
          <w:tcPr>
            <w:tcW w:w="1620" w:type="dxa"/>
            <w:vAlign w:val="center"/>
          </w:tcPr>
          <w:p w14:paraId="361222DF" w14:textId="77777777" w:rsidR="00E20C9D" w:rsidRPr="00CD328D" w:rsidRDefault="00E20C9D" w:rsidP="004012C8">
            <w:pPr>
              <w:pStyle w:val="NoSpacing"/>
              <w:rPr>
                <w:sz w:val="21"/>
                <w:szCs w:val="21"/>
              </w:rPr>
            </w:pPr>
            <w:r w:rsidRPr="00CD328D">
              <w:rPr>
                <w:rFonts w:cs="Arial"/>
                <w:b/>
                <w:sz w:val="21"/>
                <w:szCs w:val="21"/>
              </w:rPr>
              <w:t>Total AU Days Present for FacWideIN</w:t>
            </w:r>
          </w:p>
        </w:tc>
        <w:tc>
          <w:tcPr>
            <w:tcW w:w="1620" w:type="dxa"/>
            <w:vAlign w:val="center"/>
          </w:tcPr>
          <w:p w14:paraId="70D098DB" w14:textId="77777777" w:rsidR="00E20C9D" w:rsidRPr="00CD328D" w:rsidRDefault="00E20C9D" w:rsidP="004012C8">
            <w:pPr>
              <w:pStyle w:val="NoSpacing"/>
              <w:rPr>
                <w:b/>
                <w:sz w:val="21"/>
                <w:szCs w:val="21"/>
              </w:rPr>
            </w:pPr>
            <w:r w:rsidRPr="00CD328D">
              <w:rPr>
                <w:rFonts w:cs="Arial"/>
                <w:b/>
                <w:sz w:val="21"/>
                <w:szCs w:val="21"/>
              </w:rPr>
              <w:t>Total Facility Patient Days for MDRO/CDI FacWideIN</w:t>
            </w:r>
          </w:p>
        </w:tc>
        <w:tc>
          <w:tcPr>
            <w:tcW w:w="1620" w:type="dxa"/>
            <w:vAlign w:val="center"/>
          </w:tcPr>
          <w:p w14:paraId="0D84ED37" w14:textId="77777777" w:rsidR="00E20C9D" w:rsidRPr="00CD328D" w:rsidRDefault="00E20C9D" w:rsidP="004012C8">
            <w:pPr>
              <w:pStyle w:val="NoSpacing"/>
              <w:rPr>
                <w:b/>
                <w:sz w:val="21"/>
                <w:szCs w:val="21"/>
              </w:rPr>
            </w:pPr>
            <w:r w:rsidRPr="00CD328D">
              <w:rPr>
                <w:b/>
                <w:sz w:val="21"/>
                <w:szCs w:val="21"/>
              </w:rPr>
              <w:t>Percent Difference</w:t>
            </w:r>
          </w:p>
        </w:tc>
        <w:tc>
          <w:tcPr>
            <w:tcW w:w="360" w:type="dxa"/>
            <w:vAlign w:val="center"/>
          </w:tcPr>
          <w:p w14:paraId="3F8D20EF" w14:textId="77777777" w:rsidR="00E20C9D" w:rsidRPr="00CD328D" w:rsidRDefault="00E20C9D" w:rsidP="004012C8">
            <w:pPr>
              <w:pStyle w:val="NoSpacing"/>
              <w:rPr>
                <w:sz w:val="21"/>
                <w:szCs w:val="21"/>
              </w:rPr>
            </w:pPr>
          </w:p>
        </w:tc>
        <w:tc>
          <w:tcPr>
            <w:tcW w:w="1665" w:type="dxa"/>
            <w:vAlign w:val="center"/>
          </w:tcPr>
          <w:p w14:paraId="24355561" w14:textId="77777777" w:rsidR="00E20C9D" w:rsidRPr="00CD328D" w:rsidRDefault="00E20C9D" w:rsidP="004012C8">
            <w:pPr>
              <w:pStyle w:val="NoSpacing"/>
              <w:rPr>
                <w:sz w:val="21"/>
                <w:szCs w:val="21"/>
              </w:rPr>
            </w:pPr>
            <w:r w:rsidRPr="00CD328D">
              <w:rPr>
                <w:rFonts w:cs="Arial"/>
                <w:b/>
                <w:sz w:val="21"/>
                <w:szCs w:val="21"/>
              </w:rPr>
              <w:t>Total AU Admissions</w:t>
            </w:r>
          </w:p>
        </w:tc>
        <w:tc>
          <w:tcPr>
            <w:tcW w:w="1665" w:type="dxa"/>
            <w:vAlign w:val="center"/>
          </w:tcPr>
          <w:p w14:paraId="2D193AF0" w14:textId="77777777" w:rsidR="00E20C9D" w:rsidRPr="00CD328D" w:rsidRDefault="00E20C9D" w:rsidP="004012C8">
            <w:pPr>
              <w:pStyle w:val="NoSpacing"/>
              <w:rPr>
                <w:sz w:val="21"/>
                <w:szCs w:val="21"/>
              </w:rPr>
            </w:pPr>
            <w:r w:rsidRPr="00CD328D">
              <w:rPr>
                <w:rFonts w:cs="Arial"/>
                <w:b/>
                <w:sz w:val="21"/>
                <w:szCs w:val="21"/>
              </w:rPr>
              <w:t>Total Facility Admissions for MDRO/CDI FacWideIN</w:t>
            </w:r>
          </w:p>
        </w:tc>
      </w:tr>
      <w:tr w:rsidR="00E20C9D" w:rsidRPr="00CD328D" w14:paraId="139DD7D0" w14:textId="77777777" w:rsidTr="00E20C9D">
        <w:tc>
          <w:tcPr>
            <w:tcW w:w="1440" w:type="dxa"/>
          </w:tcPr>
          <w:p w14:paraId="074B4DEB" w14:textId="77777777" w:rsidR="00E20C9D" w:rsidRPr="00CD328D" w:rsidRDefault="00E20C9D" w:rsidP="00E20C9D">
            <w:pPr>
              <w:pStyle w:val="NoSpacing"/>
              <w:rPr>
                <w:sz w:val="21"/>
                <w:szCs w:val="21"/>
              </w:rPr>
            </w:pPr>
          </w:p>
        </w:tc>
        <w:tc>
          <w:tcPr>
            <w:tcW w:w="1620" w:type="dxa"/>
          </w:tcPr>
          <w:p w14:paraId="6EF8F740" w14:textId="77777777" w:rsidR="00E20C9D" w:rsidRPr="00CD328D" w:rsidRDefault="00E20C9D" w:rsidP="00E20C9D">
            <w:pPr>
              <w:pStyle w:val="NoSpacing"/>
              <w:rPr>
                <w:sz w:val="21"/>
                <w:szCs w:val="21"/>
              </w:rPr>
            </w:pPr>
          </w:p>
        </w:tc>
        <w:tc>
          <w:tcPr>
            <w:tcW w:w="1620" w:type="dxa"/>
          </w:tcPr>
          <w:p w14:paraId="60324C02" w14:textId="77777777" w:rsidR="00E20C9D" w:rsidRPr="00CD328D" w:rsidRDefault="00E20C9D" w:rsidP="00E20C9D">
            <w:pPr>
              <w:pStyle w:val="NoSpacing"/>
              <w:rPr>
                <w:sz w:val="21"/>
                <w:szCs w:val="21"/>
              </w:rPr>
            </w:pPr>
          </w:p>
        </w:tc>
        <w:tc>
          <w:tcPr>
            <w:tcW w:w="1620" w:type="dxa"/>
          </w:tcPr>
          <w:p w14:paraId="049AC903" w14:textId="77777777" w:rsidR="00E20C9D" w:rsidRPr="00CD328D" w:rsidRDefault="00E20C9D" w:rsidP="00E20C9D">
            <w:pPr>
              <w:pStyle w:val="NoSpacing"/>
              <w:rPr>
                <w:sz w:val="21"/>
                <w:szCs w:val="21"/>
              </w:rPr>
            </w:pPr>
          </w:p>
        </w:tc>
        <w:tc>
          <w:tcPr>
            <w:tcW w:w="360" w:type="dxa"/>
          </w:tcPr>
          <w:p w14:paraId="411E3B3A" w14:textId="77777777" w:rsidR="00E20C9D" w:rsidRPr="00CD328D" w:rsidRDefault="00E20C9D" w:rsidP="00E20C9D">
            <w:pPr>
              <w:pStyle w:val="NoSpacing"/>
              <w:rPr>
                <w:sz w:val="21"/>
                <w:szCs w:val="21"/>
              </w:rPr>
            </w:pPr>
          </w:p>
        </w:tc>
        <w:tc>
          <w:tcPr>
            <w:tcW w:w="1665" w:type="dxa"/>
          </w:tcPr>
          <w:p w14:paraId="3FD2F052" w14:textId="77777777" w:rsidR="00E20C9D" w:rsidRPr="00CD328D" w:rsidRDefault="00E20C9D" w:rsidP="00E20C9D">
            <w:pPr>
              <w:pStyle w:val="NoSpacing"/>
              <w:rPr>
                <w:sz w:val="21"/>
                <w:szCs w:val="21"/>
              </w:rPr>
            </w:pPr>
          </w:p>
        </w:tc>
        <w:tc>
          <w:tcPr>
            <w:tcW w:w="1665" w:type="dxa"/>
          </w:tcPr>
          <w:p w14:paraId="1A5A41DF" w14:textId="77777777" w:rsidR="00E20C9D" w:rsidRPr="00CD328D" w:rsidRDefault="00E20C9D" w:rsidP="00E20C9D">
            <w:pPr>
              <w:pStyle w:val="NoSpacing"/>
              <w:rPr>
                <w:sz w:val="21"/>
                <w:szCs w:val="21"/>
              </w:rPr>
            </w:pPr>
          </w:p>
        </w:tc>
      </w:tr>
    </w:tbl>
    <w:p w14:paraId="296D0B33" w14:textId="77777777" w:rsidR="00E20C9D" w:rsidRPr="00CD328D" w:rsidRDefault="00E20C9D" w:rsidP="00E20C9D">
      <w:pPr>
        <w:pStyle w:val="NoSpacing"/>
        <w:rPr>
          <w:sz w:val="21"/>
          <w:szCs w:val="21"/>
        </w:rPr>
      </w:pPr>
    </w:p>
    <w:p w14:paraId="575365B0" w14:textId="77777777" w:rsidR="00E20C9D" w:rsidRPr="00CD328D" w:rsidRDefault="00E20C9D" w:rsidP="00E20C9D">
      <w:pPr>
        <w:pStyle w:val="NoSpacing"/>
        <w:numPr>
          <w:ilvl w:val="0"/>
          <w:numId w:val="13"/>
        </w:numPr>
        <w:rPr>
          <w:sz w:val="21"/>
          <w:szCs w:val="21"/>
        </w:rPr>
      </w:pPr>
      <w:r w:rsidRPr="00CD328D">
        <w:rPr>
          <w:b/>
          <w:bCs/>
          <w:sz w:val="21"/>
          <w:szCs w:val="21"/>
        </w:rPr>
        <w:t>Question:</w:t>
      </w:r>
      <w:r w:rsidRPr="00CD328D">
        <w:rPr>
          <w:sz w:val="21"/>
          <w:szCs w:val="21"/>
        </w:rPr>
        <w:t xml:space="preserve"> Are FacWideIN AU days present greater than the total facility patient-days on the FacWideIN MDRO/CDI Module record? (Y/N/NA) </w:t>
      </w:r>
    </w:p>
    <w:p w14:paraId="3570F9B0" w14:textId="77777777" w:rsidR="00E20C9D" w:rsidRPr="00CD328D" w:rsidRDefault="00E20C9D" w:rsidP="00E20C9D">
      <w:pPr>
        <w:pStyle w:val="NoSpacing"/>
        <w:ind w:firstLine="720"/>
        <w:rPr>
          <w:sz w:val="21"/>
          <w:szCs w:val="21"/>
        </w:rPr>
      </w:pPr>
    </w:p>
    <w:p w14:paraId="4A27AC3B" w14:textId="77777777" w:rsidR="00E20C9D" w:rsidRPr="00CD328D" w:rsidRDefault="00E20C9D" w:rsidP="00E20C9D">
      <w:pPr>
        <w:pStyle w:val="NoSpacing"/>
        <w:ind w:firstLine="720"/>
        <w:rPr>
          <w:sz w:val="21"/>
          <w:szCs w:val="21"/>
        </w:rPr>
      </w:pPr>
    </w:p>
    <w:p w14:paraId="67C958D8" w14:textId="77777777" w:rsidR="00432044" w:rsidRDefault="00432044" w:rsidP="00E20C9D">
      <w:pPr>
        <w:pStyle w:val="NoSpacing"/>
        <w:ind w:firstLine="720"/>
        <w:rPr>
          <w:sz w:val="21"/>
          <w:szCs w:val="21"/>
        </w:rPr>
        <w:sectPr w:rsidR="00432044" w:rsidSect="003D38E6">
          <w:pgSz w:w="12240" w:h="15840" w:code="1"/>
          <w:pgMar w:top="540" w:right="720" w:bottom="720" w:left="720" w:header="720" w:footer="288" w:gutter="0"/>
          <w:cols w:space="720"/>
          <w:titlePg/>
          <w:docGrid w:linePitch="360"/>
        </w:sectPr>
      </w:pPr>
    </w:p>
    <w:p w14:paraId="6F071E5C" w14:textId="4962A10D" w:rsidR="00E20C9D" w:rsidRPr="00CD328D" w:rsidRDefault="00E20C9D" w:rsidP="00E20C9D">
      <w:pPr>
        <w:pStyle w:val="NoSpacing"/>
        <w:ind w:firstLine="720"/>
        <w:rPr>
          <w:sz w:val="21"/>
          <w:szCs w:val="21"/>
        </w:rPr>
      </w:pPr>
      <w:r w:rsidRPr="00CD328D">
        <w:rPr>
          <w:sz w:val="21"/>
          <w:szCs w:val="21"/>
        </w:rPr>
        <w:lastRenderedPageBreak/>
        <w:t xml:space="preserve">If the percent difference is </w:t>
      </w:r>
      <w:r w:rsidRPr="00CD328D">
        <w:rPr>
          <w:sz w:val="21"/>
          <w:szCs w:val="21"/>
          <w:u w:val="single"/>
        </w:rPr>
        <w:t>considerably higher than the average</w:t>
      </w:r>
      <w:r w:rsidRPr="00CD328D">
        <w:rPr>
          <w:sz w:val="21"/>
          <w:szCs w:val="21"/>
        </w:rPr>
        <w:t xml:space="preserve"> for FacWideIN:</w:t>
      </w:r>
    </w:p>
    <w:p w14:paraId="7F24A1D5" w14:textId="454A3BA3" w:rsidR="00E20C9D" w:rsidRPr="00CD328D" w:rsidRDefault="00E20C9D" w:rsidP="00E20C9D">
      <w:pPr>
        <w:pStyle w:val="NoSpacing"/>
        <w:numPr>
          <w:ilvl w:val="0"/>
          <w:numId w:val="15"/>
        </w:numPr>
        <w:ind w:hanging="360"/>
        <w:rPr>
          <w:sz w:val="21"/>
          <w:szCs w:val="21"/>
        </w:rPr>
      </w:pPr>
      <w:r w:rsidRPr="00CD328D">
        <w:rPr>
          <w:b/>
          <w:bCs/>
          <w:sz w:val="21"/>
          <w:szCs w:val="21"/>
        </w:rPr>
        <w:t>Question:</w:t>
      </w:r>
      <w:r w:rsidRPr="00CD328D">
        <w:rPr>
          <w:sz w:val="21"/>
          <w:szCs w:val="21"/>
        </w:rPr>
        <w:t xml:space="preserve"> Is the system including additional locations in the HAI FacWideIN MDRO/CDI summary patient day counts that </w:t>
      </w:r>
      <w:r w:rsidR="00C12B0A" w:rsidRPr="00CD328D">
        <w:rPr>
          <w:sz w:val="21"/>
          <w:szCs w:val="21"/>
        </w:rPr>
        <w:t>it is including</w:t>
      </w:r>
      <w:r w:rsidRPr="00CD328D">
        <w:rPr>
          <w:sz w:val="21"/>
          <w:szCs w:val="21"/>
        </w:rPr>
        <w:t xml:space="preserve"> in the AU FacWideIN counts? (Y/N)</w:t>
      </w:r>
    </w:p>
    <w:p w14:paraId="3B6176AB" w14:textId="77777777" w:rsidR="00E20C9D" w:rsidRPr="00CD328D" w:rsidRDefault="00E20C9D" w:rsidP="00E20C9D">
      <w:pPr>
        <w:pStyle w:val="NoSpacing"/>
        <w:ind w:left="1080"/>
        <w:rPr>
          <w:sz w:val="21"/>
          <w:szCs w:val="21"/>
        </w:rPr>
      </w:pPr>
      <w:r w:rsidRPr="00CD328D">
        <w:rPr>
          <w:b/>
          <w:bCs/>
          <w:sz w:val="21"/>
          <w:szCs w:val="21"/>
        </w:rPr>
        <w:t>Note:</w:t>
      </w:r>
      <w:r w:rsidRPr="00CD328D">
        <w:rPr>
          <w:sz w:val="21"/>
          <w:szCs w:val="21"/>
        </w:rPr>
        <w:t xml:space="preserve"> For AU reporting, the vendor system should only include those locations in the FacWideIN record where the system can accurately electronically capture both the numerator and denominator. Therefore, the vendor system might exclude some locations from AU FacWideIN and include them in HAI MDRO/CDI FacWideIN. </w:t>
      </w:r>
    </w:p>
    <w:p w14:paraId="25125590" w14:textId="77777777" w:rsidR="00E20C9D" w:rsidRPr="00CD328D" w:rsidRDefault="00E20C9D" w:rsidP="00E20C9D">
      <w:pPr>
        <w:pStyle w:val="NoSpacing"/>
        <w:ind w:left="720"/>
        <w:rPr>
          <w:sz w:val="21"/>
          <w:szCs w:val="21"/>
        </w:rPr>
      </w:pPr>
    </w:p>
    <w:p w14:paraId="4B694E2D" w14:textId="77777777" w:rsidR="00E20C9D" w:rsidRPr="00CD328D" w:rsidRDefault="00E20C9D" w:rsidP="00E20C9D">
      <w:pPr>
        <w:pStyle w:val="NoSpacing"/>
        <w:ind w:left="720"/>
        <w:rPr>
          <w:sz w:val="21"/>
          <w:szCs w:val="21"/>
        </w:rPr>
      </w:pPr>
    </w:p>
    <w:p w14:paraId="21E8FE86" w14:textId="77777777" w:rsidR="00E20C9D" w:rsidRPr="00CD328D" w:rsidRDefault="00E20C9D" w:rsidP="00E20C9D">
      <w:pPr>
        <w:pStyle w:val="NoSpacing"/>
        <w:ind w:left="720"/>
        <w:rPr>
          <w:sz w:val="21"/>
          <w:szCs w:val="21"/>
        </w:rPr>
      </w:pPr>
    </w:p>
    <w:p w14:paraId="02791CEC" w14:textId="3CC8F757" w:rsidR="00E20C9D" w:rsidRPr="00CD328D" w:rsidRDefault="00E20C9D" w:rsidP="00E20C9D">
      <w:pPr>
        <w:pStyle w:val="NoSpacing"/>
        <w:numPr>
          <w:ilvl w:val="0"/>
          <w:numId w:val="13"/>
        </w:numPr>
        <w:rPr>
          <w:sz w:val="21"/>
          <w:szCs w:val="21"/>
        </w:rPr>
      </w:pPr>
      <w:r w:rsidRPr="00CD328D">
        <w:rPr>
          <w:b/>
          <w:bCs/>
          <w:sz w:val="21"/>
          <w:szCs w:val="21"/>
        </w:rPr>
        <w:t>Question:</w:t>
      </w:r>
      <w:r w:rsidRPr="00CD328D">
        <w:rPr>
          <w:sz w:val="21"/>
          <w:szCs w:val="21"/>
        </w:rPr>
        <w:t xml:space="preserve"> </w:t>
      </w:r>
      <w:r w:rsidR="00E31401" w:rsidRPr="00CD328D">
        <w:rPr>
          <w:sz w:val="21"/>
          <w:szCs w:val="21"/>
        </w:rPr>
        <w:t xml:space="preserve">Are the </w:t>
      </w:r>
      <w:r w:rsidR="00E31401">
        <w:rPr>
          <w:sz w:val="21"/>
          <w:szCs w:val="21"/>
        </w:rPr>
        <w:t xml:space="preserve">AU Option </w:t>
      </w:r>
      <w:r w:rsidR="00E31401" w:rsidRPr="00CD328D">
        <w:rPr>
          <w:sz w:val="21"/>
          <w:szCs w:val="21"/>
        </w:rPr>
        <w:t xml:space="preserve">admission counts </w:t>
      </w:r>
      <w:r w:rsidR="00E31401">
        <w:rPr>
          <w:sz w:val="21"/>
          <w:szCs w:val="21"/>
        </w:rPr>
        <w:t>slightly higher than MDRO/CDI Module admission counts</w:t>
      </w:r>
      <w:r w:rsidRPr="00CD328D">
        <w:rPr>
          <w:sz w:val="21"/>
          <w:szCs w:val="21"/>
        </w:rPr>
        <w:t>? (Y/N/NA)</w:t>
      </w:r>
    </w:p>
    <w:p w14:paraId="7B572CB9" w14:textId="77777777" w:rsidR="00E20C9D" w:rsidRDefault="00E20C9D" w:rsidP="00E20C9D">
      <w:pPr>
        <w:pStyle w:val="NoSpacing"/>
        <w:rPr>
          <w:sz w:val="21"/>
          <w:szCs w:val="21"/>
        </w:rPr>
      </w:pPr>
    </w:p>
    <w:p w14:paraId="5A5BAEBE" w14:textId="77777777" w:rsidR="00E20C9D" w:rsidRDefault="00E20C9D" w:rsidP="00E20C9D">
      <w:pPr>
        <w:pStyle w:val="NoSpacing"/>
        <w:rPr>
          <w:sz w:val="21"/>
          <w:szCs w:val="21"/>
        </w:rPr>
      </w:pPr>
    </w:p>
    <w:p w14:paraId="0A4B9168" w14:textId="77777777" w:rsidR="00E20C9D" w:rsidRPr="00D22BB2" w:rsidRDefault="00E20C9D" w:rsidP="00E20C9D">
      <w:pPr>
        <w:pStyle w:val="Heading4"/>
        <w:ind w:firstLine="720"/>
      </w:pPr>
      <w:r>
        <w:t>Outpatient days present and encounters</w:t>
      </w:r>
    </w:p>
    <w:p w14:paraId="10160938" w14:textId="77777777" w:rsidR="00E20C9D" w:rsidRPr="00CD328D" w:rsidRDefault="00E20C9D" w:rsidP="00E20C9D">
      <w:pPr>
        <w:pStyle w:val="NoSpacing"/>
        <w:ind w:left="720"/>
        <w:rPr>
          <w:sz w:val="21"/>
          <w:szCs w:val="21"/>
        </w:rPr>
      </w:pPr>
      <w:r w:rsidRPr="00CD328D">
        <w:rPr>
          <w:b/>
          <w:bCs/>
          <w:sz w:val="21"/>
          <w:szCs w:val="21"/>
        </w:rPr>
        <w:t>Methodology</w:t>
      </w:r>
      <w:r w:rsidRPr="00CD328D">
        <w:rPr>
          <w:sz w:val="21"/>
          <w:szCs w:val="21"/>
        </w:rPr>
        <w:t>: Please list the days present and encounters reported for the ED and 24-hour Observation locations in the table below, as applicable. You can find the HAI MDRO/CDI encounters on the NHSN MDRO/CDI Module summary records used for LabID reporting. You may need to ask your IP for help in finding these numbers within NHSN.</w:t>
      </w:r>
    </w:p>
    <w:p w14:paraId="386C52EE" w14:textId="77777777" w:rsidR="00E20C9D" w:rsidRPr="00CD328D" w:rsidRDefault="00E20C9D" w:rsidP="00E20C9D">
      <w:pPr>
        <w:pStyle w:val="NoSpacing"/>
        <w:rPr>
          <w:sz w:val="21"/>
          <w:szCs w:val="21"/>
        </w:rPr>
      </w:pPr>
    </w:p>
    <w:p w14:paraId="2EB64709" w14:textId="77777777" w:rsidR="00E20C9D" w:rsidRPr="00CD328D" w:rsidRDefault="00E20C9D" w:rsidP="00E20C9D">
      <w:pPr>
        <w:pStyle w:val="NoSpacing"/>
        <w:ind w:left="720"/>
        <w:rPr>
          <w:sz w:val="21"/>
          <w:szCs w:val="21"/>
        </w:rPr>
      </w:pPr>
      <w:r w:rsidRPr="00CD328D">
        <w:rPr>
          <w:sz w:val="21"/>
          <w:szCs w:val="21"/>
        </w:rPr>
        <w:t>Based on internal NHSN analyses of days present and encounters, on average the ED and 24-hour Observation AU days present are 14% higher than the HAI patient days for the same month/location.</w:t>
      </w:r>
    </w:p>
    <w:p w14:paraId="21CFDE31" w14:textId="77777777" w:rsidR="00E20C9D" w:rsidRPr="00CD328D" w:rsidRDefault="00E20C9D" w:rsidP="00E20C9D">
      <w:pPr>
        <w:pStyle w:val="NoSpacing"/>
        <w:rPr>
          <w:sz w:val="21"/>
          <w:szCs w:val="21"/>
        </w:rPr>
      </w:pPr>
    </w:p>
    <w:tbl>
      <w:tblPr>
        <w:tblStyle w:val="TableGrid"/>
        <w:tblW w:w="0" w:type="auto"/>
        <w:tblInd w:w="355" w:type="dxa"/>
        <w:tblLook w:val="04A0" w:firstRow="1" w:lastRow="0" w:firstColumn="1" w:lastColumn="0" w:noHBand="0" w:noVBand="1"/>
      </w:tblPr>
      <w:tblGrid>
        <w:gridCol w:w="2430"/>
        <w:gridCol w:w="1531"/>
        <w:gridCol w:w="2009"/>
        <w:gridCol w:w="2010"/>
        <w:gridCol w:w="2010"/>
      </w:tblGrid>
      <w:tr w:rsidR="00E20C9D" w:rsidRPr="00CD328D" w14:paraId="7B9DD72E" w14:textId="77777777" w:rsidTr="00E20C9D">
        <w:tc>
          <w:tcPr>
            <w:tcW w:w="2430" w:type="dxa"/>
            <w:vAlign w:val="center"/>
          </w:tcPr>
          <w:p w14:paraId="3E8BC0F0" w14:textId="77777777" w:rsidR="00E20C9D" w:rsidRPr="00CD328D" w:rsidRDefault="00E20C9D" w:rsidP="004012C8">
            <w:pPr>
              <w:pStyle w:val="NoSpacing"/>
              <w:rPr>
                <w:b/>
                <w:sz w:val="21"/>
                <w:szCs w:val="21"/>
              </w:rPr>
            </w:pPr>
            <w:r w:rsidRPr="00CD328D">
              <w:rPr>
                <w:rFonts w:cs="Arial"/>
                <w:b/>
                <w:sz w:val="21"/>
                <w:szCs w:val="21"/>
              </w:rPr>
              <w:t>Location</w:t>
            </w:r>
          </w:p>
        </w:tc>
        <w:tc>
          <w:tcPr>
            <w:tcW w:w="1531" w:type="dxa"/>
            <w:vAlign w:val="center"/>
          </w:tcPr>
          <w:p w14:paraId="12758770" w14:textId="77777777" w:rsidR="00E20C9D" w:rsidRPr="00CD328D" w:rsidRDefault="00E20C9D" w:rsidP="004012C8">
            <w:pPr>
              <w:pStyle w:val="NoSpacing"/>
              <w:rPr>
                <w:b/>
                <w:sz w:val="21"/>
                <w:szCs w:val="21"/>
              </w:rPr>
            </w:pPr>
            <w:r w:rsidRPr="00CD328D">
              <w:rPr>
                <w:rFonts w:cs="Arial"/>
                <w:b/>
                <w:sz w:val="21"/>
                <w:szCs w:val="21"/>
              </w:rPr>
              <w:t>Month/Year</w:t>
            </w:r>
          </w:p>
        </w:tc>
        <w:tc>
          <w:tcPr>
            <w:tcW w:w="2009" w:type="dxa"/>
            <w:vAlign w:val="center"/>
          </w:tcPr>
          <w:p w14:paraId="41D99BC5" w14:textId="77777777" w:rsidR="00E20C9D" w:rsidRPr="00CD328D" w:rsidRDefault="00E20C9D" w:rsidP="004012C8">
            <w:pPr>
              <w:pStyle w:val="NoSpacing"/>
              <w:rPr>
                <w:b/>
                <w:sz w:val="21"/>
                <w:szCs w:val="21"/>
              </w:rPr>
            </w:pPr>
            <w:r w:rsidRPr="00CD328D">
              <w:rPr>
                <w:rFonts w:cs="Arial"/>
                <w:b/>
                <w:sz w:val="21"/>
                <w:szCs w:val="21"/>
              </w:rPr>
              <w:t>Total AU Days Present</w:t>
            </w:r>
          </w:p>
        </w:tc>
        <w:tc>
          <w:tcPr>
            <w:tcW w:w="2010" w:type="dxa"/>
            <w:vAlign w:val="center"/>
          </w:tcPr>
          <w:p w14:paraId="5439A45D" w14:textId="77777777" w:rsidR="00E20C9D" w:rsidRPr="00CD328D" w:rsidRDefault="00E20C9D" w:rsidP="004012C8">
            <w:pPr>
              <w:pStyle w:val="NoSpacing"/>
              <w:rPr>
                <w:b/>
                <w:sz w:val="21"/>
                <w:szCs w:val="21"/>
              </w:rPr>
            </w:pPr>
            <w:r w:rsidRPr="00CD328D">
              <w:rPr>
                <w:rFonts w:cs="Arial"/>
                <w:b/>
                <w:sz w:val="21"/>
                <w:szCs w:val="21"/>
              </w:rPr>
              <w:t>Total MDRO/CDI Encounters</w:t>
            </w:r>
          </w:p>
        </w:tc>
        <w:tc>
          <w:tcPr>
            <w:tcW w:w="2010" w:type="dxa"/>
            <w:vAlign w:val="center"/>
          </w:tcPr>
          <w:p w14:paraId="42636EC8" w14:textId="77777777" w:rsidR="00E20C9D" w:rsidRPr="00CD328D" w:rsidRDefault="00E20C9D" w:rsidP="004012C8">
            <w:pPr>
              <w:pStyle w:val="NoSpacing"/>
              <w:rPr>
                <w:b/>
                <w:sz w:val="21"/>
                <w:szCs w:val="21"/>
              </w:rPr>
            </w:pPr>
            <w:r w:rsidRPr="00CD328D">
              <w:rPr>
                <w:b/>
                <w:sz w:val="21"/>
                <w:szCs w:val="21"/>
              </w:rPr>
              <w:t>Percent Difference</w:t>
            </w:r>
          </w:p>
        </w:tc>
      </w:tr>
      <w:tr w:rsidR="00E20C9D" w:rsidRPr="00CD328D" w14:paraId="1B8EE9DD" w14:textId="77777777" w:rsidTr="00E20C9D">
        <w:tc>
          <w:tcPr>
            <w:tcW w:w="2430" w:type="dxa"/>
            <w:vAlign w:val="center"/>
          </w:tcPr>
          <w:p w14:paraId="7154E875" w14:textId="77777777" w:rsidR="00E20C9D" w:rsidRPr="00CD328D" w:rsidRDefault="00E20C9D" w:rsidP="00E20C9D">
            <w:pPr>
              <w:pStyle w:val="NoSpacing"/>
              <w:rPr>
                <w:sz w:val="21"/>
                <w:szCs w:val="21"/>
              </w:rPr>
            </w:pPr>
            <w:r w:rsidRPr="00CD328D">
              <w:rPr>
                <w:rFonts w:cs="Arial"/>
                <w:b/>
                <w:sz w:val="21"/>
                <w:szCs w:val="21"/>
              </w:rPr>
              <w:t>Emergency Department</w:t>
            </w:r>
          </w:p>
        </w:tc>
        <w:tc>
          <w:tcPr>
            <w:tcW w:w="1531" w:type="dxa"/>
          </w:tcPr>
          <w:p w14:paraId="6166CE4F" w14:textId="77777777" w:rsidR="00E20C9D" w:rsidRPr="00CD328D" w:rsidRDefault="00E20C9D" w:rsidP="00E20C9D">
            <w:pPr>
              <w:pStyle w:val="NoSpacing"/>
              <w:rPr>
                <w:sz w:val="21"/>
                <w:szCs w:val="21"/>
              </w:rPr>
            </w:pPr>
          </w:p>
        </w:tc>
        <w:tc>
          <w:tcPr>
            <w:tcW w:w="2009" w:type="dxa"/>
          </w:tcPr>
          <w:p w14:paraId="400585A4" w14:textId="77777777" w:rsidR="00E20C9D" w:rsidRPr="00CD328D" w:rsidRDefault="00E20C9D" w:rsidP="00E20C9D">
            <w:pPr>
              <w:pStyle w:val="NoSpacing"/>
              <w:rPr>
                <w:sz w:val="21"/>
                <w:szCs w:val="21"/>
              </w:rPr>
            </w:pPr>
          </w:p>
        </w:tc>
        <w:tc>
          <w:tcPr>
            <w:tcW w:w="2010" w:type="dxa"/>
          </w:tcPr>
          <w:p w14:paraId="2EE4AF5C" w14:textId="77777777" w:rsidR="00E20C9D" w:rsidRPr="00CD328D" w:rsidRDefault="00E20C9D" w:rsidP="00E20C9D">
            <w:pPr>
              <w:pStyle w:val="NoSpacing"/>
              <w:rPr>
                <w:sz w:val="21"/>
                <w:szCs w:val="21"/>
              </w:rPr>
            </w:pPr>
          </w:p>
        </w:tc>
        <w:tc>
          <w:tcPr>
            <w:tcW w:w="2010" w:type="dxa"/>
          </w:tcPr>
          <w:p w14:paraId="16281A8A" w14:textId="77777777" w:rsidR="00E20C9D" w:rsidRPr="00CD328D" w:rsidRDefault="00E20C9D" w:rsidP="00E20C9D">
            <w:pPr>
              <w:pStyle w:val="NoSpacing"/>
              <w:rPr>
                <w:sz w:val="21"/>
                <w:szCs w:val="21"/>
              </w:rPr>
            </w:pPr>
          </w:p>
        </w:tc>
      </w:tr>
      <w:tr w:rsidR="00E20C9D" w:rsidRPr="00CD328D" w14:paraId="73D3775B" w14:textId="77777777" w:rsidTr="00E20C9D">
        <w:tc>
          <w:tcPr>
            <w:tcW w:w="2430" w:type="dxa"/>
            <w:vAlign w:val="center"/>
          </w:tcPr>
          <w:p w14:paraId="54AE92EF" w14:textId="77777777" w:rsidR="00E20C9D" w:rsidRPr="00CD328D" w:rsidRDefault="00E20C9D" w:rsidP="00E20C9D">
            <w:pPr>
              <w:pStyle w:val="NoSpacing"/>
              <w:rPr>
                <w:sz w:val="21"/>
                <w:szCs w:val="21"/>
              </w:rPr>
            </w:pPr>
            <w:r w:rsidRPr="00CD328D">
              <w:rPr>
                <w:rFonts w:cs="Arial"/>
                <w:b/>
                <w:sz w:val="21"/>
                <w:szCs w:val="21"/>
              </w:rPr>
              <w:t>Pediatric Emergency Department</w:t>
            </w:r>
          </w:p>
        </w:tc>
        <w:tc>
          <w:tcPr>
            <w:tcW w:w="1531" w:type="dxa"/>
          </w:tcPr>
          <w:p w14:paraId="4847B7E3" w14:textId="77777777" w:rsidR="00E20C9D" w:rsidRPr="00CD328D" w:rsidRDefault="00E20C9D" w:rsidP="00E20C9D">
            <w:pPr>
              <w:pStyle w:val="NoSpacing"/>
              <w:rPr>
                <w:sz w:val="21"/>
                <w:szCs w:val="21"/>
              </w:rPr>
            </w:pPr>
          </w:p>
        </w:tc>
        <w:tc>
          <w:tcPr>
            <w:tcW w:w="2009" w:type="dxa"/>
          </w:tcPr>
          <w:p w14:paraId="026649DF" w14:textId="77777777" w:rsidR="00E20C9D" w:rsidRPr="00CD328D" w:rsidRDefault="00E20C9D" w:rsidP="00E20C9D">
            <w:pPr>
              <w:pStyle w:val="NoSpacing"/>
              <w:rPr>
                <w:sz w:val="21"/>
                <w:szCs w:val="21"/>
              </w:rPr>
            </w:pPr>
          </w:p>
        </w:tc>
        <w:tc>
          <w:tcPr>
            <w:tcW w:w="2010" w:type="dxa"/>
          </w:tcPr>
          <w:p w14:paraId="292CB1A7" w14:textId="77777777" w:rsidR="00E20C9D" w:rsidRPr="00CD328D" w:rsidRDefault="00E20C9D" w:rsidP="00E20C9D">
            <w:pPr>
              <w:pStyle w:val="NoSpacing"/>
              <w:rPr>
                <w:sz w:val="21"/>
                <w:szCs w:val="21"/>
              </w:rPr>
            </w:pPr>
          </w:p>
        </w:tc>
        <w:tc>
          <w:tcPr>
            <w:tcW w:w="2010" w:type="dxa"/>
          </w:tcPr>
          <w:p w14:paraId="32A80BA5" w14:textId="77777777" w:rsidR="00E20C9D" w:rsidRPr="00CD328D" w:rsidRDefault="00E20C9D" w:rsidP="00E20C9D">
            <w:pPr>
              <w:pStyle w:val="NoSpacing"/>
              <w:rPr>
                <w:sz w:val="21"/>
                <w:szCs w:val="21"/>
              </w:rPr>
            </w:pPr>
          </w:p>
        </w:tc>
      </w:tr>
      <w:tr w:rsidR="00E20C9D" w:rsidRPr="00CD328D" w14:paraId="0CFC2540" w14:textId="77777777" w:rsidTr="00E20C9D">
        <w:tc>
          <w:tcPr>
            <w:tcW w:w="2430" w:type="dxa"/>
            <w:vAlign w:val="center"/>
          </w:tcPr>
          <w:p w14:paraId="1296C3AA" w14:textId="77777777" w:rsidR="00E20C9D" w:rsidRPr="00CD328D" w:rsidRDefault="00E20C9D" w:rsidP="00E20C9D">
            <w:pPr>
              <w:pStyle w:val="NoSpacing"/>
              <w:rPr>
                <w:sz w:val="21"/>
                <w:szCs w:val="21"/>
              </w:rPr>
            </w:pPr>
            <w:r w:rsidRPr="00CD328D">
              <w:rPr>
                <w:rFonts w:cs="Arial"/>
                <w:b/>
                <w:sz w:val="21"/>
                <w:szCs w:val="21"/>
              </w:rPr>
              <w:t>24-hour Observation</w:t>
            </w:r>
          </w:p>
        </w:tc>
        <w:tc>
          <w:tcPr>
            <w:tcW w:w="1531" w:type="dxa"/>
          </w:tcPr>
          <w:p w14:paraId="3CDD0FEC" w14:textId="77777777" w:rsidR="00E20C9D" w:rsidRPr="00CD328D" w:rsidRDefault="00E20C9D" w:rsidP="00E20C9D">
            <w:pPr>
              <w:pStyle w:val="NoSpacing"/>
              <w:rPr>
                <w:sz w:val="21"/>
                <w:szCs w:val="21"/>
              </w:rPr>
            </w:pPr>
          </w:p>
        </w:tc>
        <w:tc>
          <w:tcPr>
            <w:tcW w:w="2009" w:type="dxa"/>
          </w:tcPr>
          <w:p w14:paraId="07B8AF4C" w14:textId="77777777" w:rsidR="00E20C9D" w:rsidRPr="00CD328D" w:rsidRDefault="00E20C9D" w:rsidP="00E20C9D">
            <w:pPr>
              <w:pStyle w:val="NoSpacing"/>
              <w:rPr>
                <w:sz w:val="21"/>
                <w:szCs w:val="21"/>
              </w:rPr>
            </w:pPr>
          </w:p>
        </w:tc>
        <w:tc>
          <w:tcPr>
            <w:tcW w:w="2010" w:type="dxa"/>
          </w:tcPr>
          <w:p w14:paraId="5329B2ED" w14:textId="77777777" w:rsidR="00E20C9D" w:rsidRPr="00CD328D" w:rsidRDefault="00E20C9D" w:rsidP="00E20C9D">
            <w:pPr>
              <w:pStyle w:val="NoSpacing"/>
              <w:rPr>
                <w:sz w:val="21"/>
                <w:szCs w:val="21"/>
              </w:rPr>
            </w:pPr>
          </w:p>
        </w:tc>
        <w:tc>
          <w:tcPr>
            <w:tcW w:w="2010" w:type="dxa"/>
          </w:tcPr>
          <w:p w14:paraId="01C21068" w14:textId="77777777" w:rsidR="00E20C9D" w:rsidRPr="00CD328D" w:rsidRDefault="00E20C9D" w:rsidP="00E20C9D">
            <w:pPr>
              <w:pStyle w:val="NoSpacing"/>
              <w:rPr>
                <w:sz w:val="21"/>
                <w:szCs w:val="21"/>
              </w:rPr>
            </w:pPr>
          </w:p>
        </w:tc>
      </w:tr>
    </w:tbl>
    <w:p w14:paraId="402DB5F5" w14:textId="77777777" w:rsidR="00E20C9D" w:rsidRPr="00CD328D" w:rsidRDefault="00E20C9D" w:rsidP="00E20C9D">
      <w:pPr>
        <w:pStyle w:val="NoSpacing"/>
        <w:rPr>
          <w:sz w:val="21"/>
          <w:szCs w:val="21"/>
        </w:rPr>
      </w:pPr>
    </w:p>
    <w:p w14:paraId="34AA6132" w14:textId="77777777" w:rsidR="00E20C9D" w:rsidRPr="00CD328D" w:rsidRDefault="00E20C9D" w:rsidP="00E20C9D">
      <w:pPr>
        <w:pStyle w:val="NoSpacing"/>
        <w:numPr>
          <w:ilvl w:val="0"/>
          <w:numId w:val="13"/>
        </w:numPr>
        <w:rPr>
          <w:sz w:val="21"/>
          <w:szCs w:val="21"/>
        </w:rPr>
      </w:pPr>
      <w:r w:rsidRPr="00CD328D">
        <w:rPr>
          <w:b/>
          <w:bCs/>
          <w:sz w:val="21"/>
          <w:szCs w:val="21"/>
        </w:rPr>
        <w:t>Question:</w:t>
      </w:r>
      <w:r w:rsidRPr="00CD328D">
        <w:rPr>
          <w:sz w:val="21"/>
          <w:szCs w:val="21"/>
        </w:rPr>
        <w:t xml:space="preserve"> Are ED and 24-hour Observation AU days present greater than the HAI encounters for those outpatient locations for same time period? (Y/N/NA)</w:t>
      </w:r>
    </w:p>
    <w:p w14:paraId="132F4035" w14:textId="77777777" w:rsidR="00E20C9D" w:rsidRPr="00CD328D" w:rsidRDefault="00E20C9D" w:rsidP="008340F2">
      <w:pPr>
        <w:pStyle w:val="NoSpacing"/>
        <w:rPr>
          <w:sz w:val="21"/>
          <w:szCs w:val="21"/>
        </w:rPr>
      </w:pPr>
    </w:p>
    <w:p w14:paraId="3522E28E" w14:textId="77777777" w:rsidR="003A0F37" w:rsidRPr="00CD328D" w:rsidRDefault="003A0F37" w:rsidP="008340F2">
      <w:pPr>
        <w:pStyle w:val="NoSpacing"/>
        <w:rPr>
          <w:sz w:val="21"/>
          <w:szCs w:val="21"/>
        </w:rPr>
      </w:pPr>
    </w:p>
    <w:p w14:paraId="3955C872" w14:textId="1B768CF0" w:rsidR="003A0F37" w:rsidRPr="00CD328D" w:rsidRDefault="003A0F37" w:rsidP="003A0F37">
      <w:pPr>
        <w:pStyle w:val="NoSpacing"/>
        <w:jc w:val="right"/>
        <w:rPr>
          <w:sz w:val="21"/>
          <w:szCs w:val="21"/>
        </w:rPr>
      </w:pPr>
      <w:r w:rsidRPr="00CD328D">
        <w:rPr>
          <w:sz w:val="21"/>
          <w:szCs w:val="21"/>
        </w:rPr>
        <w:t xml:space="preserve">End of Section C: </w:t>
      </w:r>
      <w:r w:rsidR="00503721">
        <w:rPr>
          <w:sz w:val="21"/>
          <w:szCs w:val="21"/>
        </w:rPr>
        <w:t>Spot check data submitted to NHSN</w:t>
      </w:r>
    </w:p>
    <w:p w14:paraId="77C8B1DE" w14:textId="77777777" w:rsidR="003A0F37" w:rsidRDefault="003A0F37" w:rsidP="003A0F37">
      <w:pPr>
        <w:pStyle w:val="NoSpacing"/>
        <w:jc w:val="right"/>
      </w:pPr>
    </w:p>
    <w:p w14:paraId="1CC7A73A" w14:textId="77777777" w:rsidR="003A0F37" w:rsidRDefault="003A0F37" w:rsidP="003A0F37">
      <w:pPr>
        <w:pStyle w:val="NoSpacing"/>
      </w:pPr>
    </w:p>
    <w:p w14:paraId="02C3765E" w14:textId="461FDFDB" w:rsidR="008340F2" w:rsidRDefault="008340F2" w:rsidP="008340F2">
      <w:pPr>
        <w:pStyle w:val="Heading2"/>
      </w:pPr>
      <w:bookmarkStart w:id="19" w:name="_Appendix:_Links_to"/>
      <w:bookmarkEnd w:id="19"/>
      <w:r>
        <w:t>Appendix</w:t>
      </w:r>
      <w:r w:rsidR="00177598">
        <w:t>: Links to Referenced Documents</w:t>
      </w:r>
    </w:p>
    <w:p w14:paraId="42299499" w14:textId="7020843F" w:rsidR="008340F2" w:rsidRPr="00CD328D" w:rsidRDefault="008340F2" w:rsidP="00B468D7">
      <w:pPr>
        <w:pStyle w:val="NoSpacing"/>
        <w:spacing w:line="360" w:lineRule="auto"/>
        <w:rPr>
          <w:sz w:val="21"/>
          <w:szCs w:val="21"/>
        </w:rPr>
      </w:pPr>
      <w:r w:rsidRPr="00CD328D">
        <w:rPr>
          <w:sz w:val="21"/>
          <w:szCs w:val="21"/>
        </w:rPr>
        <w:t>Complete web addresses for references hyperlinked in this document in the order of appearance:</w:t>
      </w:r>
    </w:p>
    <w:p w14:paraId="2A7E5BE0" w14:textId="6D8DC51B" w:rsidR="008340F2" w:rsidRPr="00CD328D" w:rsidRDefault="008340F2" w:rsidP="00B468D7">
      <w:pPr>
        <w:pStyle w:val="NoSpacing"/>
        <w:spacing w:line="360" w:lineRule="auto"/>
        <w:rPr>
          <w:sz w:val="21"/>
          <w:szCs w:val="21"/>
        </w:rPr>
      </w:pPr>
      <w:r w:rsidRPr="00CD328D">
        <w:rPr>
          <w:sz w:val="21"/>
          <w:szCs w:val="21"/>
        </w:rPr>
        <w:t>AUR Module Protocol</w:t>
      </w:r>
      <w:r w:rsidR="00533935" w:rsidRPr="00CD328D">
        <w:rPr>
          <w:sz w:val="21"/>
          <w:szCs w:val="21"/>
        </w:rPr>
        <w:t xml:space="preserve">: </w:t>
      </w:r>
      <w:hyperlink r:id="rId35" w:history="1">
        <w:r w:rsidR="00533935" w:rsidRPr="00CD328D">
          <w:rPr>
            <w:rStyle w:val="Hyperlink"/>
            <w:sz w:val="21"/>
            <w:szCs w:val="21"/>
          </w:rPr>
          <w:t>https://www.cdc.gov/nhsn/pdfs/pscmanual/11pscaurcurrent.pdf</w:t>
        </w:r>
      </w:hyperlink>
      <w:r w:rsidR="00533935" w:rsidRPr="00CD328D">
        <w:rPr>
          <w:sz w:val="21"/>
          <w:szCs w:val="21"/>
        </w:rPr>
        <w:t xml:space="preserve"> </w:t>
      </w:r>
    </w:p>
    <w:p w14:paraId="6BE359CF" w14:textId="49B570B6" w:rsidR="008340F2" w:rsidRPr="00CD328D" w:rsidRDefault="008340F2" w:rsidP="00B468D7">
      <w:pPr>
        <w:pStyle w:val="NoSpacing"/>
        <w:spacing w:line="360" w:lineRule="auto"/>
        <w:rPr>
          <w:sz w:val="21"/>
          <w:szCs w:val="21"/>
        </w:rPr>
      </w:pPr>
      <w:r w:rsidRPr="00CD328D">
        <w:rPr>
          <w:sz w:val="21"/>
          <w:szCs w:val="21"/>
        </w:rPr>
        <w:t>Annual</w:t>
      </w:r>
      <w:r w:rsidR="00533935" w:rsidRPr="00CD328D">
        <w:rPr>
          <w:sz w:val="21"/>
          <w:szCs w:val="21"/>
        </w:rPr>
        <w:t xml:space="preserve"> AU Option</w:t>
      </w:r>
      <w:r w:rsidRPr="00CD328D">
        <w:rPr>
          <w:sz w:val="21"/>
          <w:szCs w:val="21"/>
        </w:rPr>
        <w:t xml:space="preserve"> Validation Protocol</w:t>
      </w:r>
      <w:r w:rsidR="00533935" w:rsidRPr="00CD328D">
        <w:rPr>
          <w:sz w:val="21"/>
          <w:szCs w:val="21"/>
        </w:rPr>
        <w:t xml:space="preserve">: </w:t>
      </w:r>
      <w:hyperlink r:id="rId36" w:history="1">
        <w:r w:rsidR="00533935" w:rsidRPr="00CD328D">
          <w:rPr>
            <w:rStyle w:val="Hyperlink"/>
            <w:sz w:val="21"/>
            <w:szCs w:val="21"/>
          </w:rPr>
          <w:t>https://www.cdc.gov/nhsn/pdfs/ps-analysis-resources/aur/annual-au-data-validation-508.pdf</w:t>
        </w:r>
      </w:hyperlink>
      <w:r w:rsidR="00533935" w:rsidRPr="00CD328D">
        <w:rPr>
          <w:sz w:val="21"/>
          <w:szCs w:val="21"/>
        </w:rPr>
        <w:t xml:space="preserve"> </w:t>
      </w:r>
    </w:p>
    <w:p w14:paraId="5A257104" w14:textId="37E39AE9" w:rsidR="0062330D" w:rsidRDefault="0062330D" w:rsidP="00B468D7">
      <w:pPr>
        <w:pStyle w:val="NoSpacing"/>
        <w:spacing w:line="360" w:lineRule="auto"/>
        <w:rPr>
          <w:sz w:val="21"/>
          <w:szCs w:val="21"/>
        </w:rPr>
      </w:pPr>
      <w:r>
        <w:rPr>
          <w:sz w:val="21"/>
          <w:szCs w:val="21"/>
        </w:rPr>
        <w:t xml:space="preserve">AR Option Data Validation Protocol: </w:t>
      </w:r>
      <w:hyperlink r:id="rId37" w:history="1">
        <w:r w:rsidRPr="00771EB3">
          <w:rPr>
            <w:rStyle w:val="Hyperlink"/>
            <w:sz w:val="21"/>
            <w:szCs w:val="21"/>
          </w:rPr>
          <w:t>https://www.cdc.gov/nhsn/pdfs/ps-analysis-resources/aur/ar-validation-508.pdf</w:t>
        </w:r>
      </w:hyperlink>
      <w:r>
        <w:rPr>
          <w:sz w:val="21"/>
          <w:szCs w:val="21"/>
        </w:rPr>
        <w:t xml:space="preserve"> </w:t>
      </w:r>
    </w:p>
    <w:p w14:paraId="50B1DEA4" w14:textId="63C365CE" w:rsidR="005464A4" w:rsidRPr="00CD328D" w:rsidRDefault="005464A4" w:rsidP="00B468D7">
      <w:pPr>
        <w:pStyle w:val="NoSpacing"/>
        <w:spacing w:line="360" w:lineRule="auto"/>
        <w:rPr>
          <w:sz w:val="21"/>
          <w:szCs w:val="21"/>
        </w:rPr>
      </w:pPr>
      <w:r w:rsidRPr="00CD328D">
        <w:rPr>
          <w:sz w:val="21"/>
          <w:szCs w:val="21"/>
        </w:rPr>
        <w:t xml:space="preserve">NHSN Locations Chapter: </w:t>
      </w:r>
      <w:hyperlink r:id="rId38" w:history="1">
        <w:r w:rsidRPr="00CD328D">
          <w:rPr>
            <w:rStyle w:val="Hyperlink"/>
            <w:sz w:val="21"/>
            <w:szCs w:val="21"/>
          </w:rPr>
          <w:t>https://www.cdc.gov/nhsn/pdfs/pscmanual/15locationsdescriptions_current.pdf</w:t>
        </w:r>
      </w:hyperlink>
      <w:r w:rsidRPr="00CD328D">
        <w:rPr>
          <w:sz w:val="21"/>
          <w:szCs w:val="21"/>
        </w:rPr>
        <w:t xml:space="preserve"> </w:t>
      </w:r>
    </w:p>
    <w:p w14:paraId="4837E279" w14:textId="4A219167" w:rsidR="003E5897" w:rsidRPr="00CD328D" w:rsidRDefault="003E5897" w:rsidP="00B468D7">
      <w:pPr>
        <w:pStyle w:val="NoSpacing"/>
        <w:spacing w:line="360" w:lineRule="auto"/>
        <w:rPr>
          <w:sz w:val="21"/>
          <w:szCs w:val="21"/>
        </w:rPr>
      </w:pPr>
      <w:r w:rsidRPr="00CD328D">
        <w:rPr>
          <w:sz w:val="21"/>
          <w:szCs w:val="21"/>
        </w:rPr>
        <w:t xml:space="preserve">AU Option FAQs: </w:t>
      </w:r>
      <w:hyperlink r:id="rId39" w:history="1">
        <w:r w:rsidRPr="00CD328D">
          <w:rPr>
            <w:rStyle w:val="Hyperlink"/>
            <w:sz w:val="21"/>
            <w:szCs w:val="21"/>
          </w:rPr>
          <w:t>https://www.cdc.gov/nhsn/faqs/faq-au.html</w:t>
        </w:r>
      </w:hyperlink>
    </w:p>
    <w:p w14:paraId="176E6AE8" w14:textId="1AEC0B46" w:rsidR="002537FA" w:rsidRPr="00CD328D" w:rsidRDefault="00A90739" w:rsidP="00B468D7">
      <w:pPr>
        <w:pStyle w:val="NoSpacing"/>
        <w:spacing w:line="360" w:lineRule="auto"/>
        <w:rPr>
          <w:rStyle w:val="Hyperlink"/>
          <w:sz w:val="21"/>
          <w:szCs w:val="21"/>
        </w:rPr>
      </w:pPr>
      <w:r w:rsidRPr="00CD328D">
        <w:rPr>
          <w:sz w:val="21"/>
          <w:szCs w:val="21"/>
        </w:rPr>
        <w:t>Generating Data Sets</w:t>
      </w:r>
      <w:r w:rsidR="002537FA" w:rsidRPr="00CD328D">
        <w:rPr>
          <w:sz w:val="21"/>
          <w:szCs w:val="21"/>
        </w:rPr>
        <w:t xml:space="preserve">: </w:t>
      </w:r>
      <w:hyperlink r:id="rId40" w:history="1">
        <w:r w:rsidR="002537FA" w:rsidRPr="00CD328D">
          <w:rPr>
            <w:rStyle w:val="Hyperlink"/>
            <w:sz w:val="21"/>
            <w:szCs w:val="21"/>
          </w:rPr>
          <w:t>https://www.cdc.gov/nhsn/pdfs/ps-analysis-resources/generatedatasets-psc-508.pdf</w:t>
        </w:r>
      </w:hyperlink>
      <w:r w:rsidR="002537FA" w:rsidRPr="00CD328D">
        <w:rPr>
          <w:rStyle w:val="Hyperlink"/>
          <w:sz w:val="21"/>
          <w:szCs w:val="21"/>
        </w:rPr>
        <w:t xml:space="preserve"> </w:t>
      </w:r>
    </w:p>
    <w:p w14:paraId="49D3CFB4" w14:textId="2281935D" w:rsidR="002537FA" w:rsidRPr="00CD328D" w:rsidRDefault="000963CE" w:rsidP="00B468D7">
      <w:pPr>
        <w:pStyle w:val="NoSpacing"/>
        <w:spacing w:line="360" w:lineRule="auto"/>
        <w:rPr>
          <w:sz w:val="21"/>
          <w:szCs w:val="21"/>
        </w:rPr>
      </w:pPr>
      <w:r w:rsidRPr="00CD328D">
        <w:rPr>
          <w:rStyle w:val="Hyperlink"/>
          <w:color w:val="auto"/>
          <w:sz w:val="21"/>
          <w:szCs w:val="21"/>
          <w:u w:val="none"/>
        </w:rPr>
        <w:t xml:space="preserve">AU Data Quality Line List: </w:t>
      </w:r>
      <w:hyperlink r:id="rId41" w:history="1">
        <w:r w:rsidR="002537FA" w:rsidRPr="00CD328D">
          <w:rPr>
            <w:rStyle w:val="Hyperlink"/>
            <w:sz w:val="21"/>
            <w:szCs w:val="21"/>
          </w:rPr>
          <w:t>https://www.cdc.gov/nhsn/pdfs/ps-analysis-resources/aur/au-dataquality-linelist-508.pdf</w:t>
        </w:r>
      </w:hyperlink>
      <w:r w:rsidR="002537FA" w:rsidRPr="00CD328D">
        <w:rPr>
          <w:sz w:val="21"/>
          <w:szCs w:val="21"/>
        </w:rPr>
        <w:t xml:space="preserve"> </w:t>
      </w:r>
    </w:p>
    <w:p w14:paraId="497CF9BB" w14:textId="3C550BBD" w:rsidR="00D46DA6" w:rsidRPr="000963CE" w:rsidRDefault="00D46DA6" w:rsidP="00B468D7">
      <w:pPr>
        <w:pStyle w:val="NoSpacing"/>
        <w:spacing w:line="360" w:lineRule="auto"/>
        <w:rPr>
          <w:color w:val="0000FF" w:themeColor="hyperlink"/>
          <w:u w:val="single"/>
        </w:rPr>
      </w:pPr>
      <w:r w:rsidRPr="00CD328D">
        <w:rPr>
          <w:sz w:val="21"/>
          <w:szCs w:val="21"/>
        </w:rPr>
        <w:t>AU</w:t>
      </w:r>
      <w:r w:rsidR="00A90739" w:rsidRPr="00CD328D">
        <w:rPr>
          <w:sz w:val="21"/>
          <w:szCs w:val="21"/>
        </w:rPr>
        <w:t xml:space="preserve"> Option</w:t>
      </w:r>
      <w:r w:rsidRPr="00CD328D">
        <w:rPr>
          <w:sz w:val="21"/>
          <w:szCs w:val="21"/>
        </w:rPr>
        <w:t xml:space="preserve"> Line List: </w:t>
      </w:r>
      <w:hyperlink r:id="rId42" w:history="1">
        <w:r w:rsidRPr="00CD328D">
          <w:rPr>
            <w:rStyle w:val="Hyperlink"/>
            <w:sz w:val="21"/>
            <w:szCs w:val="21"/>
          </w:rPr>
          <w:t>https://www.cdc.gov/nhsn/pdfs/ps-analysis-resources/aur/AU-QRG-LineList.pdf</w:t>
        </w:r>
      </w:hyperlink>
      <w:r>
        <w:t xml:space="preserve"> </w:t>
      </w:r>
    </w:p>
    <w:sectPr w:rsidR="00D46DA6" w:rsidRPr="000963CE" w:rsidSect="003D38E6">
      <w:pgSz w:w="12240" w:h="15840" w:code="1"/>
      <w:pgMar w:top="54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51E69" w14:textId="77777777" w:rsidR="009F042A" w:rsidRDefault="009F042A" w:rsidP="008B5D54">
      <w:pPr>
        <w:spacing w:after="0" w:line="240" w:lineRule="auto"/>
      </w:pPr>
      <w:r>
        <w:separator/>
      </w:r>
    </w:p>
  </w:endnote>
  <w:endnote w:type="continuationSeparator" w:id="0">
    <w:p w14:paraId="5F651E6A" w14:textId="77777777" w:rsidR="009F042A" w:rsidRDefault="009F042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A34D0" w14:textId="77777777" w:rsidR="00C02A3A" w:rsidRDefault="00C0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FD58D" w14:textId="60D9F959" w:rsidR="009F042A" w:rsidRDefault="00C02A3A">
    <w:pPr>
      <w:pStyle w:val="Footer"/>
      <w:jc w:val="right"/>
    </w:pPr>
    <w:sdt>
      <w:sdtPr>
        <w:id w:val="-841150005"/>
        <w:docPartObj>
          <w:docPartGallery w:val="Page Numbers (Bottom of Page)"/>
          <w:docPartUnique/>
        </w:docPartObj>
      </w:sdtPr>
      <w:sdtEndPr>
        <w:rPr>
          <w:noProof/>
        </w:rPr>
      </w:sdtEndPr>
      <w:sdtContent>
        <w:r w:rsidR="009F042A">
          <w:fldChar w:fldCharType="begin"/>
        </w:r>
        <w:r w:rsidR="009F042A">
          <w:instrText xml:space="preserve"> PAGE   \* MERGEFORMAT </w:instrText>
        </w:r>
        <w:r w:rsidR="009F042A">
          <w:fldChar w:fldCharType="separate"/>
        </w:r>
        <w:r w:rsidR="009F042A">
          <w:rPr>
            <w:noProof/>
          </w:rPr>
          <w:t>2</w:t>
        </w:r>
        <w:r w:rsidR="009F042A">
          <w:rPr>
            <w:noProof/>
          </w:rPr>
          <w:fldChar w:fldCharType="end"/>
        </w:r>
      </w:sdtContent>
    </w:sdt>
  </w:p>
  <w:p w14:paraId="5F651E6B" w14:textId="253FA2A0" w:rsidR="009F042A" w:rsidRPr="001C77A9" w:rsidRDefault="009F042A" w:rsidP="001C77A9">
    <w:r>
      <w:rPr>
        <w:noProof/>
      </w:rPr>
      <mc:AlternateContent>
        <mc:Choice Requires="wps">
          <w:drawing>
            <wp:anchor distT="0" distB="0" distL="114300" distR="114300" simplePos="0" relativeHeight="251659264" behindDoc="0" locked="0" layoutInCell="1" allowOverlap="1" wp14:anchorId="71DA656F" wp14:editId="154E9F0E">
              <wp:simplePos x="0" y="0"/>
              <wp:positionH relativeFrom="margin">
                <wp:align>left</wp:align>
              </wp:positionH>
              <wp:positionV relativeFrom="paragraph">
                <wp:posOffset>27636</wp:posOffset>
              </wp:positionV>
              <wp:extent cx="6953693" cy="138223"/>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693" cy="138223"/>
                      </a:xfrm>
                      <a:prstGeom prst="rect">
                        <a:avLst/>
                      </a:prstGeom>
                      <a:solidFill>
                        <a:srgbClr val="D953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ECC9E" id="Rectangle 2" o:spid="_x0000_s1026" style="position:absolute;margin-left:0;margin-top:2.2pt;width:547.55pt;height:10.9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" fillcolor="#d9531e" stroked="f" strokeweight="2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898140"/>
      <w:docPartObj>
        <w:docPartGallery w:val="Page Numbers (Bottom of Page)"/>
        <w:docPartUnique/>
      </w:docPartObj>
    </w:sdtPr>
    <w:sdtEndPr>
      <w:rPr>
        <w:noProof/>
      </w:rPr>
    </w:sdtEndPr>
    <w:sdtContent>
      <w:p w14:paraId="515F649A" w14:textId="3ACBDA6C" w:rsidR="009F042A" w:rsidRDefault="009F04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3C8367" w14:textId="359E0E99" w:rsidR="009F042A" w:rsidRDefault="009F042A">
    <w:pPr>
      <w:pStyle w:val="Footer"/>
    </w:pPr>
    <w:r>
      <w:rPr>
        <w:noProof/>
      </w:rPr>
      <w:drawing>
        <wp:inline distT="0" distB="0" distL="0" distR="0" wp14:anchorId="0BA2D063" wp14:editId="0D9C6AD9">
          <wp:extent cx="6858000" cy="795980"/>
          <wp:effectExtent l="0" t="0" r="0" b="444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ency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79598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737379"/>
      <w:docPartObj>
        <w:docPartGallery w:val="Page Numbers (Bottom of Page)"/>
        <w:docPartUnique/>
      </w:docPartObj>
    </w:sdtPr>
    <w:sdtEndPr>
      <w:rPr>
        <w:noProof/>
      </w:rPr>
    </w:sdtEndPr>
    <w:sdtContent>
      <w:p w14:paraId="043952D5" w14:textId="77777777" w:rsidR="009F042A" w:rsidRDefault="009F04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2B620A" w14:textId="77777777" w:rsidR="009F042A" w:rsidRDefault="009F042A">
    <w:pPr>
      <w:pStyle w:val="Footer"/>
    </w:pPr>
    <w:r>
      <w:rPr>
        <w:noProof/>
      </w:rPr>
      <mc:AlternateContent>
        <mc:Choice Requires="wps">
          <w:drawing>
            <wp:anchor distT="0" distB="0" distL="114300" distR="114300" simplePos="0" relativeHeight="251663360" behindDoc="0" locked="0" layoutInCell="1" allowOverlap="1" wp14:anchorId="695CD6FF" wp14:editId="29B0EBC6">
              <wp:simplePos x="0" y="0"/>
              <wp:positionH relativeFrom="margin">
                <wp:posOffset>0</wp:posOffset>
              </wp:positionH>
              <wp:positionV relativeFrom="paragraph">
                <wp:posOffset>-635</wp:posOffset>
              </wp:positionV>
              <wp:extent cx="6953693" cy="138223"/>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693" cy="138223"/>
                      </a:xfrm>
                      <a:prstGeom prst="rect">
                        <a:avLst/>
                      </a:prstGeom>
                      <a:solidFill>
                        <a:srgbClr val="D9531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8E144" id="Rectangle 3" o:spid="_x0000_s1026" style="position:absolute;margin-left:0;margin-top:-.05pt;width:547.55pt;height:10.9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" fillcolor="#d9531e" stroked="f" strokeweight="2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51E67" w14:textId="77777777" w:rsidR="009F042A" w:rsidRDefault="009F042A" w:rsidP="008B5D54">
      <w:pPr>
        <w:spacing w:after="0" w:line="240" w:lineRule="auto"/>
      </w:pPr>
      <w:r>
        <w:separator/>
      </w:r>
    </w:p>
  </w:footnote>
  <w:footnote w:type="continuationSeparator" w:id="0">
    <w:p w14:paraId="5F651E68" w14:textId="77777777" w:rsidR="009F042A" w:rsidRDefault="009F042A"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CFEBA" w14:textId="77777777" w:rsidR="00C02A3A" w:rsidRDefault="00C02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9B9AB" w14:textId="77777777" w:rsidR="00C02A3A" w:rsidRDefault="00C02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9DBF" w14:textId="77777777" w:rsidR="00C02A3A" w:rsidRDefault="00C02A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64D25" w14:textId="7C2F675D" w:rsidR="00C02A3A" w:rsidRPr="00C02A3A" w:rsidRDefault="00C02A3A" w:rsidP="00C02A3A">
    <w:pPr>
      <w:pStyle w:val="Header"/>
      <w:jc w:val="right"/>
    </w:pPr>
    <w:r>
      <w:t>Updated February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275B"/>
    <w:multiLevelType w:val="hybridMultilevel"/>
    <w:tmpl w:val="80B62A66"/>
    <w:lvl w:ilvl="0" w:tplc="2F46E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CE4"/>
    <w:multiLevelType w:val="hybridMultilevel"/>
    <w:tmpl w:val="2918F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02162"/>
    <w:multiLevelType w:val="hybridMultilevel"/>
    <w:tmpl w:val="89A2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A1BFD"/>
    <w:multiLevelType w:val="hybridMultilevel"/>
    <w:tmpl w:val="C5A01114"/>
    <w:lvl w:ilvl="0" w:tplc="1BD28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21F1F"/>
    <w:multiLevelType w:val="hybridMultilevel"/>
    <w:tmpl w:val="67909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E7906"/>
    <w:multiLevelType w:val="hybridMultilevel"/>
    <w:tmpl w:val="ADEE1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16F72"/>
    <w:multiLevelType w:val="hybridMultilevel"/>
    <w:tmpl w:val="A2621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0790E"/>
    <w:multiLevelType w:val="hybridMultilevel"/>
    <w:tmpl w:val="EA60E8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70A58"/>
    <w:multiLevelType w:val="hybridMultilevel"/>
    <w:tmpl w:val="A8B82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429F9"/>
    <w:multiLevelType w:val="hybridMultilevel"/>
    <w:tmpl w:val="E76A4BF0"/>
    <w:lvl w:ilvl="0" w:tplc="8F509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0607A"/>
    <w:multiLevelType w:val="hybridMultilevel"/>
    <w:tmpl w:val="BB3A1C6C"/>
    <w:lvl w:ilvl="0" w:tplc="FA9E27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D110A"/>
    <w:multiLevelType w:val="hybridMultilevel"/>
    <w:tmpl w:val="F0582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06454"/>
    <w:multiLevelType w:val="hybridMultilevel"/>
    <w:tmpl w:val="FBDCD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14A76"/>
    <w:multiLevelType w:val="hybridMultilevel"/>
    <w:tmpl w:val="562A2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F0820"/>
    <w:multiLevelType w:val="hybridMultilevel"/>
    <w:tmpl w:val="81C01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D179E"/>
    <w:multiLevelType w:val="hybridMultilevel"/>
    <w:tmpl w:val="6150B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46C2E"/>
    <w:multiLevelType w:val="hybridMultilevel"/>
    <w:tmpl w:val="C44AF78A"/>
    <w:lvl w:ilvl="0" w:tplc="29F05F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94B0D"/>
    <w:multiLevelType w:val="hybridMultilevel"/>
    <w:tmpl w:val="9C2E0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72A09"/>
    <w:multiLevelType w:val="hybridMultilevel"/>
    <w:tmpl w:val="31E0C9AA"/>
    <w:lvl w:ilvl="0" w:tplc="44F26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C033C"/>
    <w:multiLevelType w:val="hybridMultilevel"/>
    <w:tmpl w:val="C5C472F6"/>
    <w:lvl w:ilvl="0" w:tplc="B6742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7361A"/>
    <w:multiLevelType w:val="hybridMultilevel"/>
    <w:tmpl w:val="AA32D1C6"/>
    <w:lvl w:ilvl="0" w:tplc="59D01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17"/>
  </w:num>
  <w:num w:numId="5">
    <w:abstractNumId w:val="8"/>
  </w:num>
  <w:num w:numId="6">
    <w:abstractNumId w:val="6"/>
  </w:num>
  <w:num w:numId="7">
    <w:abstractNumId w:val="14"/>
  </w:num>
  <w:num w:numId="8">
    <w:abstractNumId w:val="3"/>
  </w:num>
  <w:num w:numId="9">
    <w:abstractNumId w:val="7"/>
  </w:num>
  <w:num w:numId="10">
    <w:abstractNumId w:val="15"/>
  </w:num>
  <w:num w:numId="11">
    <w:abstractNumId w:val="9"/>
  </w:num>
  <w:num w:numId="12">
    <w:abstractNumId w:val="0"/>
  </w:num>
  <w:num w:numId="13">
    <w:abstractNumId w:val="2"/>
  </w:num>
  <w:num w:numId="14">
    <w:abstractNumId w:val="20"/>
  </w:num>
  <w:num w:numId="15">
    <w:abstractNumId w:val="16"/>
  </w:num>
  <w:num w:numId="16">
    <w:abstractNumId w:val="18"/>
  </w:num>
  <w:num w:numId="17">
    <w:abstractNumId w:val="1"/>
  </w:num>
  <w:num w:numId="18">
    <w:abstractNumId w:val="4"/>
  </w:num>
  <w:num w:numId="19">
    <w:abstractNumId w:val="13"/>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efaultTabStop w:val="720"/>
  <w:drawingGridHorizontalSpacing w:val="11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E3"/>
    <w:rsid w:val="00011C03"/>
    <w:rsid w:val="00035E2B"/>
    <w:rsid w:val="000538D7"/>
    <w:rsid w:val="0005437E"/>
    <w:rsid w:val="00083D29"/>
    <w:rsid w:val="00087B3E"/>
    <w:rsid w:val="00087FE4"/>
    <w:rsid w:val="000963CE"/>
    <w:rsid w:val="000B1A45"/>
    <w:rsid w:val="00103DF8"/>
    <w:rsid w:val="00136F2C"/>
    <w:rsid w:val="001539ED"/>
    <w:rsid w:val="00170682"/>
    <w:rsid w:val="00177598"/>
    <w:rsid w:val="001801E2"/>
    <w:rsid w:val="00186851"/>
    <w:rsid w:val="001A3A87"/>
    <w:rsid w:val="001B4BE4"/>
    <w:rsid w:val="001C77A9"/>
    <w:rsid w:val="001F1D12"/>
    <w:rsid w:val="001F360A"/>
    <w:rsid w:val="00211B39"/>
    <w:rsid w:val="002139F3"/>
    <w:rsid w:val="00215EA4"/>
    <w:rsid w:val="002537FA"/>
    <w:rsid w:val="00254674"/>
    <w:rsid w:val="0026439E"/>
    <w:rsid w:val="00275B33"/>
    <w:rsid w:val="00283028"/>
    <w:rsid w:val="0028647E"/>
    <w:rsid w:val="00292C80"/>
    <w:rsid w:val="0029361B"/>
    <w:rsid w:val="0029457B"/>
    <w:rsid w:val="002A14B8"/>
    <w:rsid w:val="002B2508"/>
    <w:rsid w:val="002C73EE"/>
    <w:rsid w:val="002D2C33"/>
    <w:rsid w:val="002D2D40"/>
    <w:rsid w:val="002D62E0"/>
    <w:rsid w:val="002F1355"/>
    <w:rsid w:val="002F2B22"/>
    <w:rsid w:val="00301CC9"/>
    <w:rsid w:val="00331CBA"/>
    <w:rsid w:val="0036730B"/>
    <w:rsid w:val="0038510A"/>
    <w:rsid w:val="00385293"/>
    <w:rsid w:val="003A0F37"/>
    <w:rsid w:val="003B0088"/>
    <w:rsid w:val="003B39DE"/>
    <w:rsid w:val="003B7507"/>
    <w:rsid w:val="003C4124"/>
    <w:rsid w:val="003D38E6"/>
    <w:rsid w:val="003E5897"/>
    <w:rsid w:val="00400C1F"/>
    <w:rsid w:val="004012C8"/>
    <w:rsid w:val="00432044"/>
    <w:rsid w:val="00436B3C"/>
    <w:rsid w:val="00445B9F"/>
    <w:rsid w:val="00476FDB"/>
    <w:rsid w:val="00487BEA"/>
    <w:rsid w:val="004922BB"/>
    <w:rsid w:val="004A2F72"/>
    <w:rsid w:val="004A6F5A"/>
    <w:rsid w:val="004C57B8"/>
    <w:rsid w:val="004D2B42"/>
    <w:rsid w:val="00503721"/>
    <w:rsid w:val="00505CB2"/>
    <w:rsid w:val="00532CF8"/>
    <w:rsid w:val="00533935"/>
    <w:rsid w:val="00536901"/>
    <w:rsid w:val="005457F8"/>
    <w:rsid w:val="00545F67"/>
    <w:rsid w:val="005464A4"/>
    <w:rsid w:val="005530BA"/>
    <w:rsid w:val="005607D0"/>
    <w:rsid w:val="00572EA9"/>
    <w:rsid w:val="00585676"/>
    <w:rsid w:val="005A1E77"/>
    <w:rsid w:val="005B4DCE"/>
    <w:rsid w:val="005C0DED"/>
    <w:rsid w:val="005C2C37"/>
    <w:rsid w:val="005D2EE4"/>
    <w:rsid w:val="005D68E4"/>
    <w:rsid w:val="005F043A"/>
    <w:rsid w:val="00600A79"/>
    <w:rsid w:val="0062330D"/>
    <w:rsid w:val="006527C4"/>
    <w:rsid w:val="0065281C"/>
    <w:rsid w:val="0066036F"/>
    <w:rsid w:val="00667B89"/>
    <w:rsid w:val="006740DC"/>
    <w:rsid w:val="0067471A"/>
    <w:rsid w:val="0067592C"/>
    <w:rsid w:val="00697C02"/>
    <w:rsid w:val="006C6578"/>
    <w:rsid w:val="006F2638"/>
    <w:rsid w:val="0070410D"/>
    <w:rsid w:val="0071118F"/>
    <w:rsid w:val="00726907"/>
    <w:rsid w:val="00734FE7"/>
    <w:rsid w:val="007367C3"/>
    <w:rsid w:val="00756C72"/>
    <w:rsid w:val="00763556"/>
    <w:rsid w:val="00780FE8"/>
    <w:rsid w:val="0078241F"/>
    <w:rsid w:val="007854E8"/>
    <w:rsid w:val="0079710C"/>
    <w:rsid w:val="007A15F8"/>
    <w:rsid w:val="007D48E2"/>
    <w:rsid w:val="007F05D8"/>
    <w:rsid w:val="008340F2"/>
    <w:rsid w:val="00842D0F"/>
    <w:rsid w:val="00854033"/>
    <w:rsid w:val="008548D8"/>
    <w:rsid w:val="00873E38"/>
    <w:rsid w:val="008774BD"/>
    <w:rsid w:val="0088511C"/>
    <w:rsid w:val="008A0F57"/>
    <w:rsid w:val="008A3EC8"/>
    <w:rsid w:val="008B3D38"/>
    <w:rsid w:val="008B5D54"/>
    <w:rsid w:val="008E1F0B"/>
    <w:rsid w:val="008F5740"/>
    <w:rsid w:val="00906934"/>
    <w:rsid w:val="009075CE"/>
    <w:rsid w:val="00912684"/>
    <w:rsid w:val="00921443"/>
    <w:rsid w:val="00930981"/>
    <w:rsid w:val="00933AA7"/>
    <w:rsid w:val="00933DB6"/>
    <w:rsid w:val="00953450"/>
    <w:rsid w:val="009542D3"/>
    <w:rsid w:val="00975487"/>
    <w:rsid w:val="009846BC"/>
    <w:rsid w:val="009A59D0"/>
    <w:rsid w:val="009E582D"/>
    <w:rsid w:val="009F042A"/>
    <w:rsid w:val="009F1676"/>
    <w:rsid w:val="009F236D"/>
    <w:rsid w:val="00A25122"/>
    <w:rsid w:val="00A255BA"/>
    <w:rsid w:val="00A318FB"/>
    <w:rsid w:val="00A32A64"/>
    <w:rsid w:val="00A44AA0"/>
    <w:rsid w:val="00A55F20"/>
    <w:rsid w:val="00A827EA"/>
    <w:rsid w:val="00A90739"/>
    <w:rsid w:val="00AA0279"/>
    <w:rsid w:val="00AA6010"/>
    <w:rsid w:val="00AB4074"/>
    <w:rsid w:val="00AC48F4"/>
    <w:rsid w:val="00AC7111"/>
    <w:rsid w:val="00AC7D5A"/>
    <w:rsid w:val="00AD0A40"/>
    <w:rsid w:val="00AE46DF"/>
    <w:rsid w:val="00AF0DE8"/>
    <w:rsid w:val="00AF476B"/>
    <w:rsid w:val="00AF4F1E"/>
    <w:rsid w:val="00AF52D5"/>
    <w:rsid w:val="00B4526A"/>
    <w:rsid w:val="00B468D7"/>
    <w:rsid w:val="00B55735"/>
    <w:rsid w:val="00B608AC"/>
    <w:rsid w:val="00B70985"/>
    <w:rsid w:val="00B757B9"/>
    <w:rsid w:val="00B838A9"/>
    <w:rsid w:val="00BA4EBB"/>
    <w:rsid w:val="00BB00A5"/>
    <w:rsid w:val="00BB62C7"/>
    <w:rsid w:val="00BC1B7E"/>
    <w:rsid w:val="00BC6EB9"/>
    <w:rsid w:val="00C02A3A"/>
    <w:rsid w:val="00C04DA6"/>
    <w:rsid w:val="00C11CE3"/>
    <w:rsid w:val="00C12B0A"/>
    <w:rsid w:val="00C24C61"/>
    <w:rsid w:val="00C3077D"/>
    <w:rsid w:val="00C56BDF"/>
    <w:rsid w:val="00C65452"/>
    <w:rsid w:val="00C741B5"/>
    <w:rsid w:val="00CB5167"/>
    <w:rsid w:val="00CD097F"/>
    <w:rsid w:val="00CD328D"/>
    <w:rsid w:val="00CF6697"/>
    <w:rsid w:val="00D13B17"/>
    <w:rsid w:val="00D22BB2"/>
    <w:rsid w:val="00D463D5"/>
    <w:rsid w:val="00D46DA6"/>
    <w:rsid w:val="00D50590"/>
    <w:rsid w:val="00D652EC"/>
    <w:rsid w:val="00D7319E"/>
    <w:rsid w:val="00D734CF"/>
    <w:rsid w:val="00D82D19"/>
    <w:rsid w:val="00D84836"/>
    <w:rsid w:val="00D92A7B"/>
    <w:rsid w:val="00DA038D"/>
    <w:rsid w:val="00DC0428"/>
    <w:rsid w:val="00DC57CC"/>
    <w:rsid w:val="00DF1129"/>
    <w:rsid w:val="00E20C9D"/>
    <w:rsid w:val="00E246CB"/>
    <w:rsid w:val="00E31401"/>
    <w:rsid w:val="00E3622B"/>
    <w:rsid w:val="00E46F77"/>
    <w:rsid w:val="00E51D33"/>
    <w:rsid w:val="00E7261C"/>
    <w:rsid w:val="00EA4047"/>
    <w:rsid w:val="00EA6E55"/>
    <w:rsid w:val="00EB2BC0"/>
    <w:rsid w:val="00EB646F"/>
    <w:rsid w:val="00EF31B1"/>
    <w:rsid w:val="00F26FE9"/>
    <w:rsid w:val="00F272B3"/>
    <w:rsid w:val="00F51065"/>
    <w:rsid w:val="00F561DF"/>
    <w:rsid w:val="00F60FA4"/>
    <w:rsid w:val="00F61D38"/>
    <w:rsid w:val="00F841F6"/>
    <w:rsid w:val="00FC7758"/>
    <w:rsid w:val="00FE034E"/>
    <w:rsid w:val="00FF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F651E53"/>
  <w15:chartTrackingRefBased/>
  <w15:docId w15:val="{88236A64-E236-4316-B8A8-C50A17BE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58"/>
    <w:rPr>
      <w:sz w:val="21"/>
    </w:rPr>
  </w:style>
  <w:style w:type="paragraph" w:styleId="Heading1">
    <w:name w:val="heading 1"/>
    <w:basedOn w:val="Normal"/>
    <w:next w:val="Normal"/>
    <w:link w:val="Heading1Char"/>
    <w:uiPriority w:val="9"/>
    <w:qFormat/>
    <w:rsid w:val="008E1F0B"/>
    <w:pPr>
      <w:keepNext/>
      <w:keepLines/>
      <w:spacing w:before="360" w:after="0"/>
      <w:outlineLvl w:val="0"/>
    </w:pPr>
    <w:rPr>
      <w:rFonts w:eastAsiaTheme="majorEastAsia" w:cstheme="majorBidi"/>
      <w:b/>
      <w:noProof/>
      <w:color w:val="000000" w:themeColor="text1"/>
      <w:sz w:val="52"/>
      <w:szCs w:val="56"/>
    </w:rPr>
  </w:style>
  <w:style w:type="paragraph" w:styleId="Heading2">
    <w:name w:val="heading 2"/>
    <w:basedOn w:val="Normal"/>
    <w:next w:val="Normal"/>
    <w:link w:val="Heading2Char"/>
    <w:uiPriority w:val="9"/>
    <w:unhideWhenUsed/>
    <w:qFormat/>
    <w:rsid w:val="00D13B17"/>
    <w:pPr>
      <w:keepNext/>
      <w:keepLines/>
      <w:spacing w:after="0"/>
      <w:outlineLvl w:val="1"/>
    </w:pPr>
    <w:rPr>
      <w:rFonts w:eastAsiaTheme="majorEastAsia" w:cstheme="majorBidi"/>
      <w:color w:val="0070C0"/>
      <w:sz w:val="36"/>
      <w:szCs w:val="26"/>
    </w:rPr>
  </w:style>
  <w:style w:type="paragraph" w:styleId="Heading3">
    <w:name w:val="heading 3"/>
    <w:basedOn w:val="Normal"/>
    <w:next w:val="Normal"/>
    <w:link w:val="Heading3Char"/>
    <w:uiPriority w:val="9"/>
    <w:unhideWhenUsed/>
    <w:qFormat/>
    <w:rsid w:val="007854E8"/>
    <w:pPr>
      <w:keepNext/>
      <w:keepLines/>
      <w:spacing w:before="40" w:after="0"/>
      <w:outlineLvl w:val="2"/>
    </w:pPr>
    <w:rPr>
      <w:rFonts w:asciiTheme="majorHAnsi" w:eastAsiaTheme="majorEastAsia" w:hAnsiTheme="majorHAnsi" w:cstheme="majorBidi"/>
      <w:color w:val="243F60" w:themeColor="accent1" w:themeShade="7F"/>
      <w:sz w:val="32"/>
      <w:szCs w:val="24"/>
    </w:rPr>
  </w:style>
  <w:style w:type="paragraph" w:styleId="Heading4">
    <w:name w:val="heading 4"/>
    <w:basedOn w:val="Normal"/>
    <w:next w:val="Normal"/>
    <w:link w:val="Heading4Char"/>
    <w:uiPriority w:val="9"/>
    <w:unhideWhenUsed/>
    <w:qFormat/>
    <w:rsid w:val="00545F67"/>
    <w:pPr>
      <w:keepNext/>
      <w:keepLines/>
      <w:spacing w:before="40" w:after="0"/>
      <w:outlineLvl w:val="3"/>
    </w:pPr>
    <w:rPr>
      <w:rFonts w:eastAsiaTheme="majorEastAsia" w:cstheme="majorBidi"/>
      <w:b/>
      <w:iCs/>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E1F0B"/>
    <w:rPr>
      <w:rFonts w:eastAsiaTheme="majorEastAsia" w:cstheme="majorBidi"/>
      <w:b/>
      <w:noProof/>
      <w:color w:val="000000" w:themeColor="text1"/>
      <w:sz w:val="52"/>
      <w:szCs w:val="56"/>
    </w:rPr>
  </w:style>
  <w:style w:type="character" w:customStyle="1" w:styleId="Heading2Char">
    <w:name w:val="Heading 2 Char"/>
    <w:basedOn w:val="DefaultParagraphFont"/>
    <w:link w:val="Heading2"/>
    <w:uiPriority w:val="9"/>
    <w:rsid w:val="00D13B17"/>
    <w:rPr>
      <w:rFonts w:eastAsiaTheme="majorEastAsia" w:cstheme="majorBidi"/>
      <w:color w:val="0070C0"/>
      <w:sz w:val="36"/>
      <w:szCs w:val="26"/>
    </w:rPr>
  </w:style>
  <w:style w:type="paragraph" w:styleId="Subtitle">
    <w:name w:val="Subtitle"/>
    <w:basedOn w:val="Normal"/>
    <w:next w:val="Normal"/>
    <w:link w:val="SubtitleChar"/>
    <w:uiPriority w:val="11"/>
    <w:qFormat/>
    <w:rsid w:val="002D62E0"/>
    <w:pPr>
      <w:numPr>
        <w:ilvl w:val="1"/>
      </w:numPr>
      <w:spacing w:after="160"/>
    </w:pPr>
    <w:rPr>
      <w:rFonts w:eastAsiaTheme="majorEastAsia"/>
      <w:b/>
      <w:color w:val="5A5A5A" w:themeColor="text1" w:themeTint="A5"/>
      <w:spacing w:val="15"/>
      <w:sz w:val="28"/>
      <w:szCs w:val="28"/>
    </w:rPr>
  </w:style>
  <w:style w:type="character" w:customStyle="1" w:styleId="SubtitleChar">
    <w:name w:val="Subtitle Char"/>
    <w:basedOn w:val="DefaultParagraphFont"/>
    <w:link w:val="Subtitle"/>
    <w:uiPriority w:val="11"/>
    <w:rsid w:val="002D62E0"/>
    <w:rPr>
      <w:rFonts w:eastAsiaTheme="majorEastAsia"/>
      <w:b/>
      <w:color w:val="5A5A5A" w:themeColor="text1" w:themeTint="A5"/>
      <w:spacing w:val="15"/>
      <w:sz w:val="28"/>
      <w:szCs w:val="28"/>
    </w:rPr>
  </w:style>
  <w:style w:type="paragraph" w:styleId="NormalWeb">
    <w:name w:val="Normal (Web)"/>
    <w:basedOn w:val="Normal"/>
    <w:uiPriority w:val="99"/>
    <w:semiHidden/>
    <w:unhideWhenUsed/>
    <w:rsid w:val="0067592C"/>
    <w:pPr>
      <w:spacing w:after="225"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854E8"/>
    <w:rPr>
      <w:rFonts w:asciiTheme="majorHAnsi" w:eastAsiaTheme="majorEastAsia" w:hAnsiTheme="majorHAnsi" w:cstheme="majorBidi"/>
      <w:color w:val="243F60" w:themeColor="accent1" w:themeShade="7F"/>
      <w:sz w:val="32"/>
      <w:szCs w:val="24"/>
    </w:rPr>
  </w:style>
  <w:style w:type="paragraph" w:styleId="BalloonText">
    <w:name w:val="Balloon Text"/>
    <w:basedOn w:val="Normal"/>
    <w:link w:val="BalloonTextChar"/>
    <w:uiPriority w:val="99"/>
    <w:semiHidden/>
    <w:unhideWhenUsed/>
    <w:rsid w:val="00D7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CF"/>
    <w:rPr>
      <w:rFonts w:ascii="Segoe UI" w:hAnsi="Segoe UI" w:cs="Segoe UI"/>
      <w:sz w:val="18"/>
      <w:szCs w:val="18"/>
    </w:rPr>
  </w:style>
  <w:style w:type="character" w:customStyle="1" w:styleId="Heading4Char">
    <w:name w:val="Heading 4 Char"/>
    <w:basedOn w:val="DefaultParagraphFont"/>
    <w:link w:val="Heading4"/>
    <w:uiPriority w:val="9"/>
    <w:rsid w:val="00545F67"/>
    <w:rPr>
      <w:rFonts w:eastAsiaTheme="majorEastAsia" w:cstheme="majorBidi"/>
      <w:b/>
      <w:iCs/>
      <w:color w:val="365F91" w:themeColor="accent1" w:themeShade="BF"/>
    </w:rPr>
  </w:style>
  <w:style w:type="paragraph" w:styleId="Revision">
    <w:name w:val="Revision"/>
    <w:hidden/>
    <w:uiPriority w:val="99"/>
    <w:semiHidden/>
    <w:rsid w:val="00780FE8"/>
    <w:pPr>
      <w:spacing w:after="0" w:line="240" w:lineRule="auto"/>
    </w:pPr>
    <w:rPr>
      <w:sz w:val="21"/>
    </w:rPr>
  </w:style>
  <w:style w:type="table" w:styleId="TableGrid">
    <w:name w:val="Table Grid"/>
    <w:basedOn w:val="TableNormal"/>
    <w:uiPriority w:val="59"/>
    <w:rsid w:val="00600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A79"/>
    <w:rPr>
      <w:color w:val="0000FF" w:themeColor="hyperlink"/>
      <w:u w:val="single"/>
    </w:rPr>
  </w:style>
  <w:style w:type="character" w:styleId="CommentReference">
    <w:name w:val="annotation reference"/>
    <w:basedOn w:val="DefaultParagraphFont"/>
    <w:uiPriority w:val="99"/>
    <w:semiHidden/>
    <w:unhideWhenUsed/>
    <w:rsid w:val="00600A79"/>
    <w:rPr>
      <w:sz w:val="16"/>
      <w:szCs w:val="16"/>
    </w:rPr>
  </w:style>
  <w:style w:type="paragraph" w:styleId="CommentText">
    <w:name w:val="annotation text"/>
    <w:basedOn w:val="Normal"/>
    <w:link w:val="CommentTextChar"/>
    <w:uiPriority w:val="99"/>
    <w:semiHidden/>
    <w:unhideWhenUsed/>
    <w:rsid w:val="00600A79"/>
    <w:pPr>
      <w:spacing w:line="240" w:lineRule="auto"/>
    </w:pPr>
    <w:rPr>
      <w:sz w:val="20"/>
      <w:szCs w:val="20"/>
    </w:rPr>
  </w:style>
  <w:style w:type="character" w:customStyle="1" w:styleId="CommentTextChar">
    <w:name w:val="Comment Text Char"/>
    <w:basedOn w:val="DefaultParagraphFont"/>
    <w:link w:val="CommentText"/>
    <w:uiPriority w:val="99"/>
    <w:semiHidden/>
    <w:rsid w:val="00600A79"/>
    <w:rPr>
      <w:sz w:val="20"/>
      <w:szCs w:val="20"/>
    </w:rPr>
  </w:style>
  <w:style w:type="paragraph" w:styleId="NoSpacing">
    <w:name w:val="No Spacing"/>
    <w:uiPriority w:val="1"/>
    <w:qFormat/>
    <w:rsid w:val="00600A79"/>
    <w:pPr>
      <w:spacing w:after="0" w:line="240" w:lineRule="auto"/>
    </w:pPr>
  </w:style>
  <w:style w:type="paragraph" w:styleId="ListParagraph">
    <w:name w:val="List Paragraph"/>
    <w:basedOn w:val="Normal"/>
    <w:uiPriority w:val="34"/>
    <w:qFormat/>
    <w:rsid w:val="00AF4F1E"/>
    <w:pPr>
      <w:ind w:left="720"/>
      <w:contextualSpacing/>
    </w:pPr>
  </w:style>
  <w:style w:type="character" w:styleId="UnresolvedMention">
    <w:name w:val="Unresolved Mention"/>
    <w:basedOn w:val="DefaultParagraphFont"/>
    <w:uiPriority w:val="99"/>
    <w:semiHidden/>
    <w:unhideWhenUsed/>
    <w:rsid w:val="0029361B"/>
    <w:rPr>
      <w:color w:val="605E5C"/>
      <w:shd w:val="clear" w:color="auto" w:fill="E1DFDD"/>
    </w:rPr>
  </w:style>
  <w:style w:type="character" w:styleId="FollowedHyperlink">
    <w:name w:val="FollowedHyperlink"/>
    <w:basedOn w:val="DefaultParagraphFont"/>
    <w:uiPriority w:val="99"/>
    <w:semiHidden/>
    <w:unhideWhenUsed/>
    <w:rsid w:val="003E589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537FA"/>
    <w:rPr>
      <w:b/>
      <w:bCs/>
    </w:rPr>
  </w:style>
  <w:style w:type="character" w:customStyle="1" w:styleId="CommentSubjectChar">
    <w:name w:val="Comment Subject Char"/>
    <w:basedOn w:val="CommentTextChar"/>
    <w:link w:val="CommentSubject"/>
    <w:uiPriority w:val="99"/>
    <w:semiHidden/>
    <w:rsid w:val="002537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629023">
      <w:bodyDiv w:val="1"/>
      <w:marLeft w:val="0"/>
      <w:marRight w:val="0"/>
      <w:marTop w:val="0"/>
      <w:marBottom w:val="0"/>
      <w:divBdr>
        <w:top w:val="none" w:sz="0" w:space="0" w:color="auto"/>
        <w:left w:val="none" w:sz="0" w:space="0" w:color="auto"/>
        <w:bottom w:val="none" w:sz="0" w:space="0" w:color="auto"/>
        <w:right w:val="none" w:sz="0" w:space="0" w:color="auto"/>
      </w:divBdr>
    </w:div>
    <w:div w:id="62817305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94">
          <w:marLeft w:val="0"/>
          <w:marRight w:val="0"/>
          <w:marTop w:val="0"/>
          <w:marBottom w:val="0"/>
          <w:divBdr>
            <w:top w:val="none" w:sz="0" w:space="0" w:color="auto"/>
            <w:left w:val="none" w:sz="0" w:space="0" w:color="auto"/>
            <w:bottom w:val="none" w:sz="0" w:space="0" w:color="auto"/>
            <w:right w:val="none" w:sz="0" w:space="0" w:color="auto"/>
          </w:divBdr>
          <w:divsChild>
            <w:div w:id="965819873">
              <w:marLeft w:val="0"/>
              <w:marRight w:val="0"/>
              <w:marTop w:val="0"/>
              <w:marBottom w:val="0"/>
              <w:divBdr>
                <w:top w:val="none" w:sz="0" w:space="0" w:color="auto"/>
                <w:left w:val="none" w:sz="0" w:space="0" w:color="auto"/>
                <w:bottom w:val="none" w:sz="0" w:space="0" w:color="auto"/>
                <w:right w:val="none" w:sz="0" w:space="0" w:color="auto"/>
              </w:divBdr>
              <w:divsChild>
                <w:div w:id="71520515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dc.gov/nhsn/faqs/faq-au.html" TargetMode="External"/><Relationship Id="rId39" Type="http://schemas.openxmlformats.org/officeDocument/2006/relationships/hyperlink" Target="https://www.cdc.gov/nhsn/faqs/faq-au.html" TargetMode="External"/><Relationship Id="rId21" Type="http://schemas.openxmlformats.org/officeDocument/2006/relationships/header" Target="header4.xml"/><Relationship Id="rId34" Type="http://schemas.openxmlformats.org/officeDocument/2006/relationships/hyperlink" Target="https://www.cdc.gov/nhsn/faqs/faq-au.html" TargetMode="External"/><Relationship Id="rId42" Type="http://schemas.openxmlformats.org/officeDocument/2006/relationships/hyperlink" Target="https://www.cdc.gov/nhsn/pdfs/ps-analysis-resources/aur/AU-QRG-LineList.pdf" TargetMode="Externa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cdc.gov/nhsn/pdfs/ps-analysis-resources/aur/AU-QRG-LineLis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hsn/pdfs/ps-analysis-resources/aur/ar-validation-508.pdf" TargetMode="External"/><Relationship Id="rId24" Type="http://schemas.openxmlformats.org/officeDocument/2006/relationships/hyperlink" Target="https://www.cdc.gov/nhsn/pdfs/pscmanual/11pscaurcurrent.pdf" TargetMode="External"/><Relationship Id="rId32" Type="http://schemas.openxmlformats.org/officeDocument/2006/relationships/hyperlink" Target="https://www.cdc.gov/nhsn/pdfs/ps-analysis-resources/aur/AU-QRG-LineList.pdf" TargetMode="External"/><Relationship Id="rId37" Type="http://schemas.openxmlformats.org/officeDocument/2006/relationships/hyperlink" Target="https://www.cdc.gov/nhsn/pdfs/ps-analysis-resources/aur/ar-validation-508.pdf" TargetMode="External"/><Relationship Id="rId40" Type="http://schemas.openxmlformats.org/officeDocument/2006/relationships/hyperlink" Target="https://www.cdc.gov/nhsn/pdfs/ps-analysis-resources/generatedatasets-psc-508.pdf"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cdc.gov/nhsn/pdfs/pscmanual/15locationsdescriptions_current.pdf" TargetMode="External"/><Relationship Id="rId28" Type="http://schemas.openxmlformats.org/officeDocument/2006/relationships/hyperlink" Target="https://www.cdc.gov/nhsn/pdfs/ps-analysis-resources/aur/au-dataquality-linelist-508.pdf" TargetMode="External"/><Relationship Id="rId36" Type="http://schemas.openxmlformats.org/officeDocument/2006/relationships/hyperlink" Target="https://www.cdc.gov/nhsn/pdfs/ps-analysis-resources/aur/annual-au-data-validation-508.pdf" TargetMode="External"/><Relationship Id="rId10" Type="http://schemas.openxmlformats.org/officeDocument/2006/relationships/hyperlink" Target="https://www.cdc.gov/nhsn/pdfs/ps-analysis-resources/aur/annual-au-data-validation-508.pdf" TargetMode="External"/><Relationship Id="rId19" Type="http://schemas.openxmlformats.org/officeDocument/2006/relationships/hyperlink" Target="https://www.cdc.gov/nhsn/pdfs/pscmanual/11pscaurcurrent.pdf" TargetMode="External"/><Relationship Id="rId31" Type="http://schemas.openxmlformats.org/officeDocument/2006/relationships/hyperlink" Target="https://www.cdc.gov/nhsn/pdfs/ps-analysis-resources/aur/AU-QRG-LineList.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nhsn/pdfs/pscmanual/11pscaurcurrent.pdf"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www.cdc.gov/nhsn/pdfs/ps-analysis-resources/generatedatasets-psc-508.pdf" TargetMode="External"/><Relationship Id="rId30" Type="http://schemas.openxmlformats.org/officeDocument/2006/relationships/hyperlink" Target="https://www.cdc.gov/nhsn/pdfs/ps-analysis-resources/aur/AU-QRG-LineList.pdf" TargetMode="External"/><Relationship Id="rId35" Type="http://schemas.openxmlformats.org/officeDocument/2006/relationships/hyperlink" Target="https://www.cdc.gov/nhsn/pdfs/pscmanual/11pscaurcurrent.pdf"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NHSN@cdc.gov" TargetMode="External"/><Relationship Id="rId17" Type="http://schemas.openxmlformats.org/officeDocument/2006/relationships/header" Target="header3.xml"/><Relationship Id="rId25" Type="http://schemas.openxmlformats.org/officeDocument/2006/relationships/hyperlink" Target="https://www.cdc.gov/nhsn/pdfs/pscmanual/11pscaurcurrent.pdf" TargetMode="External"/><Relationship Id="rId33" Type="http://schemas.openxmlformats.org/officeDocument/2006/relationships/hyperlink" Target="https://www.cdc.gov/nhsn/pdfs/ps-analysis-resources/aur/AU-QRG-LineList.pdf" TargetMode="External"/><Relationship Id="rId38" Type="http://schemas.openxmlformats.org/officeDocument/2006/relationships/hyperlink" Target="https://www.cdc.gov/nhsn/pdfs/pscmanual/15locationsdescriptions_current.pdf" TargetMode="External"/><Relationship Id="rId46" Type="http://schemas.openxmlformats.org/officeDocument/2006/relationships/customXml" Target="../customXml/item3.xml"/><Relationship Id="rId20" Type="http://schemas.openxmlformats.org/officeDocument/2006/relationships/hyperlink" Target="mailto:NHSN@cdc.gov" TargetMode="External"/><Relationship Id="rId41" Type="http://schemas.openxmlformats.org/officeDocument/2006/relationships/hyperlink" Target="https://www.cdc.gov/nhsn/pdfs/ps-analysis-resources/aur/au-dataquality-linelist-508.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E43A9-3D2E-40CA-8739-E84BBEE3B81B}">
  <ds:schemaRefs>
    <ds:schemaRef ds:uri="http://schemas.openxmlformats.org/officeDocument/2006/bibliography"/>
  </ds:schemaRefs>
</ds:datastoreItem>
</file>

<file path=customXml/itemProps2.xml><?xml version="1.0" encoding="utf-8"?>
<ds:datastoreItem xmlns:ds="http://schemas.openxmlformats.org/officeDocument/2006/customXml" ds:itemID="{C51C0E78-ABD6-4E03-A307-179CE3E22712}"/>
</file>

<file path=customXml/itemProps3.xml><?xml version="1.0" encoding="utf-8"?>
<ds:datastoreItem xmlns:ds="http://schemas.openxmlformats.org/officeDocument/2006/customXml" ds:itemID="{B7DE0D0E-38B4-4399-BDA5-9775D8097B5C}"/>
</file>

<file path=customXml/itemProps4.xml><?xml version="1.0" encoding="utf-8"?>
<ds:datastoreItem xmlns:ds="http://schemas.openxmlformats.org/officeDocument/2006/customXml" ds:itemID="{FDB2B053-7389-4094-961E-A5938DBBA13C}"/>
</file>

<file path=docProps/app.xml><?xml version="1.0" encoding="utf-8"?>
<Properties xmlns="http://schemas.openxmlformats.org/officeDocument/2006/extended-properties" xmlns:vt="http://schemas.openxmlformats.org/officeDocument/2006/docPropsVTypes">
  <Template>Normal</Template>
  <TotalTime>129</TotalTime>
  <Pages>17</Pages>
  <Words>6558</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NHSN AU Option Implementation Validation Protocol</vt:lpstr>
    </vt:vector>
  </TitlesOfParts>
  <Company>Centers for Disease Control and Prevention</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AU Option Implementation Validation Protocol</dc:title>
  <dc:subject>NHSN AUR Module</dc:subject>
  <dc:creator>CDC/NCEZID/DHQP</dc:creator>
  <cp:keywords>NHSN AU Option, Validation, Implementation</cp:keywords>
  <dc:description/>
  <cp:lastModifiedBy>Webb, Amy (CDC/DDID/NCEZID/DHQP) (CTR)</cp:lastModifiedBy>
  <cp:revision>11</cp:revision>
  <cp:lastPrinted>2021-01-08T19:06:00Z</cp:lastPrinted>
  <dcterms:created xsi:type="dcterms:W3CDTF">2021-02-06T19:26:00Z</dcterms:created>
  <dcterms:modified xsi:type="dcterms:W3CDTF">2021-02-13T18:58:00Z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2020-12-13T20:09:05Z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eb5f8575-f26f-4db1-8f26-95fa369f0380</vt:lpwstr>
  </property>
  <property fmtid="{D5CDD505-2E9C-101B-9397-08002B2CF9AE}" pid="8" name="MSIP_Label_7b94a7b8-f06c-4dfe-bdcc-9b548fd58c31_ContentBits">
    <vt:lpwstr>0</vt:lpwstr>
  </property>
</Properties>
</file>