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02748" w14:textId="7DE6D35B" w:rsidR="00D44CA0" w:rsidRPr="00D44CA0" w:rsidRDefault="00D44CA0" w:rsidP="00D44CA0">
      <w:pPr>
        <w:spacing w:after="0" w:line="240" w:lineRule="auto"/>
        <w:rPr>
          <w:rFonts w:ascii="Arial" w:eastAsia="Calibri" w:hAnsi="Arial" w:cs="Arial"/>
          <w:sz w:val="20"/>
          <w:szCs w:val="20"/>
        </w:rPr>
      </w:pPr>
      <w:bookmarkStart w:id="0" w:name="_Hlk27574968"/>
      <w:r w:rsidRPr="00D44CA0">
        <w:rPr>
          <w:rFonts w:ascii="Arial" w:eastAsia="Calibri" w:hAnsi="Arial" w:cs="Arial"/>
          <w:noProof/>
          <w:sz w:val="20"/>
          <w:szCs w:val="20"/>
        </w:rPr>
        <w:drawing>
          <wp:inline distT="0" distB="0" distL="0" distR="0" wp14:anchorId="1EE2A9D9" wp14:editId="789A99B5">
            <wp:extent cx="942975" cy="704850"/>
            <wp:effectExtent l="0" t="0" r="9525" b="0"/>
            <wp:docPr id="16" name="Picture 6" descr="cid:image001.gif@01D52C3C.9C682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gif@01D52C3C.9C682A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42975" cy="704850"/>
                    </a:xfrm>
                    <a:prstGeom prst="rect">
                      <a:avLst/>
                    </a:prstGeom>
                    <a:noFill/>
                    <a:ln>
                      <a:noFill/>
                    </a:ln>
                  </pic:spPr>
                </pic:pic>
              </a:graphicData>
            </a:graphic>
          </wp:inline>
        </w:drawing>
      </w:r>
      <w:r w:rsidRPr="00D44CA0">
        <w:rPr>
          <w:rFonts w:ascii="Arial" w:eastAsia="Calibri" w:hAnsi="Arial" w:cs="Arial"/>
          <w:b/>
          <w:bCs/>
          <w:i/>
          <w:iCs/>
          <w:color w:val="FF0000"/>
          <w:sz w:val="20"/>
          <w:szCs w:val="20"/>
        </w:rPr>
        <w:t xml:space="preserve">The MMWR is embargoed until 1 PM ET, </w:t>
      </w:r>
      <w:r w:rsidR="007D4376">
        <w:rPr>
          <w:rFonts w:ascii="Arial" w:eastAsia="Calibri" w:hAnsi="Arial" w:cs="Arial"/>
          <w:b/>
          <w:bCs/>
          <w:i/>
          <w:iCs/>
          <w:color w:val="FF0000"/>
          <w:sz w:val="20"/>
          <w:szCs w:val="20"/>
        </w:rPr>
        <w:t>Thur</w:t>
      </w:r>
      <w:r w:rsidR="009425A8">
        <w:rPr>
          <w:rFonts w:ascii="Arial" w:eastAsia="Calibri" w:hAnsi="Arial" w:cs="Arial"/>
          <w:b/>
          <w:bCs/>
          <w:i/>
          <w:iCs/>
          <w:color w:val="FF0000"/>
          <w:sz w:val="20"/>
          <w:szCs w:val="20"/>
        </w:rPr>
        <w:t>s</w:t>
      </w:r>
      <w:r w:rsidRPr="00D44CA0">
        <w:rPr>
          <w:rFonts w:ascii="Arial" w:eastAsia="Calibri" w:hAnsi="Arial" w:cs="Arial"/>
          <w:b/>
          <w:bCs/>
          <w:i/>
          <w:iCs/>
          <w:color w:val="FF0000"/>
          <w:sz w:val="20"/>
          <w:szCs w:val="20"/>
        </w:rPr>
        <w:t xml:space="preserve">day, </w:t>
      </w:r>
      <w:r w:rsidR="007D2AB8">
        <w:rPr>
          <w:rFonts w:ascii="Arial" w:eastAsia="Calibri" w:hAnsi="Arial" w:cs="Arial"/>
          <w:b/>
          <w:bCs/>
          <w:i/>
          <w:iCs/>
          <w:color w:val="FF0000"/>
          <w:sz w:val="20"/>
          <w:szCs w:val="20"/>
        </w:rPr>
        <w:t xml:space="preserve">April </w:t>
      </w:r>
      <w:r w:rsidR="00341B25">
        <w:rPr>
          <w:rFonts w:ascii="Arial" w:eastAsia="Calibri" w:hAnsi="Arial" w:cs="Arial"/>
          <w:b/>
          <w:bCs/>
          <w:i/>
          <w:iCs/>
          <w:color w:val="FF0000"/>
          <w:sz w:val="20"/>
          <w:szCs w:val="20"/>
        </w:rPr>
        <w:t>23</w:t>
      </w:r>
      <w:r w:rsidRPr="00D44CA0">
        <w:rPr>
          <w:rFonts w:ascii="Arial" w:eastAsia="Calibri" w:hAnsi="Arial" w:cs="Arial"/>
          <w:b/>
          <w:bCs/>
          <w:i/>
          <w:iCs/>
          <w:color w:val="FF0000"/>
          <w:sz w:val="20"/>
          <w:szCs w:val="20"/>
        </w:rPr>
        <w:t>, 20</w:t>
      </w:r>
      <w:r w:rsidR="007C749C">
        <w:rPr>
          <w:rFonts w:ascii="Arial" w:eastAsia="Calibri" w:hAnsi="Arial" w:cs="Arial"/>
          <w:b/>
          <w:bCs/>
          <w:i/>
          <w:iCs/>
          <w:color w:val="FF0000"/>
          <w:sz w:val="20"/>
          <w:szCs w:val="20"/>
        </w:rPr>
        <w:t>20</w:t>
      </w:r>
    </w:p>
    <w:p w14:paraId="5E7FD8E2" w14:textId="77777777" w:rsidR="00D44CA0" w:rsidRPr="00D44CA0" w:rsidRDefault="00D44CA0" w:rsidP="00D44CA0">
      <w:pPr>
        <w:spacing w:after="0" w:line="240" w:lineRule="auto"/>
        <w:rPr>
          <w:rFonts w:ascii="Arial" w:eastAsia="Calibri" w:hAnsi="Arial" w:cs="Arial"/>
          <w:sz w:val="20"/>
          <w:szCs w:val="20"/>
        </w:rPr>
      </w:pPr>
      <w:r w:rsidRPr="00D44CA0">
        <w:rPr>
          <w:rFonts w:ascii="Calibri" w:eastAsia="Calibri" w:hAnsi="Calibri" w:cs="Calibri"/>
          <w:noProof/>
        </w:rPr>
        <w:drawing>
          <wp:anchor distT="4294967295" distB="4294967295" distL="114300" distR="114300" simplePos="0" relativeHeight="251659264" behindDoc="0" locked="0" layoutInCell="1" allowOverlap="1" wp14:anchorId="5E07B794" wp14:editId="691A884C">
            <wp:simplePos x="0" y="0"/>
            <wp:positionH relativeFrom="column">
              <wp:posOffset>45720</wp:posOffset>
            </wp:positionH>
            <wp:positionV relativeFrom="paragraph">
              <wp:posOffset>39370</wp:posOffset>
            </wp:positionV>
            <wp:extent cx="6181725" cy="9525"/>
            <wp:effectExtent l="0" t="0" r="0" b="0"/>
            <wp:wrapNone/>
            <wp:docPr id="2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9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4A0" w:firstRow="1" w:lastRow="0" w:firstColumn="1" w:lastColumn="0" w:noHBand="0" w:noVBand="1"/>
      </w:tblPr>
      <w:tblGrid>
        <w:gridCol w:w="3396"/>
        <w:gridCol w:w="3117"/>
        <w:gridCol w:w="3063"/>
      </w:tblGrid>
      <w:tr w:rsidR="00D44CA0" w:rsidRPr="00D44CA0" w14:paraId="6543F296" w14:textId="77777777" w:rsidTr="00D44CA0">
        <w:tc>
          <w:tcPr>
            <w:tcW w:w="3396" w:type="dxa"/>
            <w:tcMar>
              <w:top w:w="0" w:type="dxa"/>
              <w:left w:w="108" w:type="dxa"/>
              <w:bottom w:w="0" w:type="dxa"/>
              <w:right w:w="108" w:type="dxa"/>
            </w:tcMar>
            <w:hideMark/>
          </w:tcPr>
          <w:p w14:paraId="69B04D3C" w14:textId="77777777" w:rsidR="00D44CA0" w:rsidRPr="00D44CA0" w:rsidRDefault="00D44CA0" w:rsidP="00D44CA0">
            <w:pPr>
              <w:spacing w:after="0" w:line="276" w:lineRule="auto"/>
              <w:rPr>
                <w:rFonts w:ascii="Arial" w:eastAsia="Calibri" w:hAnsi="Arial" w:cs="Arial"/>
                <w:sz w:val="20"/>
                <w:szCs w:val="20"/>
              </w:rPr>
            </w:pPr>
            <w:r w:rsidRPr="00D44CA0">
              <w:rPr>
                <w:rFonts w:ascii="Arial" w:eastAsia="Calibri" w:hAnsi="Arial" w:cs="Arial"/>
                <w:noProof/>
                <w:sz w:val="20"/>
                <w:szCs w:val="20"/>
              </w:rPr>
              <w:drawing>
                <wp:inline distT="0" distB="0" distL="0" distR="0" wp14:anchorId="39EBBC27" wp14:editId="239DF744">
                  <wp:extent cx="2019300" cy="514350"/>
                  <wp:effectExtent l="0" t="0" r="0" b="0"/>
                  <wp:docPr id="15" name="Picture 5" descr="cid:image003.gif@01D52C3C.9C682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gif@01D52C3C.9C682A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514350"/>
                          </a:xfrm>
                          <a:prstGeom prst="rect">
                            <a:avLst/>
                          </a:prstGeom>
                          <a:noFill/>
                          <a:ln>
                            <a:noFill/>
                          </a:ln>
                        </pic:spPr>
                      </pic:pic>
                    </a:graphicData>
                  </a:graphic>
                </wp:inline>
              </w:drawing>
            </w:r>
          </w:p>
        </w:tc>
        <w:tc>
          <w:tcPr>
            <w:tcW w:w="3117" w:type="dxa"/>
            <w:tcMar>
              <w:top w:w="0" w:type="dxa"/>
              <w:left w:w="108" w:type="dxa"/>
              <w:bottom w:w="0" w:type="dxa"/>
              <w:right w:w="108" w:type="dxa"/>
            </w:tcMar>
            <w:vAlign w:val="bottom"/>
            <w:hideMark/>
          </w:tcPr>
          <w:p w14:paraId="2B8FEFA8" w14:textId="77777777" w:rsidR="00D44CA0" w:rsidRPr="00D44CA0" w:rsidRDefault="00D44CA0" w:rsidP="00D44CA0">
            <w:pPr>
              <w:spacing w:after="0" w:line="276" w:lineRule="auto"/>
              <w:rPr>
                <w:rFonts w:ascii="Arial" w:eastAsia="Calibri" w:hAnsi="Arial" w:cs="Arial"/>
                <w:sz w:val="20"/>
                <w:szCs w:val="20"/>
              </w:rPr>
            </w:pPr>
            <w:r w:rsidRPr="00D44CA0">
              <w:rPr>
                <w:rFonts w:ascii="Arial" w:eastAsia="Calibri" w:hAnsi="Arial" w:cs="Arial"/>
                <w:sz w:val="20"/>
                <w:szCs w:val="20"/>
              </w:rPr>
              <w:t>             Press Contacts</w:t>
            </w:r>
          </w:p>
        </w:tc>
        <w:tc>
          <w:tcPr>
            <w:tcW w:w="3063" w:type="dxa"/>
            <w:tcMar>
              <w:top w:w="0" w:type="dxa"/>
              <w:left w:w="108" w:type="dxa"/>
              <w:bottom w:w="0" w:type="dxa"/>
              <w:right w:w="108" w:type="dxa"/>
            </w:tcMar>
            <w:vAlign w:val="center"/>
            <w:hideMark/>
          </w:tcPr>
          <w:p w14:paraId="4BE9D958" w14:textId="77777777" w:rsidR="00D44CA0" w:rsidRPr="00D44CA0" w:rsidRDefault="00D44CA0" w:rsidP="00D44CA0">
            <w:pPr>
              <w:spacing w:after="0" w:line="276" w:lineRule="auto"/>
              <w:rPr>
                <w:rFonts w:ascii="Arial" w:eastAsia="Calibri" w:hAnsi="Arial" w:cs="Arial"/>
                <w:sz w:val="20"/>
                <w:szCs w:val="20"/>
              </w:rPr>
            </w:pPr>
            <w:r w:rsidRPr="00D44CA0">
              <w:rPr>
                <w:rFonts w:ascii="Arial" w:eastAsia="Calibri" w:hAnsi="Arial" w:cs="Arial"/>
                <w:noProof/>
                <w:color w:val="0000FF"/>
                <w:sz w:val="20"/>
                <w:szCs w:val="20"/>
              </w:rPr>
              <w:drawing>
                <wp:inline distT="0" distB="0" distL="0" distR="0" wp14:anchorId="7E23B009" wp14:editId="3A253C49">
                  <wp:extent cx="1685925" cy="161925"/>
                  <wp:effectExtent l="0" t="0" r="9525" b="9525"/>
                  <wp:docPr id="14" name="Picture 4" descr="cid:image004.gif@01D52C3C.9C682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52C3C.9C682A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85925" cy="161925"/>
                          </a:xfrm>
                          <a:prstGeom prst="rect">
                            <a:avLst/>
                          </a:prstGeom>
                          <a:noFill/>
                          <a:ln>
                            <a:noFill/>
                          </a:ln>
                        </pic:spPr>
                      </pic:pic>
                    </a:graphicData>
                  </a:graphic>
                </wp:inline>
              </w:drawing>
            </w:r>
          </w:p>
        </w:tc>
      </w:tr>
    </w:tbl>
    <w:p w14:paraId="7ABE5ABA" w14:textId="77777777" w:rsidR="00D44CA0" w:rsidRPr="00D44CA0" w:rsidRDefault="00D44CA0" w:rsidP="00D44CA0">
      <w:pPr>
        <w:spacing w:after="0" w:line="240" w:lineRule="auto"/>
        <w:rPr>
          <w:rFonts w:ascii="Arial" w:eastAsia="Calibri" w:hAnsi="Arial" w:cs="Arial"/>
          <w:sz w:val="20"/>
          <w:szCs w:val="20"/>
        </w:rPr>
      </w:pPr>
      <w:r w:rsidRPr="00D44CA0">
        <w:rPr>
          <w:rFonts w:ascii="Calibri" w:eastAsia="Calibri" w:hAnsi="Calibri" w:cs="Calibri"/>
          <w:noProof/>
        </w:rPr>
        <w:drawing>
          <wp:anchor distT="4294967295" distB="4294967295" distL="114300" distR="114300" simplePos="0" relativeHeight="251660288" behindDoc="0" locked="0" layoutInCell="1" allowOverlap="1" wp14:anchorId="41868F77" wp14:editId="623AA4FD">
            <wp:simplePos x="0" y="0"/>
            <wp:positionH relativeFrom="column">
              <wp:posOffset>45720</wp:posOffset>
            </wp:positionH>
            <wp:positionV relativeFrom="paragraph">
              <wp:posOffset>87630</wp:posOffset>
            </wp:positionV>
            <wp:extent cx="6181725" cy="9525"/>
            <wp:effectExtent l="0" t="0" r="0" b="0"/>
            <wp:wrapNone/>
            <wp:docPr id="1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9525"/>
                    </a:xfrm>
                    <a:prstGeom prst="rect">
                      <a:avLst/>
                    </a:prstGeom>
                    <a:noFill/>
                  </pic:spPr>
                </pic:pic>
              </a:graphicData>
            </a:graphic>
            <wp14:sizeRelH relativeFrom="page">
              <wp14:pctWidth>0</wp14:pctWidth>
            </wp14:sizeRelH>
            <wp14:sizeRelV relativeFrom="page">
              <wp14:pctHeight>0</wp14:pctHeight>
            </wp14:sizeRelV>
          </wp:anchor>
        </w:drawing>
      </w:r>
    </w:p>
    <w:p w14:paraId="73AB8389" w14:textId="77777777" w:rsidR="00D44CA0" w:rsidRPr="00D44CA0" w:rsidRDefault="00D44CA0" w:rsidP="00D44CA0">
      <w:pPr>
        <w:spacing w:after="0" w:line="240" w:lineRule="auto"/>
        <w:rPr>
          <w:rFonts w:ascii="Arial" w:eastAsia="Calibri" w:hAnsi="Arial" w:cs="Arial"/>
          <w:b/>
          <w:bCs/>
          <w:sz w:val="20"/>
          <w:szCs w:val="20"/>
        </w:rPr>
      </w:pPr>
    </w:p>
    <w:p w14:paraId="15E20340" w14:textId="3C0D2C17" w:rsidR="00D44CA0" w:rsidRDefault="007D2AB8" w:rsidP="00D44CA0">
      <w:pPr>
        <w:spacing w:after="0" w:line="240" w:lineRule="auto"/>
        <w:rPr>
          <w:rFonts w:ascii="Arial" w:eastAsia="Calibri" w:hAnsi="Arial" w:cs="Arial"/>
          <w:b/>
          <w:bCs/>
          <w:sz w:val="20"/>
          <w:szCs w:val="20"/>
        </w:rPr>
      </w:pPr>
      <w:r>
        <w:rPr>
          <w:rFonts w:ascii="Arial" w:eastAsia="Calibri" w:hAnsi="Arial" w:cs="Arial"/>
          <w:b/>
          <w:bCs/>
          <w:sz w:val="20"/>
          <w:szCs w:val="20"/>
        </w:rPr>
        <w:t xml:space="preserve">April </w:t>
      </w:r>
      <w:r w:rsidR="00341B25">
        <w:rPr>
          <w:rFonts w:ascii="Arial" w:eastAsia="Calibri" w:hAnsi="Arial" w:cs="Arial"/>
          <w:b/>
          <w:bCs/>
          <w:sz w:val="20"/>
          <w:szCs w:val="20"/>
        </w:rPr>
        <w:t>24</w:t>
      </w:r>
      <w:r w:rsidR="00D44CA0" w:rsidRPr="00D44CA0">
        <w:rPr>
          <w:rFonts w:ascii="Arial" w:eastAsia="Calibri" w:hAnsi="Arial" w:cs="Arial"/>
          <w:b/>
          <w:bCs/>
          <w:sz w:val="20"/>
          <w:szCs w:val="20"/>
        </w:rPr>
        <w:t>, 20</w:t>
      </w:r>
      <w:r w:rsidR="007C749C">
        <w:rPr>
          <w:rFonts w:ascii="Arial" w:eastAsia="Calibri" w:hAnsi="Arial" w:cs="Arial"/>
          <w:b/>
          <w:bCs/>
          <w:sz w:val="20"/>
          <w:szCs w:val="20"/>
        </w:rPr>
        <w:t>20</w:t>
      </w:r>
    </w:p>
    <w:p w14:paraId="0D19BC39" w14:textId="2F56A0BD" w:rsidR="00D60F9C" w:rsidRDefault="00D60F9C" w:rsidP="00D44CA0">
      <w:pPr>
        <w:spacing w:after="0" w:line="240" w:lineRule="auto"/>
        <w:rPr>
          <w:rFonts w:ascii="Arial" w:eastAsia="Calibri" w:hAnsi="Arial" w:cs="Arial"/>
          <w:b/>
          <w:bCs/>
          <w:sz w:val="20"/>
          <w:szCs w:val="20"/>
        </w:rPr>
      </w:pPr>
    </w:p>
    <w:p w14:paraId="2817E37B" w14:textId="72D96C9C" w:rsidR="00D60F9C" w:rsidRDefault="006B4D0A" w:rsidP="00D44CA0">
      <w:pPr>
        <w:spacing w:after="0" w:line="240" w:lineRule="auto"/>
        <w:rPr>
          <w:rFonts w:ascii="Arial" w:eastAsia="Calibri" w:hAnsi="Arial" w:cs="Arial"/>
          <w:b/>
          <w:bCs/>
          <w:sz w:val="20"/>
          <w:szCs w:val="20"/>
        </w:rPr>
      </w:pPr>
      <w:bookmarkStart w:id="1" w:name="_Hlk38438991"/>
      <w:r w:rsidRPr="006B4D0A">
        <w:rPr>
          <w:rFonts w:ascii="Arial" w:eastAsia="Calibri" w:hAnsi="Arial" w:cs="Arial"/>
          <w:b/>
          <w:bCs/>
          <w:sz w:val="20"/>
          <w:szCs w:val="20"/>
        </w:rPr>
        <w:t>Update on Vaccine-Derived Poliovirus Outbreaks — Worldwide, July 2019–February 2020</w:t>
      </w:r>
    </w:p>
    <w:bookmarkEnd w:id="1"/>
    <w:p w14:paraId="1A288281" w14:textId="1F233CA6" w:rsidR="00BF5FF5" w:rsidRDefault="00BF5FF5" w:rsidP="00D44CA0">
      <w:pPr>
        <w:spacing w:after="0" w:line="240" w:lineRule="auto"/>
        <w:rPr>
          <w:rFonts w:ascii="Arial" w:eastAsia="Calibri" w:hAnsi="Arial" w:cs="Arial"/>
          <w:b/>
          <w:bCs/>
          <w:sz w:val="20"/>
          <w:szCs w:val="20"/>
        </w:rPr>
      </w:pPr>
    </w:p>
    <w:p w14:paraId="457F6E7E" w14:textId="77777777" w:rsidR="00BF5FF5" w:rsidRPr="00056931" w:rsidRDefault="00BF5FF5" w:rsidP="00BF5FF5">
      <w:pPr>
        <w:spacing w:after="0" w:line="240" w:lineRule="auto"/>
        <w:rPr>
          <w:rFonts w:ascii="Arial" w:eastAsia="Calibri" w:hAnsi="Arial" w:cs="Arial"/>
          <w:sz w:val="20"/>
          <w:szCs w:val="20"/>
        </w:rPr>
      </w:pPr>
      <w:r w:rsidRPr="00056931">
        <w:rPr>
          <w:rFonts w:ascii="Arial" w:eastAsia="Calibri" w:hAnsi="Arial" w:cs="Arial"/>
          <w:sz w:val="20"/>
          <w:szCs w:val="20"/>
        </w:rPr>
        <w:t>CDC Media Relations</w:t>
      </w:r>
    </w:p>
    <w:p w14:paraId="44BEAFE4" w14:textId="77777777" w:rsidR="00BF5FF5" w:rsidRPr="00056931" w:rsidRDefault="00BF5FF5" w:rsidP="00BF5FF5">
      <w:pPr>
        <w:spacing w:after="0" w:line="240" w:lineRule="auto"/>
        <w:rPr>
          <w:rFonts w:ascii="Arial" w:eastAsia="Calibri" w:hAnsi="Arial" w:cs="Arial"/>
          <w:b/>
          <w:bCs/>
          <w:sz w:val="20"/>
          <w:szCs w:val="20"/>
        </w:rPr>
      </w:pPr>
      <w:r w:rsidRPr="00056931">
        <w:rPr>
          <w:rFonts w:ascii="Arial" w:eastAsia="Calibri" w:hAnsi="Arial" w:cs="Arial"/>
          <w:sz w:val="20"/>
          <w:szCs w:val="20"/>
        </w:rPr>
        <w:t>404-639-3286</w:t>
      </w:r>
    </w:p>
    <w:p w14:paraId="205FAB34" w14:textId="6F3965B0" w:rsidR="006B4D0A" w:rsidRDefault="006B4D0A" w:rsidP="00D44CA0">
      <w:pPr>
        <w:spacing w:after="0" w:line="240" w:lineRule="auto"/>
        <w:rPr>
          <w:rFonts w:ascii="Arial" w:eastAsia="Calibri" w:hAnsi="Arial" w:cs="Arial"/>
          <w:b/>
          <w:bCs/>
          <w:sz w:val="20"/>
          <w:szCs w:val="20"/>
        </w:rPr>
      </w:pPr>
    </w:p>
    <w:p w14:paraId="7A20BAEC" w14:textId="69307D30" w:rsidR="006B4D0A" w:rsidRDefault="006B4D0A" w:rsidP="00D44CA0">
      <w:pPr>
        <w:spacing w:after="0" w:line="240" w:lineRule="auto"/>
        <w:rPr>
          <w:rFonts w:ascii="Arial" w:eastAsia="Calibri" w:hAnsi="Arial" w:cs="Arial"/>
          <w:b/>
          <w:bCs/>
          <w:sz w:val="20"/>
          <w:szCs w:val="20"/>
        </w:rPr>
      </w:pPr>
      <w:r w:rsidRPr="006B4D0A">
        <w:rPr>
          <w:rFonts w:ascii="Arial" w:eastAsia="Calibri" w:hAnsi="Arial" w:cs="Arial"/>
          <w:b/>
          <w:bCs/>
          <w:sz w:val="20"/>
          <w:szCs w:val="20"/>
        </w:rPr>
        <w:t>Preexposure Prophylaxis for Prevention of HIV Acquisition Among Adolescents: Clinical Considerations, 2020</w:t>
      </w:r>
    </w:p>
    <w:p w14:paraId="043F982C" w14:textId="77777777" w:rsidR="006B4D0A" w:rsidRDefault="006B4D0A" w:rsidP="00D44CA0">
      <w:pPr>
        <w:spacing w:after="0" w:line="240" w:lineRule="auto"/>
        <w:rPr>
          <w:rFonts w:ascii="Arial" w:eastAsia="Calibri" w:hAnsi="Arial" w:cs="Arial"/>
          <w:b/>
          <w:bCs/>
          <w:sz w:val="20"/>
          <w:szCs w:val="20"/>
        </w:rPr>
      </w:pPr>
    </w:p>
    <w:p w14:paraId="63DF7831" w14:textId="77777777" w:rsidR="001B3699" w:rsidRPr="00056931" w:rsidRDefault="001B3699" w:rsidP="001B3699">
      <w:pPr>
        <w:spacing w:after="0" w:line="240" w:lineRule="auto"/>
        <w:rPr>
          <w:rFonts w:ascii="Arial" w:eastAsia="Calibri" w:hAnsi="Arial" w:cs="Arial"/>
          <w:sz w:val="20"/>
          <w:szCs w:val="20"/>
        </w:rPr>
      </w:pPr>
      <w:r w:rsidRPr="00056931">
        <w:rPr>
          <w:rFonts w:ascii="Arial" w:eastAsia="Calibri" w:hAnsi="Arial" w:cs="Arial"/>
          <w:sz w:val="20"/>
          <w:szCs w:val="20"/>
        </w:rPr>
        <w:t>CDC Media Relations</w:t>
      </w:r>
    </w:p>
    <w:p w14:paraId="0F12DA21" w14:textId="77777777" w:rsidR="001B3699" w:rsidRPr="00056931" w:rsidRDefault="001B3699" w:rsidP="001B3699">
      <w:pPr>
        <w:spacing w:after="0" w:line="240" w:lineRule="auto"/>
        <w:rPr>
          <w:rFonts w:ascii="Arial" w:eastAsia="Calibri" w:hAnsi="Arial" w:cs="Arial"/>
          <w:b/>
          <w:bCs/>
          <w:sz w:val="20"/>
          <w:szCs w:val="20"/>
        </w:rPr>
      </w:pPr>
      <w:r w:rsidRPr="00056931">
        <w:rPr>
          <w:rFonts w:ascii="Arial" w:eastAsia="Calibri" w:hAnsi="Arial" w:cs="Arial"/>
          <w:sz w:val="20"/>
          <w:szCs w:val="20"/>
        </w:rPr>
        <w:t>404-639-3286</w:t>
      </w:r>
    </w:p>
    <w:p w14:paraId="0312DECB" w14:textId="2837EFB3" w:rsidR="009E3429" w:rsidRDefault="009E3429">
      <w:pPr>
        <w:rPr>
          <w:rFonts w:ascii="Arial" w:eastAsia="Calibri" w:hAnsi="Arial" w:cs="Arial"/>
          <w:b/>
          <w:bCs/>
          <w:sz w:val="20"/>
          <w:szCs w:val="20"/>
        </w:rPr>
      </w:pPr>
      <w:r>
        <w:rPr>
          <w:rFonts w:ascii="Arial" w:eastAsia="Calibri" w:hAnsi="Arial" w:cs="Arial"/>
          <w:b/>
          <w:bCs/>
          <w:sz w:val="20"/>
          <w:szCs w:val="20"/>
        </w:rPr>
        <w:br w:type="page"/>
      </w:r>
    </w:p>
    <w:p w14:paraId="362A5937" w14:textId="7E0A30D3" w:rsidR="00D44CA0" w:rsidRPr="00D44CA0" w:rsidRDefault="00D44CA0" w:rsidP="00D44CA0">
      <w:pPr>
        <w:autoSpaceDE w:val="0"/>
        <w:autoSpaceDN w:val="0"/>
        <w:spacing w:after="0" w:line="240" w:lineRule="auto"/>
        <w:rPr>
          <w:rFonts w:ascii="Arial" w:eastAsia="Calibri" w:hAnsi="Arial" w:cs="Arial"/>
          <w:sz w:val="20"/>
          <w:szCs w:val="20"/>
        </w:rPr>
      </w:pPr>
      <w:r w:rsidRPr="00D44CA0">
        <w:rPr>
          <w:rFonts w:ascii="Arial" w:eastAsia="Calibri" w:hAnsi="Arial" w:cs="Arial"/>
          <w:noProof/>
          <w:sz w:val="20"/>
          <w:szCs w:val="20"/>
        </w:rPr>
        <w:lastRenderedPageBreak/>
        <w:drawing>
          <wp:inline distT="0" distB="0" distL="0" distR="0" wp14:anchorId="7ED8792A" wp14:editId="51AD38BE">
            <wp:extent cx="942975" cy="704850"/>
            <wp:effectExtent l="0" t="0" r="9525" b="0"/>
            <wp:docPr id="13" name="Picture 3" descr="cid:image001.gif@01D52C3C.9C682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D52C3C.9C682A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42975" cy="704850"/>
                    </a:xfrm>
                    <a:prstGeom prst="rect">
                      <a:avLst/>
                    </a:prstGeom>
                    <a:noFill/>
                    <a:ln>
                      <a:noFill/>
                    </a:ln>
                  </pic:spPr>
                </pic:pic>
              </a:graphicData>
            </a:graphic>
          </wp:inline>
        </w:drawing>
      </w:r>
      <w:r w:rsidRPr="00D44CA0">
        <w:rPr>
          <w:rFonts w:ascii="Arial" w:eastAsia="Calibri" w:hAnsi="Arial" w:cs="Arial"/>
          <w:b/>
          <w:bCs/>
          <w:i/>
          <w:iCs/>
          <w:color w:val="FF0000"/>
          <w:sz w:val="20"/>
          <w:szCs w:val="20"/>
        </w:rPr>
        <w:t xml:space="preserve">The MMWR is embargoed until 1 PM ET </w:t>
      </w:r>
      <w:r w:rsidR="00E34EAB">
        <w:rPr>
          <w:rFonts w:ascii="Arial" w:eastAsia="Calibri" w:hAnsi="Arial" w:cs="Arial"/>
          <w:b/>
          <w:bCs/>
          <w:i/>
          <w:iCs/>
          <w:color w:val="FF0000"/>
          <w:sz w:val="20"/>
          <w:szCs w:val="20"/>
        </w:rPr>
        <w:t>Thursday</w:t>
      </w:r>
      <w:r w:rsidRPr="00D44CA0">
        <w:rPr>
          <w:rFonts w:ascii="Arial" w:eastAsia="Calibri" w:hAnsi="Arial" w:cs="Arial"/>
          <w:b/>
          <w:bCs/>
          <w:i/>
          <w:iCs/>
          <w:color w:val="FF0000"/>
          <w:sz w:val="20"/>
          <w:szCs w:val="20"/>
        </w:rPr>
        <w:t xml:space="preserve">, </w:t>
      </w:r>
      <w:r w:rsidR="007D2AB8">
        <w:rPr>
          <w:rFonts w:ascii="Arial" w:eastAsia="Calibri" w:hAnsi="Arial" w:cs="Arial"/>
          <w:b/>
          <w:bCs/>
          <w:i/>
          <w:iCs/>
          <w:color w:val="FF0000"/>
          <w:sz w:val="20"/>
          <w:szCs w:val="20"/>
        </w:rPr>
        <w:t xml:space="preserve">April </w:t>
      </w:r>
      <w:r w:rsidR="00341B25">
        <w:rPr>
          <w:rFonts w:ascii="Arial" w:eastAsia="Calibri" w:hAnsi="Arial" w:cs="Arial"/>
          <w:b/>
          <w:bCs/>
          <w:i/>
          <w:iCs/>
          <w:color w:val="FF0000"/>
          <w:sz w:val="20"/>
          <w:szCs w:val="20"/>
        </w:rPr>
        <w:t>23</w:t>
      </w:r>
      <w:r w:rsidRPr="00D44CA0">
        <w:rPr>
          <w:rFonts w:ascii="Arial" w:eastAsia="Calibri" w:hAnsi="Arial" w:cs="Arial"/>
          <w:b/>
          <w:bCs/>
          <w:i/>
          <w:iCs/>
          <w:color w:val="FF0000"/>
          <w:sz w:val="20"/>
          <w:szCs w:val="20"/>
        </w:rPr>
        <w:t>, 20</w:t>
      </w:r>
      <w:r w:rsidR="007C749C">
        <w:rPr>
          <w:rFonts w:ascii="Arial" w:eastAsia="Calibri" w:hAnsi="Arial" w:cs="Arial"/>
          <w:b/>
          <w:bCs/>
          <w:i/>
          <w:iCs/>
          <w:color w:val="FF0000"/>
          <w:sz w:val="20"/>
          <w:szCs w:val="20"/>
        </w:rPr>
        <w:t>20</w:t>
      </w:r>
      <w:r w:rsidRPr="00D44CA0">
        <w:rPr>
          <w:rFonts w:ascii="Arial" w:eastAsia="Calibri" w:hAnsi="Arial" w:cs="Arial"/>
          <w:b/>
          <w:bCs/>
          <w:i/>
          <w:iCs/>
          <w:color w:val="FF0000"/>
          <w:sz w:val="20"/>
          <w:szCs w:val="20"/>
        </w:rPr>
        <w:t xml:space="preserve"> </w:t>
      </w:r>
    </w:p>
    <w:p w14:paraId="11AD572B" w14:textId="77777777" w:rsidR="00D44CA0" w:rsidRPr="00D44CA0" w:rsidRDefault="00D44CA0" w:rsidP="00D44CA0">
      <w:pPr>
        <w:spacing w:after="0" w:line="240" w:lineRule="auto"/>
        <w:rPr>
          <w:rFonts w:ascii="Arial" w:eastAsia="Calibri" w:hAnsi="Arial" w:cs="Arial"/>
          <w:sz w:val="20"/>
          <w:szCs w:val="20"/>
        </w:rPr>
      </w:pPr>
      <w:r w:rsidRPr="00D44CA0">
        <w:rPr>
          <w:rFonts w:ascii="Calibri" w:eastAsia="Calibri" w:hAnsi="Calibri" w:cs="Calibri"/>
          <w:noProof/>
        </w:rPr>
        <w:drawing>
          <wp:anchor distT="4294967295" distB="4294967295" distL="114300" distR="114300" simplePos="0" relativeHeight="251661312" behindDoc="0" locked="0" layoutInCell="1" allowOverlap="1" wp14:anchorId="7D66ADDB" wp14:editId="6728ACC8">
            <wp:simplePos x="0" y="0"/>
            <wp:positionH relativeFrom="column">
              <wp:posOffset>0</wp:posOffset>
            </wp:positionH>
            <wp:positionV relativeFrom="paragraph">
              <wp:posOffset>109855</wp:posOffset>
            </wp:positionV>
            <wp:extent cx="5838825" cy="9525"/>
            <wp:effectExtent l="0" t="0" r="0" b="0"/>
            <wp:wrapNone/>
            <wp:docPr id="1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825" cy="9525"/>
                    </a:xfrm>
                    <a:prstGeom prst="rect">
                      <a:avLst/>
                    </a:prstGeom>
                    <a:noFill/>
                  </pic:spPr>
                </pic:pic>
              </a:graphicData>
            </a:graphic>
            <wp14:sizeRelH relativeFrom="page">
              <wp14:pctWidth>0</wp14:pctWidth>
            </wp14:sizeRelH>
            <wp14:sizeRelV relativeFrom="page">
              <wp14:pctHeight>0</wp14:pctHeight>
            </wp14:sizeRelV>
          </wp:anchor>
        </w:drawing>
      </w:r>
    </w:p>
    <w:p w14:paraId="41F5CB56" w14:textId="77777777" w:rsidR="00D44CA0" w:rsidRPr="00D44CA0" w:rsidRDefault="00D44CA0" w:rsidP="00D44CA0">
      <w:pPr>
        <w:autoSpaceDE w:val="0"/>
        <w:autoSpaceDN w:val="0"/>
        <w:spacing w:after="0" w:line="240" w:lineRule="auto"/>
        <w:rPr>
          <w:rFonts w:ascii="Arial" w:eastAsia="Calibri" w:hAnsi="Arial" w:cs="Arial"/>
          <w:b/>
          <w:bCs/>
          <w:sz w:val="20"/>
          <w:szCs w:val="20"/>
        </w:rPr>
      </w:pPr>
    </w:p>
    <w:tbl>
      <w:tblPr>
        <w:tblW w:w="9945" w:type="dxa"/>
        <w:tblCellMar>
          <w:left w:w="0" w:type="dxa"/>
          <w:right w:w="0" w:type="dxa"/>
        </w:tblCellMar>
        <w:tblLook w:val="04A0" w:firstRow="1" w:lastRow="0" w:firstColumn="1" w:lastColumn="0" w:noHBand="0" w:noVBand="1"/>
      </w:tblPr>
      <w:tblGrid>
        <w:gridCol w:w="3396"/>
        <w:gridCol w:w="3498"/>
        <w:gridCol w:w="3051"/>
      </w:tblGrid>
      <w:tr w:rsidR="00D44CA0" w:rsidRPr="00D44CA0" w14:paraId="241E639C" w14:textId="77777777" w:rsidTr="00D44CA0">
        <w:tc>
          <w:tcPr>
            <w:tcW w:w="3396" w:type="dxa"/>
            <w:tcMar>
              <w:top w:w="0" w:type="dxa"/>
              <w:left w:w="108" w:type="dxa"/>
              <w:bottom w:w="0" w:type="dxa"/>
              <w:right w:w="108" w:type="dxa"/>
            </w:tcMar>
            <w:hideMark/>
          </w:tcPr>
          <w:p w14:paraId="0D867D5C" w14:textId="77777777" w:rsidR="00D44CA0" w:rsidRPr="00D44CA0" w:rsidRDefault="00D44CA0" w:rsidP="00D44CA0">
            <w:pPr>
              <w:spacing w:after="0" w:line="276" w:lineRule="auto"/>
              <w:rPr>
                <w:rFonts w:ascii="Arial" w:eastAsia="Calibri" w:hAnsi="Arial" w:cs="Arial"/>
                <w:sz w:val="20"/>
                <w:szCs w:val="20"/>
              </w:rPr>
            </w:pPr>
            <w:r w:rsidRPr="00D44CA0">
              <w:rPr>
                <w:rFonts w:ascii="Arial" w:eastAsia="Calibri" w:hAnsi="Arial" w:cs="Arial"/>
                <w:noProof/>
                <w:sz w:val="20"/>
                <w:szCs w:val="20"/>
              </w:rPr>
              <w:drawing>
                <wp:inline distT="0" distB="0" distL="0" distR="0" wp14:anchorId="1E79692C" wp14:editId="32C481C5">
                  <wp:extent cx="2019300" cy="514350"/>
                  <wp:effectExtent l="0" t="0" r="0" b="0"/>
                  <wp:docPr id="11" name="Picture 2" descr="cid:image003.gif@01D52C3C.9C682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gif@01D52C3C.9C682A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514350"/>
                          </a:xfrm>
                          <a:prstGeom prst="rect">
                            <a:avLst/>
                          </a:prstGeom>
                          <a:noFill/>
                          <a:ln>
                            <a:noFill/>
                          </a:ln>
                        </pic:spPr>
                      </pic:pic>
                    </a:graphicData>
                  </a:graphic>
                </wp:inline>
              </w:drawing>
            </w:r>
          </w:p>
        </w:tc>
        <w:tc>
          <w:tcPr>
            <w:tcW w:w="3498" w:type="dxa"/>
            <w:tcMar>
              <w:top w:w="0" w:type="dxa"/>
              <w:left w:w="108" w:type="dxa"/>
              <w:bottom w:w="0" w:type="dxa"/>
              <w:right w:w="108" w:type="dxa"/>
            </w:tcMar>
            <w:vAlign w:val="bottom"/>
            <w:hideMark/>
          </w:tcPr>
          <w:p w14:paraId="7B83E119" w14:textId="0E1AE3DD" w:rsidR="00D44CA0" w:rsidRPr="00D44CA0" w:rsidRDefault="00D44CA0" w:rsidP="00D44CA0">
            <w:pPr>
              <w:spacing w:after="0" w:line="276" w:lineRule="auto"/>
              <w:jc w:val="center"/>
              <w:rPr>
                <w:rFonts w:ascii="Arial" w:eastAsia="Calibri" w:hAnsi="Arial" w:cs="Arial"/>
                <w:sz w:val="20"/>
                <w:szCs w:val="20"/>
              </w:rPr>
            </w:pPr>
            <w:r w:rsidRPr="00D44CA0">
              <w:rPr>
                <w:rFonts w:ascii="Arial" w:eastAsia="Calibri" w:hAnsi="Arial" w:cs="Arial"/>
                <w:sz w:val="20"/>
                <w:szCs w:val="20"/>
              </w:rPr>
              <w:t xml:space="preserve">Synopsis for </w:t>
            </w:r>
            <w:r w:rsidR="007D2AB8">
              <w:rPr>
                <w:rFonts w:ascii="Arial" w:eastAsia="Calibri" w:hAnsi="Arial" w:cs="Arial"/>
                <w:sz w:val="20"/>
                <w:szCs w:val="20"/>
              </w:rPr>
              <w:t xml:space="preserve">April </w:t>
            </w:r>
            <w:r w:rsidR="00341B25">
              <w:rPr>
                <w:rFonts w:ascii="Arial" w:eastAsia="Calibri" w:hAnsi="Arial" w:cs="Arial"/>
                <w:sz w:val="20"/>
                <w:szCs w:val="20"/>
              </w:rPr>
              <w:t>24</w:t>
            </w:r>
            <w:r w:rsidRPr="00D44CA0">
              <w:rPr>
                <w:rFonts w:ascii="Arial" w:eastAsia="Calibri" w:hAnsi="Arial" w:cs="Arial"/>
                <w:sz w:val="20"/>
                <w:szCs w:val="20"/>
              </w:rPr>
              <w:t>, 20</w:t>
            </w:r>
            <w:r w:rsidR="007C749C">
              <w:rPr>
                <w:rFonts w:ascii="Arial" w:eastAsia="Calibri" w:hAnsi="Arial" w:cs="Arial"/>
                <w:sz w:val="20"/>
                <w:szCs w:val="20"/>
              </w:rPr>
              <w:t>20</w:t>
            </w:r>
          </w:p>
        </w:tc>
        <w:tc>
          <w:tcPr>
            <w:tcW w:w="3051" w:type="dxa"/>
            <w:tcMar>
              <w:top w:w="0" w:type="dxa"/>
              <w:left w:w="108" w:type="dxa"/>
              <w:bottom w:w="0" w:type="dxa"/>
              <w:right w:w="108" w:type="dxa"/>
            </w:tcMar>
            <w:vAlign w:val="center"/>
            <w:hideMark/>
          </w:tcPr>
          <w:p w14:paraId="0D5F8282" w14:textId="77777777" w:rsidR="00D44CA0" w:rsidRPr="00D44CA0" w:rsidRDefault="00D44CA0" w:rsidP="00D44CA0">
            <w:pPr>
              <w:spacing w:after="0" w:line="276" w:lineRule="auto"/>
              <w:rPr>
                <w:rFonts w:ascii="Arial" w:eastAsia="Calibri" w:hAnsi="Arial" w:cs="Arial"/>
                <w:sz w:val="20"/>
                <w:szCs w:val="20"/>
              </w:rPr>
            </w:pPr>
            <w:r w:rsidRPr="00D44CA0">
              <w:rPr>
                <w:rFonts w:ascii="Arial" w:eastAsia="Calibri" w:hAnsi="Arial" w:cs="Arial"/>
                <w:noProof/>
                <w:color w:val="0000FF"/>
                <w:sz w:val="20"/>
                <w:szCs w:val="20"/>
              </w:rPr>
              <w:drawing>
                <wp:inline distT="0" distB="0" distL="0" distR="0" wp14:anchorId="37B332AA" wp14:editId="70AB8443">
                  <wp:extent cx="1685925" cy="161925"/>
                  <wp:effectExtent l="0" t="0" r="9525" b="9525"/>
                  <wp:docPr id="12" name="Picture 1" descr="cid:image004.gif@01D52C3C.9C682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gif@01D52C3C.9C682A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85925" cy="161925"/>
                          </a:xfrm>
                          <a:prstGeom prst="rect">
                            <a:avLst/>
                          </a:prstGeom>
                          <a:noFill/>
                          <a:ln>
                            <a:noFill/>
                          </a:ln>
                        </pic:spPr>
                      </pic:pic>
                    </a:graphicData>
                  </a:graphic>
                </wp:inline>
              </w:drawing>
            </w:r>
          </w:p>
        </w:tc>
      </w:tr>
    </w:tbl>
    <w:p w14:paraId="3CE01BDB" w14:textId="1431B900" w:rsidR="00D44CA0" w:rsidRPr="00D44CA0" w:rsidRDefault="00D44CA0" w:rsidP="00D44CA0">
      <w:pPr>
        <w:autoSpaceDE w:val="0"/>
        <w:autoSpaceDN w:val="0"/>
        <w:spacing w:after="0" w:line="240" w:lineRule="auto"/>
        <w:rPr>
          <w:rFonts w:ascii="Arial" w:eastAsia="Calibri" w:hAnsi="Arial" w:cs="Arial"/>
          <w:b/>
          <w:bCs/>
          <w:sz w:val="20"/>
          <w:szCs w:val="20"/>
        </w:rPr>
      </w:pPr>
    </w:p>
    <w:p w14:paraId="7C9985A2" w14:textId="6C12BB5D" w:rsidR="002459B6" w:rsidRDefault="00D44CA0" w:rsidP="002459B6">
      <w:pPr>
        <w:spacing w:after="200" w:line="276" w:lineRule="auto"/>
        <w:rPr>
          <w:rFonts w:ascii="Arial" w:eastAsia="Calibri" w:hAnsi="Arial" w:cs="Arial"/>
          <w:b/>
          <w:bCs/>
          <w:sz w:val="20"/>
          <w:szCs w:val="20"/>
        </w:rPr>
      </w:pPr>
      <w:r w:rsidRPr="00D44CA0">
        <w:rPr>
          <w:rFonts w:ascii="Calibri" w:eastAsia="Calibri" w:hAnsi="Calibri" w:cs="Calibri"/>
          <w:noProof/>
        </w:rPr>
        <w:drawing>
          <wp:anchor distT="4294967295" distB="4294967295" distL="114300" distR="114300" simplePos="0" relativeHeight="251662336" behindDoc="0" locked="0" layoutInCell="1" allowOverlap="1" wp14:anchorId="7EFDFCBE" wp14:editId="70D5EF58">
            <wp:simplePos x="0" y="0"/>
            <wp:positionH relativeFrom="column">
              <wp:posOffset>0</wp:posOffset>
            </wp:positionH>
            <wp:positionV relativeFrom="paragraph">
              <wp:posOffset>18415</wp:posOffset>
            </wp:positionV>
            <wp:extent cx="5838825" cy="9525"/>
            <wp:effectExtent l="0" t="0" r="0" b="0"/>
            <wp:wrapNone/>
            <wp:docPr id="1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825" cy="9525"/>
                    </a:xfrm>
                    <a:prstGeom prst="rect">
                      <a:avLst/>
                    </a:prstGeom>
                    <a:noFill/>
                  </pic:spPr>
                </pic:pic>
              </a:graphicData>
            </a:graphic>
            <wp14:sizeRelH relativeFrom="page">
              <wp14:pctWidth>0</wp14:pctWidth>
            </wp14:sizeRelH>
            <wp14:sizeRelV relativeFrom="page">
              <wp14:pctHeight>0</wp14:pctHeight>
            </wp14:sizeRelV>
          </wp:anchor>
        </w:drawing>
      </w:r>
      <w:bookmarkStart w:id="2" w:name="OLE_LINK30"/>
      <w:bookmarkStart w:id="3" w:name="OLE_LINK29"/>
      <w:bookmarkStart w:id="4" w:name="OLE_LINK31"/>
      <w:bookmarkStart w:id="5" w:name="OLE_LINK28"/>
      <w:bookmarkEnd w:id="2"/>
      <w:bookmarkEnd w:id="3"/>
      <w:bookmarkEnd w:id="4"/>
      <w:bookmarkEnd w:id="5"/>
    </w:p>
    <w:p w14:paraId="1637A806" w14:textId="77777777" w:rsidR="00341B25" w:rsidRDefault="00341B25" w:rsidP="00341B25">
      <w:pPr>
        <w:spacing w:after="0" w:line="240" w:lineRule="auto"/>
        <w:rPr>
          <w:rFonts w:ascii="Arial" w:eastAsia="Calibri" w:hAnsi="Arial" w:cs="Arial"/>
          <w:b/>
          <w:bCs/>
          <w:sz w:val="20"/>
          <w:szCs w:val="20"/>
        </w:rPr>
      </w:pPr>
      <w:r w:rsidRPr="006B4D0A">
        <w:rPr>
          <w:rFonts w:ascii="Arial" w:eastAsia="Calibri" w:hAnsi="Arial" w:cs="Arial"/>
          <w:b/>
          <w:bCs/>
          <w:sz w:val="20"/>
          <w:szCs w:val="20"/>
        </w:rPr>
        <w:t>Update on Vaccine-Derived Poliovirus Outbreaks — Worldwide, July 2019–February 2020</w:t>
      </w:r>
    </w:p>
    <w:p w14:paraId="60414B7C" w14:textId="7035BCA1" w:rsidR="00B14811" w:rsidRDefault="00B14811" w:rsidP="00A03752">
      <w:pPr>
        <w:spacing w:after="0" w:line="240" w:lineRule="auto"/>
        <w:rPr>
          <w:rFonts w:ascii="Arial" w:eastAsia="Calibri" w:hAnsi="Arial" w:cs="Arial"/>
          <w:b/>
          <w:bCs/>
          <w:sz w:val="20"/>
          <w:szCs w:val="20"/>
        </w:rPr>
      </w:pPr>
    </w:p>
    <w:p w14:paraId="7156D72E" w14:textId="77777777" w:rsidR="003C52B8" w:rsidRPr="003C52B8" w:rsidRDefault="003C52B8" w:rsidP="003C52B8">
      <w:pPr>
        <w:autoSpaceDE w:val="0"/>
        <w:autoSpaceDN w:val="0"/>
        <w:spacing w:after="0" w:line="240" w:lineRule="auto"/>
        <w:rPr>
          <w:rFonts w:ascii="Arial" w:eastAsia="Calibri" w:hAnsi="Arial" w:cs="Arial"/>
          <w:sz w:val="20"/>
          <w:szCs w:val="20"/>
        </w:rPr>
      </w:pPr>
      <w:bookmarkStart w:id="6" w:name="_Hlk31789368"/>
      <w:bookmarkStart w:id="7" w:name="_Hlk23854222"/>
      <w:r w:rsidRPr="003C52B8">
        <w:rPr>
          <w:rFonts w:ascii="Arial" w:eastAsia="Calibri" w:hAnsi="Arial" w:cs="Arial"/>
          <w:i/>
          <w:iCs/>
          <w:sz w:val="20"/>
          <w:szCs w:val="20"/>
        </w:rPr>
        <w:t xml:space="preserve">The number of outbreaks of circulating vaccine-derived polioviruses (cVDPVs) have progressively increased from nine during January 2017–June 2018 to 33 during July 2019–February 2020, with the majority of those outbreaks caused by cVDPV type 2. </w:t>
      </w:r>
      <w:bookmarkStart w:id="8" w:name="_Hlk37339794"/>
      <w:r w:rsidRPr="003C52B8">
        <w:rPr>
          <w:rFonts w:ascii="Arial" w:eastAsia="Calibri" w:hAnsi="Arial" w:cs="Arial"/>
          <w:color w:val="000000"/>
          <w:sz w:val="20"/>
          <w:szCs w:val="20"/>
        </w:rPr>
        <w:t>Circulating vaccine-derived polioviruses (cVDPVs) can emerge in populations with low poliovirus immunity and cause polio outbreaks. During July 2019–February 2020, 13 ongoing and 20 new cVDPV outbreaks were reported; 10 outbreaks spread internationally. In 2016, there was a synchronized switch from trivalent (Sabin 1, 2, 3) oral poliovirus vaccine (OPV) to bivalent (Sabin 1, 3) OPV. The number and geographic span of cVDPV type 2 (cVDPV2) outbreaks increased beyond 2016 projections. New cVDPV2 outbreaks are linked to poor monovalent Sabin OPV2 coverage during outbreak response campaigns and an absence of type 2 immunity in children born after the switch. In mid-2020, the Global Polio Eradication Initiative plans to introduce a genetically stabilized, novel OPV2 for outbreak response to lower the risk of cVDPV2 outbreaks.</w:t>
      </w:r>
      <w:bookmarkEnd w:id="8"/>
    </w:p>
    <w:p w14:paraId="3D590097" w14:textId="2F6F7931" w:rsidR="00341B25" w:rsidRPr="0085732C" w:rsidRDefault="00A77680" w:rsidP="0085732C">
      <w:pPr>
        <w:rPr>
          <w:rFonts w:ascii="Arial" w:eastAsia="Calibri" w:hAnsi="Arial" w:cs="Arial"/>
          <w:sz w:val="20"/>
          <w:szCs w:val="20"/>
        </w:rPr>
      </w:pPr>
      <w:bookmarkStart w:id="9" w:name="_GoBack"/>
      <w:bookmarkEnd w:id="9"/>
      <w:r w:rsidRPr="00D60F9C">
        <w:rPr>
          <w:rFonts w:ascii="Arial" w:eastAsia="Calibri" w:hAnsi="Arial" w:cs="Arial"/>
          <w:sz w:val="20"/>
          <w:szCs w:val="20"/>
        </w:rPr>
        <w:t>Link once embargo lifts:</w:t>
      </w:r>
      <w:r w:rsidR="00364D59" w:rsidRPr="00D60F9C">
        <w:rPr>
          <w:rFonts w:ascii="Arial" w:eastAsia="Calibri" w:hAnsi="Arial" w:cs="Arial"/>
          <w:sz w:val="20"/>
          <w:szCs w:val="20"/>
        </w:rPr>
        <w:t xml:space="preserve"> </w:t>
      </w:r>
      <w:hyperlink r:id="rId14" w:history="1">
        <w:r w:rsidR="0085732C" w:rsidRPr="00405B50">
          <w:rPr>
            <w:rStyle w:val="Hyperlink"/>
            <w:rFonts w:ascii="Arial" w:eastAsia="Calibri" w:hAnsi="Arial" w:cs="Arial"/>
            <w:sz w:val="20"/>
            <w:szCs w:val="20"/>
          </w:rPr>
          <w:t>https://www.cdc.gov/mmwr/volumes/69/wr/mm6916a1.htm?s_cid=mm6916a1_w</w:t>
        </w:r>
      </w:hyperlink>
    </w:p>
    <w:p w14:paraId="2A4BAEEE" w14:textId="5A950B61" w:rsidR="00341B25" w:rsidRDefault="00341B25" w:rsidP="00341B25">
      <w:pPr>
        <w:spacing w:after="0" w:line="240" w:lineRule="auto"/>
        <w:rPr>
          <w:rFonts w:ascii="Arial" w:eastAsia="Calibri" w:hAnsi="Arial" w:cs="Arial"/>
          <w:b/>
          <w:bCs/>
          <w:sz w:val="20"/>
          <w:szCs w:val="20"/>
        </w:rPr>
      </w:pPr>
      <w:r w:rsidRPr="006B4D0A">
        <w:rPr>
          <w:rFonts w:ascii="Arial" w:eastAsia="Calibri" w:hAnsi="Arial" w:cs="Arial"/>
          <w:b/>
          <w:bCs/>
          <w:sz w:val="20"/>
          <w:szCs w:val="20"/>
        </w:rPr>
        <w:t>Cleaning and Disinfectant Chemical Exposures and Temporal Associations with COVID-19 — National Poison Data System, United States, January 1, 2020–March 31, 2020</w:t>
      </w:r>
      <w:r w:rsidR="00317E00">
        <w:rPr>
          <w:rFonts w:ascii="Arial" w:eastAsia="Calibri" w:hAnsi="Arial" w:cs="Arial"/>
          <w:b/>
          <w:bCs/>
          <w:sz w:val="20"/>
          <w:szCs w:val="20"/>
        </w:rPr>
        <w:t xml:space="preserve"> (Early Release April 20)</w:t>
      </w:r>
    </w:p>
    <w:p w14:paraId="1AB6F857" w14:textId="644B5F5C" w:rsidR="00F66649" w:rsidRDefault="00341B25" w:rsidP="00341B25">
      <w:pPr>
        <w:spacing w:after="200" w:line="240" w:lineRule="auto"/>
        <w:contextualSpacing/>
        <w:rPr>
          <w:rFonts w:ascii="Arial" w:eastAsia="Calibri" w:hAnsi="Arial" w:cs="Arial"/>
          <w:bCs/>
          <w:sz w:val="20"/>
          <w:szCs w:val="20"/>
        </w:rPr>
      </w:pPr>
      <w:r>
        <w:rPr>
          <w:rFonts w:ascii="Arial" w:eastAsia="Calibri" w:hAnsi="Arial" w:cs="Arial"/>
          <w:sz w:val="20"/>
          <w:szCs w:val="20"/>
        </w:rPr>
        <w:t>Link:</w:t>
      </w:r>
      <w:bookmarkEnd w:id="6"/>
      <w:r w:rsidRPr="006B4D0A">
        <w:rPr>
          <w:rFonts w:ascii="Arial" w:eastAsia="Calibri" w:hAnsi="Arial" w:cs="Arial"/>
          <w:bCs/>
          <w:sz w:val="20"/>
          <w:szCs w:val="20"/>
        </w:rPr>
        <w:t xml:space="preserve"> </w:t>
      </w:r>
      <w:hyperlink r:id="rId15" w:history="1">
        <w:r w:rsidR="0085732C" w:rsidRPr="00405B50">
          <w:rPr>
            <w:rStyle w:val="Hyperlink"/>
            <w:rFonts w:ascii="Arial" w:eastAsia="Calibri" w:hAnsi="Arial" w:cs="Arial"/>
            <w:bCs/>
            <w:sz w:val="20"/>
            <w:szCs w:val="20"/>
          </w:rPr>
          <w:t>https://www.cdc.gov/mmwr/volumes/69/wr/mm6916e1.htm?s_cid=mm6916e1_w</w:t>
        </w:r>
      </w:hyperlink>
    </w:p>
    <w:bookmarkEnd w:id="7"/>
    <w:p w14:paraId="54249A11" w14:textId="3E9255D3" w:rsidR="00D15D56" w:rsidRPr="00D15D56" w:rsidRDefault="00D15D56" w:rsidP="00D15D56">
      <w:pPr>
        <w:spacing w:line="240" w:lineRule="auto"/>
        <w:contextualSpacing/>
        <w:rPr>
          <w:rStyle w:val="Hyperlink"/>
          <w:rFonts w:ascii="Arial" w:eastAsia="Calibri" w:hAnsi="Arial" w:cs="Arial"/>
          <w:bCs/>
          <w:color w:val="auto"/>
          <w:sz w:val="20"/>
          <w:szCs w:val="20"/>
          <w:u w:val="none"/>
        </w:rPr>
      </w:pPr>
    </w:p>
    <w:p w14:paraId="694A8F69" w14:textId="304C14CF" w:rsidR="00676669" w:rsidRDefault="00676669" w:rsidP="00676669">
      <w:pPr>
        <w:rPr>
          <w:rFonts w:ascii="Arial" w:hAnsi="Arial" w:cs="Arial"/>
          <w:b/>
          <w:bCs/>
          <w:sz w:val="20"/>
          <w:szCs w:val="20"/>
          <w:u w:val="single"/>
        </w:rPr>
      </w:pPr>
      <w:r w:rsidRPr="00676669">
        <w:rPr>
          <w:rFonts w:ascii="Arial" w:hAnsi="Arial" w:cs="Arial"/>
          <w:b/>
          <w:bCs/>
          <w:sz w:val="20"/>
          <w:szCs w:val="20"/>
          <w:u w:val="single"/>
        </w:rPr>
        <w:t>Notes from the Field:</w:t>
      </w:r>
    </w:p>
    <w:p w14:paraId="2669C824" w14:textId="0A4E3AB1" w:rsidR="00D60F9C" w:rsidRDefault="006B4D0A" w:rsidP="00F94DF8">
      <w:pPr>
        <w:pStyle w:val="ListParagraph"/>
        <w:numPr>
          <w:ilvl w:val="0"/>
          <w:numId w:val="20"/>
        </w:numPr>
        <w:shd w:val="clear" w:color="auto" w:fill="FFFFFF"/>
        <w:spacing w:after="150"/>
        <w:rPr>
          <w:rFonts w:ascii="Arial" w:hAnsi="Arial" w:cs="Arial"/>
          <w:b/>
          <w:bCs/>
          <w:color w:val="000000"/>
          <w:sz w:val="20"/>
          <w:szCs w:val="20"/>
          <w:shd w:val="clear" w:color="auto" w:fill="FFFFFF"/>
        </w:rPr>
      </w:pPr>
      <w:r w:rsidRPr="006B4D0A">
        <w:rPr>
          <w:rFonts w:ascii="Arial" w:hAnsi="Arial" w:cs="Arial"/>
          <w:b/>
          <w:bCs/>
          <w:color w:val="000000"/>
          <w:sz w:val="20"/>
          <w:szCs w:val="20"/>
          <w:shd w:val="clear" w:color="auto" w:fill="FFFFFF"/>
        </w:rPr>
        <w:t>Outbreak of Human Immunodeficiency Virus Infection Among Persons Who Inject Drugs — Cabell County, West Virginia, 2018–2019</w:t>
      </w:r>
    </w:p>
    <w:p w14:paraId="14E53F39" w14:textId="68807DE3" w:rsidR="00F66649" w:rsidRDefault="00F66649" w:rsidP="00F66649">
      <w:pPr>
        <w:pStyle w:val="ListParagraph"/>
        <w:shd w:val="clear" w:color="auto" w:fill="FFFFFF"/>
        <w:spacing w:after="150"/>
        <w:ind w:left="360"/>
        <w:rPr>
          <w:rFonts w:ascii="Arial" w:hAnsi="Arial" w:cs="Arial"/>
          <w:b/>
          <w:bCs/>
          <w:color w:val="000000"/>
          <w:sz w:val="20"/>
          <w:szCs w:val="20"/>
          <w:shd w:val="clear" w:color="auto" w:fill="FFFFFF"/>
        </w:rPr>
      </w:pPr>
    </w:p>
    <w:p w14:paraId="33033FF6" w14:textId="1E3237EA" w:rsidR="00135F14" w:rsidRDefault="00135F14" w:rsidP="00135F14">
      <w:pPr>
        <w:pStyle w:val="ListParagraph"/>
        <w:shd w:val="clear" w:color="auto" w:fill="FFFFFF"/>
        <w:spacing w:after="150"/>
        <w:ind w:left="360"/>
        <w:rPr>
          <w:rFonts w:ascii="Arial" w:hAnsi="Arial" w:cs="Arial"/>
          <w:color w:val="000000"/>
          <w:sz w:val="20"/>
          <w:szCs w:val="20"/>
          <w:shd w:val="clear" w:color="auto" w:fill="FFFFFF"/>
        </w:rPr>
      </w:pPr>
      <w:r w:rsidRPr="00135F14">
        <w:rPr>
          <w:rFonts w:ascii="Arial" w:hAnsi="Arial" w:cs="Arial"/>
          <w:i/>
          <w:iCs/>
          <w:color w:val="000000"/>
          <w:sz w:val="20"/>
          <w:szCs w:val="20"/>
          <w:shd w:val="clear" w:color="auto" w:fill="FFFFFF"/>
        </w:rPr>
        <w:t>A recent HIV outbreak among people who inject drugs in Cabell County, West Virginia underscores the importance of HIV prevention, diagnosis, and care in communities with high rates of substance use disorder.</w:t>
      </w:r>
      <w:r w:rsidRPr="00135F14">
        <w:rPr>
          <w:rFonts w:ascii="Arial" w:hAnsi="Arial" w:cs="Arial"/>
          <w:color w:val="000000"/>
          <w:sz w:val="20"/>
          <w:szCs w:val="20"/>
          <w:shd w:val="clear" w:color="auto" w:fill="FFFFFF"/>
        </w:rPr>
        <w:t xml:space="preserve"> Cabell County, West Virginia is a medium-sized metropolitan area with high rates of substance use disorder, but historically low HIV diagnoses – averaging two HIV diagnoses among people who inject drugs (PWID) annually during 2013-2017. However, during January 2018 to October 2019, the community experienced an HIV outbreak among PWID, with a total of 82 HIV diagnoses. In response, the West Virginia Bureau for Public Health</w:t>
      </w:r>
      <w:r w:rsidR="00317E00">
        <w:rPr>
          <w:rFonts w:ascii="Arial" w:hAnsi="Arial" w:cs="Arial"/>
          <w:color w:val="000000"/>
          <w:sz w:val="20"/>
          <w:szCs w:val="20"/>
          <w:shd w:val="clear" w:color="auto" w:fill="FFFFFF"/>
        </w:rPr>
        <w:t>,</w:t>
      </w:r>
      <w:r w:rsidRPr="00135F14">
        <w:rPr>
          <w:rFonts w:ascii="Arial" w:hAnsi="Arial" w:cs="Arial"/>
          <w:color w:val="000000"/>
          <w:sz w:val="20"/>
          <w:szCs w:val="20"/>
          <w:shd w:val="clear" w:color="auto" w:fill="FFFFFF"/>
        </w:rPr>
        <w:t xml:space="preserve"> </w:t>
      </w:r>
      <w:r w:rsidR="00317E00">
        <w:rPr>
          <w:rFonts w:ascii="Arial" w:hAnsi="Arial" w:cs="Arial"/>
          <w:color w:val="000000"/>
          <w:sz w:val="20"/>
          <w:szCs w:val="20"/>
          <w:shd w:val="clear" w:color="auto" w:fill="FFFFFF"/>
        </w:rPr>
        <w:t xml:space="preserve">the </w:t>
      </w:r>
      <w:r w:rsidRPr="00135F14">
        <w:rPr>
          <w:rFonts w:ascii="Arial" w:hAnsi="Arial" w:cs="Arial"/>
          <w:color w:val="000000"/>
          <w:sz w:val="20"/>
          <w:szCs w:val="20"/>
          <w:shd w:val="clear" w:color="auto" w:fill="FFFFFF"/>
        </w:rPr>
        <w:t>Cabell-Huntington Health Department,</w:t>
      </w:r>
      <w:r w:rsidR="00317E00">
        <w:rPr>
          <w:rFonts w:ascii="Arial" w:hAnsi="Arial" w:cs="Arial"/>
          <w:color w:val="000000"/>
          <w:sz w:val="20"/>
          <w:szCs w:val="20"/>
          <w:shd w:val="clear" w:color="auto" w:fill="FFFFFF"/>
        </w:rPr>
        <w:t xml:space="preserve"> </w:t>
      </w:r>
      <w:r w:rsidRPr="00135F14">
        <w:rPr>
          <w:rFonts w:ascii="Arial" w:hAnsi="Arial" w:cs="Arial"/>
          <w:color w:val="000000"/>
          <w:sz w:val="20"/>
          <w:szCs w:val="20"/>
          <w:shd w:val="clear" w:color="auto" w:fill="FFFFFF"/>
        </w:rPr>
        <w:t>and the Centers for Disease Control and Prevention worked together to rapidly diagnose HIV, link people to HIV care, and expand access to pre-exposure prophylaxis (PrEP) and syringe services, addressing the causes and consequences of HIV in the community.</w:t>
      </w:r>
    </w:p>
    <w:p w14:paraId="464F389B" w14:textId="45B4DAE0" w:rsidR="00D44CA0" w:rsidRPr="00D7442C" w:rsidRDefault="00676669" w:rsidP="00D7442C">
      <w:pPr>
        <w:pStyle w:val="ListParagraph"/>
        <w:shd w:val="clear" w:color="auto" w:fill="FFFFFF"/>
        <w:spacing w:after="150"/>
        <w:ind w:left="360"/>
        <w:rPr>
          <w:rFonts w:ascii="Arial" w:hAnsi="Arial" w:cs="Arial"/>
          <w:sz w:val="20"/>
          <w:szCs w:val="20"/>
        </w:rPr>
      </w:pPr>
      <w:r w:rsidRPr="00664931">
        <w:rPr>
          <w:rFonts w:ascii="Arial" w:hAnsi="Arial" w:cs="Arial"/>
          <w:sz w:val="20"/>
          <w:szCs w:val="20"/>
        </w:rPr>
        <w:t>Link once embargo lifts:</w:t>
      </w:r>
      <w:r w:rsidR="008638E7" w:rsidRPr="008638E7">
        <w:t xml:space="preserve"> </w:t>
      </w:r>
      <w:hyperlink r:id="rId16" w:history="1">
        <w:r w:rsidR="00D7442C" w:rsidRPr="00D7442C">
          <w:rPr>
            <w:rStyle w:val="Hyperlink"/>
            <w:rFonts w:ascii="Arial" w:hAnsi="Arial" w:cs="Arial"/>
            <w:sz w:val="20"/>
            <w:szCs w:val="20"/>
          </w:rPr>
          <w:t>https://www.cdc.gov/mmwr/volumes/69/wr/mm6916a2.htm?s_cid=mm6916a2_w</w:t>
        </w:r>
      </w:hyperlink>
    </w:p>
    <w:p w14:paraId="463D9E6A" w14:textId="77777777" w:rsidR="00D7442C" w:rsidRPr="00D7442C" w:rsidRDefault="00D7442C" w:rsidP="00D7442C">
      <w:pPr>
        <w:pStyle w:val="ListParagraph"/>
        <w:shd w:val="clear" w:color="auto" w:fill="FFFFFF"/>
        <w:spacing w:after="150"/>
        <w:ind w:left="360"/>
        <w:rPr>
          <w:rFonts w:ascii="Arial" w:hAnsi="Arial" w:cs="Arial"/>
          <w:sz w:val="20"/>
          <w:szCs w:val="20"/>
        </w:rPr>
      </w:pPr>
    </w:p>
    <w:p w14:paraId="04BE7397" w14:textId="4D4A43DF" w:rsidR="001E36B0" w:rsidRDefault="006B4D0A" w:rsidP="005126F1">
      <w:pPr>
        <w:pStyle w:val="ListParagraph"/>
        <w:numPr>
          <w:ilvl w:val="0"/>
          <w:numId w:val="16"/>
        </w:numPr>
        <w:spacing w:after="0" w:line="240" w:lineRule="auto"/>
        <w:rPr>
          <w:rFonts w:ascii="Arial" w:eastAsia="Calibri" w:hAnsi="Arial" w:cs="Arial"/>
          <w:b/>
          <w:bCs/>
          <w:sz w:val="20"/>
          <w:szCs w:val="20"/>
        </w:rPr>
      </w:pPr>
      <w:bookmarkStart w:id="10" w:name="_Hlk21442750"/>
      <w:bookmarkStart w:id="11" w:name="_Hlk17807011"/>
      <w:bookmarkStart w:id="12" w:name="_Hlk29906166"/>
      <w:bookmarkStart w:id="13" w:name="_Hlk26881183"/>
      <w:bookmarkStart w:id="14" w:name="_Hlk23157587"/>
      <w:bookmarkStart w:id="15" w:name="_Hlk23157689"/>
      <w:bookmarkStart w:id="16" w:name="_Hlk32404742"/>
      <w:bookmarkStart w:id="17" w:name="_Hlk31181210"/>
      <w:r w:rsidRPr="006B4D0A">
        <w:rPr>
          <w:rFonts w:ascii="Arial" w:eastAsia="Calibri" w:hAnsi="Arial" w:cs="Arial"/>
          <w:b/>
          <w:bCs/>
          <w:sz w:val="20"/>
          <w:szCs w:val="20"/>
        </w:rPr>
        <w:t>Multiple Cruise Ship Outbreaks of Norovirus Associated with Frozen Fruits and Berries — United States, 2019</w:t>
      </w:r>
    </w:p>
    <w:p w14:paraId="351A9B2D" w14:textId="56949F25" w:rsidR="00135F14" w:rsidRPr="00135F14" w:rsidRDefault="00135F14" w:rsidP="00135F14">
      <w:pPr>
        <w:spacing w:after="0" w:line="240" w:lineRule="auto"/>
        <w:rPr>
          <w:rFonts w:ascii="Arial" w:eastAsia="Calibri" w:hAnsi="Arial" w:cs="Arial"/>
          <w:sz w:val="20"/>
          <w:szCs w:val="20"/>
        </w:rPr>
      </w:pPr>
    </w:p>
    <w:p w14:paraId="1EAA27FC" w14:textId="79AE965F" w:rsidR="00135F14" w:rsidRPr="00135F14" w:rsidRDefault="00135F14" w:rsidP="00135F14">
      <w:pPr>
        <w:spacing w:after="0" w:line="240" w:lineRule="auto"/>
        <w:ind w:left="360"/>
        <w:rPr>
          <w:rFonts w:ascii="Arial" w:eastAsia="Calibri" w:hAnsi="Arial" w:cs="Arial"/>
          <w:sz w:val="20"/>
          <w:szCs w:val="20"/>
        </w:rPr>
      </w:pPr>
      <w:r w:rsidRPr="00135F14">
        <w:rPr>
          <w:rFonts w:ascii="Arial" w:eastAsia="Calibri" w:hAnsi="Arial" w:cs="Arial"/>
          <w:i/>
          <w:iCs/>
          <w:sz w:val="20"/>
          <w:szCs w:val="20"/>
        </w:rPr>
        <w:t xml:space="preserve">This investigation highlights the importance of acute gastroenteritis (AGE) surveillance at sea to identify contaminated foods not yet implicated on land and to prevent transmission of AGE illness through U.S. ports. </w:t>
      </w:r>
      <w:r w:rsidRPr="0085732C">
        <w:rPr>
          <w:rFonts w:ascii="Arial" w:eastAsia="Calibri" w:hAnsi="Arial" w:cs="Arial"/>
          <w:sz w:val="20"/>
          <w:szCs w:val="20"/>
        </w:rPr>
        <w:t>Cruise</w:t>
      </w:r>
      <w:r w:rsidRPr="00135F14">
        <w:rPr>
          <w:rFonts w:ascii="Arial" w:eastAsia="Calibri" w:hAnsi="Arial" w:cs="Arial"/>
          <w:sz w:val="20"/>
          <w:szCs w:val="20"/>
        </w:rPr>
        <w:t xml:space="preserve"> line X had 10 outbreaks of acute gastroenteritis (AGE) on ships sailing in Europe in fall 2019. On September 18, CDC’s Vessel Sanitation Program (VSP) was notified of an outbreak on a ship sailing into U.S. jurisdiction; on October 7, VSP was notified of two more. Onboard questionnaires implicated a smoothie, and CDC asked FDA to test frozen fruit and berry items for norovirus. Three items tested positive; after their removal, no further outbreaks were reported on the cruise line. All ships in cruise line X received frozen </w:t>
      </w:r>
      <w:r w:rsidRPr="00135F14">
        <w:rPr>
          <w:rFonts w:ascii="Arial" w:eastAsia="Calibri" w:hAnsi="Arial" w:cs="Arial"/>
          <w:sz w:val="20"/>
          <w:szCs w:val="20"/>
        </w:rPr>
        <w:lastRenderedPageBreak/>
        <w:t>raspberries from China starting in June 2019; in November, the World Health Organization issued a recall for frozen raspberries from China.</w:t>
      </w:r>
    </w:p>
    <w:p w14:paraId="10776B64" w14:textId="77079C6D" w:rsidR="00C9688E" w:rsidRDefault="00D44CA0" w:rsidP="005126F1">
      <w:pPr>
        <w:spacing w:after="0" w:line="240" w:lineRule="auto"/>
        <w:ind w:left="364"/>
        <w:rPr>
          <w:rFonts w:ascii="Arial" w:eastAsia="Calibri" w:hAnsi="Arial" w:cs="Arial"/>
          <w:sz w:val="20"/>
          <w:szCs w:val="20"/>
        </w:rPr>
      </w:pPr>
      <w:r w:rsidRPr="00135F14">
        <w:rPr>
          <w:rFonts w:ascii="Arial" w:eastAsia="Calibri" w:hAnsi="Arial" w:cs="Arial"/>
          <w:sz w:val="20"/>
          <w:szCs w:val="20"/>
        </w:rPr>
        <w:t>Link once embargo lifts:</w:t>
      </w:r>
      <w:bookmarkEnd w:id="10"/>
      <w:bookmarkEnd w:id="11"/>
      <w:r w:rsidR="007528DE" w:rsidRPr="00135F14">
        <w:rPr>
          <w:rFonts w:ascii="Arial" w:eastAsia="Calibri" w:hAnsi="Arial" w:cs="Arial"/>
          <w:sz w:val="20"/>
          <w:szCs w:val="20"/>
        </w:rPr>
        <w:t xml:space="preserve"> </w:t>
      </w:r>
      <w:bookmarkStart w:id="18" w:name="_Hlk19018931"/>
      <w:bookmarkEnd w:id="12"/>
      <w:bookmarkEnd w:id="13"/>
      <w:bookmarkEnd w:id="14"/>
      <w:bookmarkEnd w:id="15"/>
      <w:bookmarkEnd w:id="16"/>
      <w:r w:rsidR="00D7442C">
        <w:rPr>
          <w:rFonts w:ascii="Arial" w:eastAsia="Calibri" w:hAnsi="Arial" w:cs="Arial"/>
          <w:sz w:val="20"/>
          <w:szCs w:val="20"/>
        </w:rPr>
        <w:fldChar w:fldCharType="begin"/>
      </w:r>
      <w:r w:rsidR="00D7442C">
        <w:rPr>
          <w:rFonts w:ascii="Arial" w:eastAsia="Calibri" w:hAnsi="Arial" w:cs="Arial"/>
          <w:sz w:val="20"/>
          <w:szCs w:val="20"/>
        </w:rPr>
        <w:instrText xml:space="preserve"> HYPERLINK "</w:instrText>
      </w:r>
      <w:r w:rsidR="00D7442C" w:rsidRPr="00D7442C">
        <w:rPr>
          <w:rFonts w:ascii="Arial" w:eastAsia="Calibri" w:hAnsi="Arial" w:cs="Arial"/>
          <w:sz w:val="20"/>
          <w:szCs w:val="20"/>
        </w:rPr>
        <w:instrText>https://www.cdc.gov/mmwr/volumes/69/wr/mm6916a3.htm?s_cid=mm6916a3_w</w:instrText>
      </w:r>
      <w:r w:rsidR="00D7442C">
        <w:rPr>
          <w:rFonts w:ascii="Arial" w:eastAsia="Calibri" w:hAnsi="Arial" w:cs="Arial"/>
          <w:sz w:val="20"/>
          <w:szCs w:val="20"/>
        </w:rPr>
        <w:instrText xml:space="preserve">" </w:instrText>
      </w:r>
      <w:r w:rsidR="00D7442C">
        <w:rPr>
          <w:rFonts w:ascii="Arial" w:eastAsia="Calibri" w:hAnsi="Arial" w:cs="Arial"/>
          <w:sz w:val="20"/>
          <w:szCs w:val="20"/>
        </w:rPr>
        <w:fldChar w:fldCharType="separate"/>
      </w:r>
      <w:r w:rsidR="00D7442C" w:rsidRPr="00405B50">
        <w:rPr>
          <w:rStyle w:val="Hyperlink"/>
          <w:rFonts w:ascii="Arial" w:eastAsia="Calibri" w:hAnsi="Arial" w:cs="Arial"/>
          <w:sz w:val="20"/>
          <w:szCs w:val="20"/>
        </w:rPr>
        <w:t>https://www.cdc.gov/mmwr/volumes/69/wr/mm6916a3.htm?s_cid=mm6916a3_w</w:t>
      </w:r>
      <w:r w:rsidR="00D7442C">
        <w:rPr>
          <w:rFonts w:ascii="Arial" w:eastAsia="Calibri" w:hAnsi="Arial" w:cs="Arial"/>
          <w:sz w:val="20"/>
          <w:szCs w:val="20"/>
        </w:rPr>
        <w:fldChar w:fldCharType="end"/>
      </w:r>
    </w:p>
    <w:p w14:paraId="71363A04" w14:textId="5C41FF3B" w:rsidR="006B4D0A" w:rsidRDefault="006B4D0A" w:rsidP="00BF5FF5">
      <w:pPr>
        <w:spacing w:after="0" w:line="240" w:lineRule="auto"/>
        <w:rPr>
          <w:rFonts w:ascii="Arial" w:eastAsia="Calibri" w:hAnsi="Arial" w:cs="Arial"/>
          <w:sz w:val="20"/>
          <w:szCs w:val="20"/>
        </w:rPr>
      </w:pPr>
    </w:p>
    <w:p w14:paraId="6AE971CB" w14:textId="2E691327" w:rsidR="00BF5FF5" w:rsidRDefault="00BF5FF5" w:rsidP="00BF5FF5">
      <w:pPr>
        <w:spacing w:after="0" w:line="240" w:lineRule="auto"/>
        <w:rPr>
          <w:rFonts w:ascii="Arial" w:eastAsia="Calibri" w:hAnsi="Arial" w:cs="Arial"/>
          <w:sz w:val="20"/>
          <w:szCs w:val="20"/>
          <w:u w:val="single"/>
        </w:rPr>
      </w:pPr>
      <w:r w:rsidRPr="00BF5FF5">
        <w:rPr>
          <w:rFonts w:ascii="Arial" w:eastAsia="Calibri" w:hAnsi="Arial" w:cs="Arial"/>
          <w:b/>
          <w:bCs/>
          <w:sz w:val="20"/>
          <w:szCs w:val="20"/>
          <w:u w:val="single"/>
        </w:rPr>
        <w:t>QuickStats</w:t>
      </w:r>
      <w:r w:rsidRPr="00BF5FF5">
        <w:rPr>
          <w:rFonts w:ascii="Arial" w:eastAsia="Calibri" w:hAnsi="Arial" w:cs="Arial"/>
          <w:sz w:val="20"/>
          <w:szCs w:val="20"/>
          <w:u w:val="single"/>
        </w:rPr>
        <w:t>:</w:t>
      </w:r>
    </w:p>
    <w:p w14:paraId="10108202" w14:textId="64583B19" w:rsidR="00BF5FF5" w:rsidRDefault="00BF5FF5" w:rsidP="00BF5FF5">
      <w:pPr>
        <w:spacing w:after="0" w:line="240" w:lineRule="auto"/>
        <w:rPr>
          <w:rFonts w:ascii="Arial" w:eastAsia="Calibri" w:hAnsi="Arial" w:cs="Arial"/>
          <w:sz w:val="20"/>
          <w:szCs w:val="20"/>
          <w:u w:val="single"/>
        </w:rPr>
      </w:pPr>
    </w:p>
    <w:p w14:paraId="27E02D03" w14:textId="602886D5" w:rsidR="00BF5FF5" w:rsidRDefault="00BF5FF5" w:rsidP="00BF5FF5">
      <w:pPr>
        <w:pStyle w:val="ListParagraph"/>
        <w:numPr>
          <w:ilvl w:val="0"/>
          <w:numId w:val="16"/>
        </w:numPr>
        <w:spacing w:after="0" w:line="240" w:lineRule="auto"/>
        <w:rPr>
          <w:rFonts w:ascii="Arial" w:eastAsia="Calibri" w:hAnsi="Arial" w:cs="Arial"/>
          <w:b/>
          <w:bCs/>
          <w:sz w:val="20"/>
          <w:szCs w:val="20"/>
        </w:rPr>
      </w:pPr>
      <w:r w:rsidRPr="00BF5FF5">
        <w:rPr>
          <w:rFonts w:ascii="Arial" w:eastAsia="Calibri" w:hAnsi="Arial" w:cs="Arial"/>
          <w:b/>
          <w:bCs/>
          <w:sz w:val="20"/>
          <w:szCs w:val="20"/>
        </w:rPr>
        <w:t>Percentage of Currently Employed Adults Aged ≥18 Years Who Reported an Average of ≤6 Hours of Sleep per 24-Hour Period, by Employment Category — National Health Interview Survey, United States, 2008–2009 and 2017–2018</w:t>
      </w:r>
    </w:p>
    <w:p w14:paraId="0DC98069" w14:textId="5CB1E749" w:rsidR="00BF5FF5" w:rsidRDefault="00BF5FF5" w:rsidP="00BF5FF5">
      <w:pPr>
        <w:pStyle w:val="ListParagraph"/>
        <w:spacing w:after="0" w:line="240" w:lineRule="auto"/>
        <w:ind w:left="360"/>
        <w:rPr>
          <w:rFonts w:ascii="Arial" w:eastAsia="Calibri" w:hAnsi="Arial" w:cs="Arial"/>
          <w:sz w:val="20"/>
          <w:szCs w:val="20"/>
        </w:rPr>
      </w:pPr>
      <w:r w:rsidRPr="00BF5FF5">
        <w:rPr>
          <w:rFonts w:ascii="Arial" w:eastAsia="Calibri" w:hAnsi="Arial" w:cs="Arial"/>
          <w:sz w:val="20"/>
          <w:szCs w:val="20"/>
        </w:rPr>
        <w:t>Link once embargo lifts:</w:t>
      </w:r>
      <w:r w:rsidR="00D7442C" w:rsidRPr="00D7442C">
        <w:t xml:space="preserve"> </w:t>
      </w:r>
      <w:hyperlink r:id="rId17" w:history="1">
        <w:r w:rsidR="00D7442C" w:rsidRPr="00405B50">
          <w:rPr>
            <w:rStyle w:val="Hyperlink"/>
            <w:rFonts w:ascii="Arial" w:eastAsia="Calibri" w:hAnsi="Arial" w:cs="Arial"/>
            <w:sz w:val="20"/>
            <w:szCs w:val="20"/>
          </w:rPr>
          <w:t>https://www.cdc.gov/mmwr/volumes/69/wr/mm6916a5.htm?s_cid=mm6916a5_w</w:t>
        </w:r>
      </w:hyperlink>
    </w:p>
    <w:p w14:paraId="75507BF9" w14:textId="7CA2ACD5" w:rsidR="00BF5FF5" w:rsidRDefault="00BF5FF5" w:rsidP="00BF5FF5">
      <w:pPr>
        <w:spacing w:after="0" w:line="240" w:lineRule="auto"/>
        <w:rPr>
          <w:rFonts w:ascii="Arial" w:eastAsia="Calibri" w:hAnsi="Arial" w:cs="Arial"/>
          <w:b/>
          <w:bCs/>
          <w:sz w:val="20"/>
          <w:szCs w:val="20"/>
        </w:rPr>
      </w:pPr>
    </w:p>
    <w:p w14:paraId="07CD4FC2" w14:textId="2754F85E" w:rsidR="00BF5FF5" w:rsidRPr="00BF5FF5" w:rsidRDefault="00BF5FF5" w:rsidP="00BF5FF5">
      <w:pPr>
        <w:spacing w:after="0" w:line="240" w:lineRule="auto"/>
        <w:rPr>
          <w:rFonts w:ascii="Arial" w:eastAsia="Calibri" w:hAnsi="Arial" w:cs="Arial"/>
          <w:b/>
          <w:bCs/>
          <w:sz w:val="20"/>
          <w:szCs w:val="20"/>
          <w:u w:val="single"/>
        </w:rPr>
      </w:pPr>
      <w:r w:rsidRPr="00BF5FF5">
        <w:rPr>
          <w:rFonts w:ascii="Arial" w:eastAsia="Calibri" w:hAnsi="Arial" w:cs="Arial"/>
          <w:b/>
          <w:bCs/>
          <w:sz w:val="20"/>
          <w:szCs w:val="20"/>
          <w:u w:val="single"/>
        </w:rPr>
        <w:t>Recommendations and Reports:</w:t>
      </w:r>
    </w:p>
    <w:p w14:paraId="01C907C4" w14:textId="183BA6F9" w:rsidR="00BF5FF5" w:rsidRDefault="00BF5FF5" w:rsidP="00BF5FF5">
      <w:pPr>
        <w:spacing w:after="0" w:line="240" w:lineRule="auto"/>
        <w:rPr>
          <w:rFonts w:ascii="Arial" w:eastAsia="Calibri" w:hAnsi="Arial" w:cs="Arial"/>
          <w:b/>
          <w:bCs/>
          <w:sz w:val="20"/>
          <w:szCs w:val="20"/>
        </w:rPr>
      </w:pPr>
    </w:p>
    <w:p w14:paraId="43815DD9" w14:textId="409C45A9" w:rsidR="00BF5FF5" w:rsidRDefault="00BF5FF5" w:rsidP="00BF5FF5">
      <w:pPr>
        <w:pStyle w:val="ListParagraph"/>
        <w:numPr>
          <w:ilvl w:val="0"/>
          <w:numId w:val="16"/>
        </w:numPr>
        <w:spacing w:after="0" w:line="240" w:lineRule="auto"/>
        <w:rPr>
          <w:rFonts w:ascii="Arial" w:eastAsia="Calibri" w:hAnsi="Arial" w:cs="Arial"/>
          <w:b/>
          <w:bCs/>
          <w:sz w:val="20"/>
          <w:szCs w:val="20"/>
        </w:rPr>
      </w:pPr>
      <w:r w:rsidRPr="00BF5FF5">
        <w:rPr>
          <w:rFonts w:ascii="Arial" w:eastAsia="Calibri" w:hAnsi="Arial" w:cs="Arial"/>
          <w:b/>
          <w:bCs/>
          <w:sz w:val="20"/>
          <w:szCs w:val="20"/>
        </w:rPr>
        <w:t>Preexposure Prophylaxis for Prevention of HIV Acquisition Among Adolescents: Clinical Considerations, 2020</w:t>
      </w:r>
    </w:p>
    <w:p w14:paraId="46294D12" w14:textId="19334422" w:rsidR="00135F14" w:rsidRPr="00135F14" w:rsidRDefault="00135F14" w:rsidP="00135F14">
      <w:pPr>
        <w:spacing w:after="0" w:line="240" w:lineRule="auto"/>
        <w:rPr>
          <w:rFonts w:ascii="Arial" w:eastAsia="Calibri" w:hAnsi="Arial" w:cs="Arial"/>
          <w:b/>
          <w:bCs/>
          <w:i/>
          <w:iCs/>
          <w:sz w:val="20"/>
          <w:szCs w:val="20"/>
        </w:rPr>
      </w:pPr>
    </w:p>
    <w:p w14:paraId="5EC97E1A" w14:textId="6B591866" w:rsidR="00135F14" w:rsidRPr="00135F14" w:rsidRDefault="00135F14" w:rsidP="00135F14">
      <w:pPr>
        <w:spacing w:after="0" w:line="240" w:lineRule="auto"/>
        <w:ind w:left="360"/>
        <w:rPr>
          <w:rFonts w:ascii="Arial" w:eastAsia="Calibri" w:hAnsi="Arial" w:cs="Arial"/>
          <w:sz w:val="20"/>
          <w:szCs w:val="20"/>
        </w:rPr>
      </w:pPr>
      <w:r w:rsidRPr="00135F14">
        <w:rPr>
          <w:rFonts w:ascii="Arial" w:eastAsia="Calibri" w:hAnsi="Arial" w:cs="Arial"/>
          <w:i/>
          <w:iCs/>
          <w:sz w:val="20"/>
          <w:szCs w:val="20"/>
        </w:rPr>
        <w:t xml:space="preserve">There are key clinical considerations unique to adolescents that clinical providers can consider when evaluating adolescents for </w:t>
      </w:r>
      <w:r w:rsidR="002F1541">
        <w:rPr>
          <w:rFonts w:ascii="Arial" w:eastAsia="Calibri" w:hAnsi="Arial" w:cs="Arial"/>
          <w:i/>
          <w:iCs/>
          <w:sz w:val="20"/>
          <w:szCs w:val="20"/>
        </w:rPr>
        <w:t>pre-exposure prophylaxis (</w:t>
      </w:r>
      <w:r w:rsidRPr="00135F14">
        <w:rPr>
          <w:rFonts w:ascii="Arial" w:eastAsia="Calibri" w:hAnsi="Arial" w:cs="Arial"/>
          <w:i/>
          <w:iCs/>
          <w:sz w:val="20"/>
          <w:szCs w:val="20"/>
        </w:rPr>
        <w:t>PrEP</w:t>
      </w:r>
      <w:r w:rsidR="002F1541">
        <w:rPr>
          <w:rFonts w:ascii="Arial" w:eastAsia="Calibri" w:hAnsi="Arial" w:cs="Arial"/>
          <w:i/>
          <w:iCs/>
          <w:sz w:val="20"/>
          <w:szCs w:val="20"/>
        </w:rPr>
        <w:t>) of HIV.</w:t>
      </w:r>
      <w:r w:rsidRPr="00135F14">
        <w:rPr>
          <w:rFonts w:ascii="Arial" w:eastAsia="Calibri" w:hAnsi="Arial" w:cs="Arial"/>
          <w:sz w:val="20"/>
          <w:szCs w:val="20"/>
        </w:rPr>
        <w:t xml:space="preserve"> PrEP is one of the most powerful tools available to prevent HIV transmission. When considering a PrEP prescription PrEP for an adolescent, there are certain unique topics that should be considered. CDC has released a list of key clinical considerations for providers prescribing PrEP for adolescents, including the latest safety data on PrEP for adolescents</w:t>
      </w:r>
      <w:r w:rsidR="002F1541">
        <w:rPr>
          <w:rFonts w:ascii="Arial" w:eastAsia="Calibri" w:hAnsi="Arial" w:cs="Arial"/>
          <w:sz w:val="20"/>
          <w:szCs w:val="20"/>
        </w:rPr>
        <w:t>;</w:t>
      </w:r>
      <w:r w:rsidRPr="00135F14">
        <w:rPr>
          <w:rFonts w:ascii="Arial" w:eastAsia="Calibri" w:hAnsi="Arial" w:cs="Arial"/>
          <w:sz w:val="20"/>
          <w:szCs w:val="20"/>
        </w:rPr>
        <w:t xml:space="preserve"> legal issues about consent for clinical care and confidentiality in their respective states</w:t>
      </w:r>
      <w:r w:rsidR="002F1541">
        <w:rPr>
          <w:rFonts w:ascii="Arial" w:eastAsia="Calibri" w:hAnsi="Arial" w:cs="Arial"/>
          <w:sz w:val="20"/>
          <w:szCs w:val="20"/>
        </w:rPr>
        <w:t>;</w:t>
      </w:r>
      <w:r w:rsidRPr="00135F14">
        <w:rPr>
          <w:rFonts w:ascii="Arial" w:eastAsia="Calibri" w:hAnsi="Arial" w:cs="Arial"/>
          <w:sz w:val="20"/>
          <w:szCs w:val="20"/>
        </w:rPr>
        <w:t xml:space="preserve"> the therapeutic partnership with adolescents and their parents or guardians</w:t>
      </w:r>
      <w:r w:rsidR="002F1541">
        <w:rPr>
          <w:rFonts w:ascii="Arial" w:eastAsia="Calibri" w:hAnsi="Arial" w:cs="Arial"/>
          <w:sz w:val="20"/>
          <w:szCs w:val="20"/>
        </w:rPr>
        <w:t>;</w:t>
      </w:r>
      <w:r w:rsidRPr="00135F14">
        <w:rPr>
          <w:rFonts w:ascii="Arial" w:eastAsia="Calibri" w:hAnsi="Arial" w:cs="Arial"/>
          <w:sz w:val="20"/>
          <w:szCs w:val="20"/>
        </w:rPr>
        <w:t xml:space="preserve"> the need to tailor the clinical approach to enhance patient-provider communication</w:t>
      </w:r>
      <w:r w:rsidR="002F1541">
        <w:rPr>
          <w:rFonts w:ascii="Arial" w:eastAsia="Calibri" w:hAnsi="Arial" w:cs="Arial"/>
          <w:sz w:val="20"/>
          <w:szCs w:val="20"/>
        </w:rPr>
        <w:t>;</w:t>
      </w:r>
      <w:r w:rsidRPr="00135F14">
        <w:rPr>
          <w:rFonts w:ascii="Arial" w:eastAsia="Calibri" w:hAnsi="Arial" w:cs="Arial"/>
          <w:sz w:val="20"/>
          <w:szCs w:val="20"/>
        </w:rPr>
        <w:t xml:space="preserve"> and trends in medication initiation, adherence, and persistence during adolescence.</w:t>
      </w:r>
    </w:p>
    <w:p w14:paraId="5F247945" w14:textId="6B00D9F1" w:rsidR="00FA3AB9" w:rsidRDefault="00BF5FF5" w:rsidP="005126F1">
      <w:pPr>
        <w:spacing w:after="0" w:line="240" w:lineRule="auto"/>
        <w:ind w:left="364"/>
        <w:rPr>
          <w:rFonts w:ascii="Arial" w:eastAsia="Calibri" w:hAnsi="Arial" w:cs="Arial"/>
          <w:sz w:val="20"/>
          <w:szCs w:val="20"/>
        </w:rPr>
      </w:pPr>
      <w:r w:rsidRPr="00135F14">
        <w:rPr>
          <w:rFonts w:ascii="Arial" w:eastAsia="Calibri" w:hAnsi="Arial" w:cs="Arial"/>
          <w:sz w:val="20"/>
          <w:szCs w:val="20"/>
        </w:rPr>
        <w:t>Link once embargo lifts:</w:t>
      </w:r>
      <w:r w:rsidR="00D7442C" w:rsidRPr="00D7442C">
        <w:t xml:space="preserve"> </w:t>
      </w:r>
      <w:hyperlink r:id="rId18" w:history="1">
        <w:r w:rsidR="00D7442C" w:rsidRPr="00405B50">
          <w:rPr>
            <w:rStyle w:val="Hyperlink"/>
            <w:rFonts w:ascii="Arial" w:eastAsia="Calibri" w:hAnsi="Arial" w:cs="Arial"/>
            <w:sz w:val="20"/>
            <w:szCs w:val="20"/>
          </w:rPr>
          <w:t>https://www.cdc.gov/mmwr/volumes/69/rr/rr6903a1.htm?s_cid=rr6903a1_w</w:t>
        </w:r>
      </w:hyperlink>
    </w:p>
    <w:p w14:paraId="4F8293C3" w14:textId="77777777" w:rsidR="00D7442C" w:rsidRPr="00135F14" w:rsidRDefault="00D7442C" w:rsidP="005126F1">
      <w:pPr>
        <w:spacing w:after="0" w:line="240" w:lineRule="auto"/>
        <w:ind w:left="364"/>
        <w:rPr>
          <w:rFonts w:ascii="Arial" w:eastAsia="Calibri" w:hAnsi="Arial" w:cs="Arial"/>
          <w:sz w:val="20"/>
          <w:szCs w:val="20"/>
        </w:rPr>
      </w:pPr>
    </w:p>
    <w:p w14:paraId="45D3D7F7" w14:textId="77777777" w:rsidR="00FA3AB9" w:rsidRPr="00135F14" w:rsidRDefault="00FA3AB9" w:rsidP="00B01CFC">
      <w:pPr>
        <w:spacing w:after="0" w:line="240" w:lineRule="auto"/>
        <w:ind w:left="450"/>
        <w:rPr>
          <w:rFonts w:ascii="Arial" w:eastAsia="Calibri" w:hAnsi="Arial" w:cs="Arial"/>
          <w:sz w:val="20"/>
          <w:szCs w:val="20"/>
        </w:rPr>
      </w:pPr>
    </w:p>
    <w:bookmarkEnd w:id="17"/>
    <w:bookmarkEnd w:id="18"/>
    <w:p w14:paraId="1EE977E3" w14:textId="77777777" w:rsidR="00D44CA0" w:rsidRPr="00D44CA0" w:rsidRDefault="00D44CA0" w:rsidP="00D44CA0">
      <w:pPr>
        <w:autoSpaceDE w:val="0"/>
        <w:autoSpaceDN w:val="0"/>
        <w:spacing w:after="0" w:line="240" w:lineRule="auto"/>
        <w:jc w:val="center"/>
        <w:rPr>
          <w:rFonts w:ascii="Arial" w:eastAsia="Calibri" w:hAnsi="Arial" w:cs="Arial"/>
        </w:rPr>
      </w:pPr>
      <w:r w:rsidRPr="00D44CA0">
        <w:rPr>
          <w:rFonts w:ascii="Arial" w:eastAsia="Calibri" w:hAnsi="Arial" w:cs="Arial"/>
        </w:rPr>
        <w:t>###</w:t>
      </w:r>
    </w:p>
    <w:p w14:paraId="7DA90C6A" w14:textId="77777777" w:rsidR="00D44CA0" w:rsidRPr="00D44CA0" w:rsidRDefault="00D44CA0" w:rsidP="00D44CA0">
      <w:pPr>
        <w:spacing w:after="0" w:line="240" w:lineRule="auto"/>
        <w:jc w:val="center"/>
        <w:rPr>
          <w:rFonts w:ascii="Arial" w:eastAsia="Calibri" w:hAnsi="Arial" w:cs="Arial"/>
        </w:rPr>
      </w:pPr>
    </w:p>
    <w:p w14:paraId="594E2D40" w14:textId="77777777" w:rsidR="00D44CA0" w:rsidRPr="00D44CA0" w:rsidRDefault="003C52B8" w:rsidP="00D44CA0">
      <w:pPr>
        <w:spacing w:after="0" w:line="240" w:lineRule="auto"/>
        <w:jc w:val="center"/>
        <w:rPr>
          <w:rFonts w:ascii="Arial" w:eastAsia="Calibri" w:hAnsi="Arial" w:cs="Arial"/>
          <w:sz w:val="20"/>
          <w:szCs w:val="20"/>
        </w:rPr>
      </w:pPr>
      <w:hyperlink r:id="rId19" w:history="1">
        <w:r w:rsidR="00D44CA0" w:rsidRPr="00D44CA0">
          <w:rPr>
            <w:rFonts w:ascii="Arial" w:eastAsia="Calibri" w:hAnsi="Arial" w:cs="Arial"/>
            <w:color w:val="0563C1"/>
            <w:sz w:val="20"/>
            <w:szCs w:val="20"/>
            <w:u w:val="single"/>
          </w:rPr>
          <w:t>U.S. Department of Health and Human Services</w:t>
        </w:r>
      </w:hyperlink>
    </w:p>
    <w:p w14:paraId="272ADC13" w14:textId="77777777" w:rsidR="00D44CA0" w:rsidRPr="00D44CA0" w:rsidRDefault="00D44CA0" w:rsidP="00D44CA0">
      <w:pPr>
        <w:spacing w:after="0" w:line="240" w:lineRule="auto"/>
        <w:rPr>
          <w:rFonts w:ascii="Arial" w:eastAsia="Calibri" w:hAnsi="Arial" w:cs="Arial"/>
          <w:b/>
          <w:bCs/>
          <w:sz w:val="20"/>
          <w:szCs w:val="20"/>
        </w:rPr>
      </w:pPr>
    </w:p>
    <w:p w14:paraId="324986FE" w14:textId="77777777" w:rsidR="00D44CA0" w:rsidRPr="00D44CA0" w:rsidRDefault="00D44CA0" w:rsidP="00D44CA0">
      <w:pPr>
        <w:spacing w:after="200" w:line="276" w:lineRule="auto"/>
        <w:jc w:val="center"/>
        <w:rPr>
          <w:rFonts w:ascii="Arial" w:eastAsia="Calibri" w:hAnsi="Arial" w:cs="Arial"/>
          <w:i/>
          <w:iCs/>
          <w:sz w:val="20"/>
          <w:szCs w:val="20"/>
        </w:rPr>
      </w:pPr>
      <w:r w:rsidRPr="00D44CA0">
        <w:rPr>
          <w:rFonts w:ascii="Arial" w:eastAsia="Calibri" w:hAnsi="Arial" w:cs="Arial"/>
          <w:i/>
          <w:iCs/>
          <w:sz w:val="20"/>
          <w:szCs w:val="20"/>
        </w:rPr>
        <w:t xml:space="preserve">CDC works 24/7 protecting America’s health, safety, and security. Whether diseases start at home or abroad, are curable or preventable, chronic or acute, or from human activity or deliberate attack, CDC responds to America’s most pressing health threats. CDC is headquartered in Atlanta and has experts located throughout the United States and the world. </w:t>
      </w:r>
    </w:p>
    <w:p w14:paraId="49CC79B1" w14:textId="77777777" w:rsidR="00D44CA0" w:rsidRPr="00D44CA0" w:rsidRDefault="00D44CA0" w:rsidP="00D44CA0">
      <w:pPr>
        <w:spacing w:after="200" w:line="276" w:lineRule="auto"/>
        <w:jc w:val="center"/>
        <w:rPr>
          <w:rFonts w:ascii="Arial" w:eastAsia="Calibri" w:hAnsi="Arial" w:cs="Arial"/>
        </w:rPr>
      </w:pPr>
      <w:r w:rsidRPr="00D44CA0">
        <w:rPr>
          <w:rFonts w:ascii="Arial" w:eastAsia="Calibri" w:hAnsi="Arial" w:cs="Arial"/>
          <w:i/>
          <w:iCs/>
          <w:sz w:val="20"/>
          <w:szCs w:val="20"/>
        </w:rPr>
        <w:t xml:space="preserve">To unsubscribe from this CDC media listserv, please reply to </w:t>
      </w:r>
      <w:hyperlink r:id="rId20" w:history="1">
        <w:r w:rsidRPr="00D44CA0">
          <w:rPr>
            <w:rFonts w:ascii="Arial" w:eastAsia="Calibri" w:hAnsi="Arial" w:cs="Arial"/>
            <w:i/>
            <w:iCs/>
            <w:color w:val="0563C1"/>
            <w:sz w:val="20"/>
            <w:szCs w:val="20"/>
            <w:u w:val="single"/>
          </w:rPr>
          <w:t>media@cdc.gov</w:t>
        </w:r>
      </w:hyperlink>
      <w:r w:rsidRPr="00D44CA0">
        <w:rPr>
          <w:rFonts w:ascii="Arial" w:eastAsia="Calibri" w:hAnsi="Arial" w:cs="Arial"/>
          <w:i/>
          <w:iCs/>
          <w:sz w:val="20"/>
          <w:szCs w:val="20"/>
        </w:rPr>
        <w:t xml:space="preserve"> with the email address you would like removed.</w:t>
      </w:r>
    </w:p>
    <w:bookmarkEnd w:id="0"/>
    <w:p w14:paraId="7EBC7508" w14:textId="77777777" w:rsidR="00FC70C6" w:rsidRDefault="00FC70C6" w:rsidP="00685DCE"/>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F48"/>
    <w:multiLevelType w:val="hybridMultilevel"/>
    <w:tmpl w:val="780A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B2913"/>
    <w:multiLevelType w:val="hybridMultilevel"/>
    <w:tmpl w:val="0F9C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A55E7"/>
    <w:multiLevelType w:val="hybridMultilevel"/>
    <w:tmpl w:val="D3E0B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723C19"/>
    <w:multiLevelType w:val="hybridMultilevel"/>
    <w:tmpl w:val="751A0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8F1846"/>
    <w:multiLevelType w:val="hybridMultilevel"/>
    <w:tmpl w:val="EB6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64D32"/>
    <w:multiLevelType w:val="hybridMultilevel"/>
    <w:tmpl w:val="7E26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577B7"/>
    <w:multiLevelType w:val="hybridMultilevel"/>
    <w:tmpl w:val="0380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325A9"/>
    <w:multiLevelType w:val="hybridMultilevel"/>
    <w:tmpl w:val="188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F48CF"/>
    <w:multiLevelType w:val="hybridMultilevel"/>
    <w:tmpl w:val="017C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246CF"/>
    <w:multiLevelType w:val="hybridMultilevel"/>
    <w:tmpl w:val="88E8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7902"/>
    <w:multiLevelType w:val="hybridMultilevel"/>
    <w:tmpl w:val="0D34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C49C7"/>
    <w:multiLevelType w:val="hybridMultilevel"/>
    <w:tmpl w:val="BDF6350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2" w15:restartNumberingAfterBreak="0">
    <w:nsid w:val="4CEF3DBB"/>
    <w:multiLevelType w:val="hybridMultilevel"/>
    <w:tmpl w:val="A2D09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9DB60C2"/>
    <w:multiLevelType w:val="hybridMultilevel"/>
    <w:tmpl w:val="60342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5575F3"/>
    <w:multiLevelType w:val="hybridMultilevel"/>
    <w:tmpl w:val="6850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0389D"/>
    <w:multiLevelType w:val="hybridMultilevel"/>
    <w:tmpl w:val="6160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946E6"/>
    <w:multiLevelType w:val="hybridMultilevel"/>
    <w:tmpl w:val="48043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C07EFE"/>
    <w:multiLevelType w:val="hybridMultilevel"/>
    <w:tmpl w:val="7B5E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90EA6"/>
    <w:multiLevelType w:val="hybridMultilevel"/>
    <w:tmpl w:val="38045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1410E8"/>
    <w:multiLevelType w:val="hybridMultilevel"/>
    <w:tmpl w:val="7B60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36B44"/>
    <w:multiLevelType w:val="hybridMultilevel"/>
    <w:tmpl w:val="A9F23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7"/>
  </w:num>
  <w:num w:numId="4">
    <w:abstractNumId w:val="8"/>
  </w:num>
  <w:num w:numId="5">
    <w:abstractNumId w:val="10"/>
  </w:num>
  <w:num w:numId="6">
    <w:abstractNumId w:val="16"/>
  </w:num>
  <w:num w:numId="7">
    <w:abstractNumId w:val="3"/>
  </w:num>
  <w:num w:numId="8">
    <w:abstractNumId w:val="19"/>
  </w:num>
  <w:num w:numId="9">
    <w:abstractNumId w:val="17"/>
  </w:num>
  <w:num w:numId="10">
    <w:abstractNumId w:val="6"/>
  </w:num>
  <w:num w:numId="11">
    <w:abstractNumId w:val="5"/>
  </w:num>
  <w:num w:numId="12">
    <w:abstractNumId w:val="13"/>
  </w:num>
  <w:num w:numId="13">
    <w:abstractNumId w:val="9"/>
  </w:num>
  <w:num w:numId="14">
    <w:abstractNumId w:val="18"/>
  </w:num>
  <w:num w:numId="15">
    <w:abstractNumId w:val="1"/>
  </w:num>
  <w:num w:numId="16">
    <w:abstractNumId w:val="20"/>
  </w:num>
  <w:num w:numId="17">
    <w:abstractNumId w:val="15"/>
  </w:num>
  <w:num w:numId="18">
    <w:abstractNumId w:val="4"/>
  </w:num>
  <w:num w:numId="19">
    <w:abstractNumId w:val="0"/>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A0"/>
    <w:rsid w:val="00011576"/>
    <w:rsid w:val="000156CB"/>
    <w:rsid w:val="00016EB6"/>
    <w:rsid w:val="0001710D"/>
    <w:rsid w:val="00026712"/>
    <w:rsid w:val="00036571"/>
    <w:rsid w:val="00053638"/>
    <w:rsid w:val="00056931"/>
    <w:rsid w:val="00067E33"/>
    <w:rsid w:val="000727CA"/>
    <w:rsid w:val="000920E4"/>
    <w:rsid w:val="000B0D37"/>
    <w:rsid w:val="000B7BF1"/>
    <w:rsid w:val="000C5CE9"/>
    <w:rsid w:val="000F0188"/>
    <w:rsid w:val="0011453C"/>
    <w:rsid w:val="00135F14"/>
    <w:rsid w:val="00147AB7"/>
    <w:rsid w:val="00150376"/>
    <w:rsid w:val="00162BBF"/>
    <w:rsid w:val="001713C6"/>
    <w:rsid w:val="00172B1F"/>
    <w:rsid w:val="001752A0"/>
    <w:rsid w:val="0018346C"/>
    <w:rsid w:val="00191C65"/>
    <w:rsid w:val="0019565E"/>
    <w:rsid w:val="001B3699"/>
    <w:rsid w:val="001C4CE5"/>
    <w:rsid w:val="001C6D99"/>
    <w:rsid w:val="001D5D51"/>
    <w:rsid w:val="001E36B0"/>
    <w:rsid w:val="001F10DA"/>
    <w:rsid w:val="001F26A4"/>
    <w:rsid w:val="001F5206"/>
    <w:rsid w:val="001F6063"/>
    <w:rsid w:val="001F6639"/>
    <w:rsid w:val="00226A9E"/>
    <w:rsid w:val="00227926"/>
    <w:rsid w:val="00235B5F"/>
    <w:rsid w:val="002361AD"/>
    <w:rsid w:val="00236660"/>
    <w:rsid w:val="002459B6"/>
    <w:rsid w:val="002512C0"/>
    <w:rsid w:val="002667C0"/>
    <w:rsid w:val="002870B6"/>
    <w:rsid w:val="0029660F"/>
    <w:rsid w:val="002A7313"/>
    <w:rsid w:val="002B03BA"/>
    <w:rsid w:val="002C2A87"/>
    <w:rsid w:val="002C4AA8"/>
    <w:rsid w:val="002D445A"/>
    <w:rsid w:val="002E2097"/>
    <w:rsid w:val="002F1541"/>
    <w:rsid w:val="002F18C6"/>
    <w:rsid w:val="0030085A"/>
    <w:rsid w:val="00317BFE"/>
    <w:rsid w:val="00317E00"/>
    <w:rsid w:val="00321338"/>
    <w:rsid w:val="003234CF"/>
    <w:rsid w:val="00337385"/>
    <w:rsid w:val="00341B25"/>
    <w:rsid w:val="003551DE"/>
    <w:rsid w:val="00364D59"/>
    <w:rsid w:val="0038555A"/>
    <w:rsid w:val="003857EF"/>
    <w:rsid w:val="003871B7"/>
    <w:rsid w:val="003B59E8"/>
    <w:rsid w:val="003C18EE"/>
    <w:rsid w:val="003C52B8"/>
    <w:rsid w:val="003D514B"/>
    <w:rsid w:val="003E2EBB"/>
    <w:rsid w:val="003F082B"/>
    <w:rsid w:val="003F5392"/>
    <w:rsid w:val="003F6F3F"/>
    <w:rsid w:val="003F79BF"/>
    <w:rsid w:val="00410162"/>
    <w:rsid w:val="0041641F"/>
    <w:rsid w:val="00426E8E"/>
    <w:rsid w:val="00427972"/>
    <w:rsid w:val="00445D2A"/>
    <w:rsid w:val="00452C86"/>
    <w:rsid w:val="00456AA6"/>
    <w:rsid w:val="00485E95"/>
    <w:rsid w:val="004A05AA"/>
    <w:rsid w:val="004A616C"/>
    <w:rsid w:val="004D1213"/>
    <w:rsid w:val="004D2ACC"/>
    <w:rsid w:val="004D7303"/>
    <w:rsid w:val="004E0017"/>
    <w:rsid w:val="004F6993"/>
    <w:rsid w:val="0051123A"/>
    <w:rsid w:val="005118A8"/>
    <w:rsid w:val="005126F1"/>
    <w:rsid w:val="005259BB"/>
    <w:rsid w:val="005274D3"/>
    <w:rsid w:val="00536A06"/>
    <w:rsid w:val="005613A6"/>
    <w:rsid w:val="00584ECF"/>
    <w:rsid w:val="00585E00"/>
    <w:rsid w:val="00590934"/>
    <w:rsid w:val="005B1B12"/>
    <w:rsid w:val="005C008E"/>
    <w:rsid w:val="005C1A00"/>
    <w:rsid w:val="005D4608"/>
    <w:rsid w:val="005F081A"/>
    <w:rsid w:val="006237F6"/>
    <w:rsid w:val="00631991"/>
    <w:rsid w:val="0063592E"/>
    <w:rsid w:val="00640F68"/>
    <w:rsid w:val="00646E70"/>
    <w:rsid w:val="00656B3B"/>
    <w:rsid w:val="00657C09"/>
    <w:rsid w:val="00661EBE"/>
    <w:rsid w:val="00664931"/>
    <w:rsid w:val="00672FBC"/>
    <w:rsid w:val="00675A9D"/>
    <w:rsid w:val="00676669"/>
    <w:rsid w:val="00685DCE"/>
    <w:rsid w:val="006970AE"/>
    <w:rsid w:val="00697E33"/>
    <w:rsid w:val="006A4262"/>
    <w:rsid w:val="006A5B75"/>
    <w:rsid w:val="006B4D0A"/>
    <w:rsid w:val="006D635A"/>
    <w:rsid w:val="006E4F71"/>
    <w:rsid w:val="00701532"/>
    <w:rsid w:val="0070591F"/>
    <w:rsid w:val="00720CE5"/>
    <w:rsid w:val="0072233B"/>
    <w:rsid w:val="00726203"/>
    <w:rsid w:val="0073150F"/>
    <w:rsid w:val="007343A3"/>
    <w:rsid w:val="007361D2"/>
    <w:rsid w:val="00751ADD"/>
    <w:rsid w:val="007528DE"/>
    <w:rsid w:val="00761AA1"/>
    <w:rsid w:val="00765132"/>
    <w:rsid w:val="007833CB"/>
    <w:rsid w:val="00795026"/>
    <w:rsid w:val="00795DD5"/>
    <w:rsid w:val="0079671D"/>
    <w:rsid w:val="007B2910"/>
    <w:rsid w:val="007C749C"/>
    <w:rsid w:val="007C7DC0"/>
    <w:rsid w:val="007D2377"/>
    <w:rsid w:val="007D2AB8"/>
    <w:rsid w:val="007D4376"/>
    <w:rsid w:val="007D5921"/>
    <w:rsid w:val="007F6FA8"/>
    <w:rsid w:val="00824208"/>
    <w:rsid w:val="008245EB"/>
    <w:rsid w:val="00826759"/>
    <w:rsid w:val="00836D35"/>
    <w:rsid w:val="008555D5"/>
    <w:rsid w:val="0085732C"/>
    <w:rsid w:val="00862E98"/>
    <w:rsid w:val="008638E7"/>
    <w:rsid w:val="00874905"/>
    <w:rsid w:val="008A2FF0"/>
    <w:rsid w:val="008A315E"/>
    <w:rsid w:val="008D4970"/>
    <w:rsid w:val="008E2692"/>
    <w:rsid w:val="008F067E"/>
    <w:rsid w:val="0090470B"/>
    <w:rsid w:val="009307C8"/>
    <w:rsid w:val="00940B6F"/>
    <w:rsid w:val="009425A8"/>
    <w:rsid w:val="00944028"/>
    <w:rsid w:val="00970592"/>
    <w:rsid w:val="009740F2"/>
    <w:rsid w:val="00977062"/>
    <w:rsid w:val="00986700"/>
    <w:rsid w:val="00993DC7"/>
    <w:rsid w:val="009B09EE"/>
    <w:rsid w:val="009E3429"/>
    <w:rsid w:val="009E3DFE"/>
    <w:rsid w:val="009F0469"/>
    <w:rsid w:val="00A03752"/>
    <w:rsid w:val="00A24986"/>
    <w:rsid w:val="00A659E1"/>
    <w:rsid w:val="00A74F8C"/>
    <w:rsid w:val="00A77680"/>
    <w:rsid w:val="00A92478"/>
    <w:rsid w:val="00AA48E4"/>
    <w:rsid w:val="00AB199B"/>
    <w:rsid w:val="00AF0891"/>
    <w:rsid w:val="00B01CFC"/>
    <w:rsid w:val="00B03B9A"/>
    <w:rsid w:val="00B06FA6"/>
    <w:rsid w:val="00B12BAA"/>
    <w:rsid w:val="00B14811"/>
    <w:rsid w:val="00B169F1"/>
    <w:rsid w:val="00B23182"/>
    <w:rsid w:val="00B37F8C"/>
    <w:rsid w:val="00B441FC"/>
    <w:rsid w:val="00B552F7"/>
    <w:rsid w:val="00B602D4"/>
    <w:rsid w:val="00B654A0"/>
    <w:rsid w:val="00BC2599"/>
    <w:rsid w:val="00BC2D00"/>
    <w:rsid w:val="00BC301A"/>
    <w:rsid w:val="00BC3F3B"/>
    <w:rsid w:val="00BD2937"/>
    <w:rsid w:val="00BD3725"/>
    <w:rsid w:val="00BF2FE9"/>
    <w:rsid w:val="00BF5CBC"/>
    <w:rsid w:val="00BF5FF5"/>
    <w:rsid w:val="00C024E4"/>
    <w:rsid w:val="00C176DC"/>
    <w:rsid w:val="00C3354B"/>
    <w:rsid w:val="00C43CBD"/>
    <w:rsid w:val="00C6699B"/>
    <w:rsid w:val="00C8301E"/>
    <w:rsid w:val="00C95154"/>
    <w:rsid w:val="00C9688E"/>
    <w:rsid w:val="00CB22A8"/>
    <w:rsid w:val="00CC29CD"/>
    <w:rsid w:val="00CE2921"/>
    <w:rsid w:val="00CF11F5"/>
    <w:rsid w:val="00CF1C91"/>
    <w:rsid w:val="00CF5082"/>
    <w:rsid w:val="00D15D56"/>
    <w:rsid w:val="00D22FED"/>
    <w:rsid w:val="00D26908"/>
    <w:rsid w:val="00D33068"/>
    <w:rsid w:val="00D339ED"/>
    <w:rsid w:val="00D44CA0"/>
    <w:rsid w:val="00D60F9C"/>
    <w:rsid w:val="00D733FE"/>
    <w:rsid w:val="00D7442C"/>
    <w:rsid w:val="00D84AAD"/>
    <w:rsid w:val="00D86E20"/>
    <w:rsid w:val="00DA125E"/>
    <w:rsid w:val="00DA4731"/>
    <w:rsid w:val="00DB10C8"/>
    <w:rsid w:val="00DE2282"/>
    <w:rsid w:val="00DF7C1B"/>
    <w:rsid w:val="00E1196F"/>
    <w:rsid w:val="00E16315"/>
    <w:rsid w:val="00E21206"/>
    <w:rsid w:val="00E31068"/>
    <w:rsid w:val="00E3424C"/>
    <w:rsid w:val="00E34EAB"/>
    <w:rsid w:val="00E3654F"/>
    <w:rsid w:val="00E44431"/>
    <w:rsid w:val="00E611CA"/>
    <w:rsid w:val="00E61EB8"/>
    <w:rsid w:val="00E67D04"/>
    <w:rsid w:val="00EA1325"/>
    <w:rsid w:val="00EB6AFD"/>
    <w:rsid w:val="00EC0287"/>
    <w:rsid w:val="00ED785F"/>
    <w:rsid w:val="00EF1C0D"/>
    <w:rsid w:val="00F143AA"/>
    <w:rsid w:val="00F15A4E"/>
    <w:rsid w:val="00F16EC0"/>
    <w:rsid w:val="00F273F3"/>
    <w:rsid w:val="00F40BA2"/>
    <w:rsid w:val="00F42E47"/>
    <w:rsid w:val="00F4333A"/>
    <w:rsid w:val="00F5037E"/>
    <w:rsid w:val="00F53945"/>
    <w:rsid w:val="00F565A8"/>
    <w:rsid w:val="00F57928"/>
    <w:rsid w:val="00F65FAF"/>
    <w:rsid w:val="00F66649"/>
    <w:rsid w:val="00F70756"/>
    <w:rsid w:val="00F77BF2"/>
    <w:rsid w:val="00F913C8"/>
    <w:rsid w:val="00F95628"/>
    <w:rsid w:val="00F95735"/>
    <w:rsid w:val="00F95F85"/>
    <w:rsid w:val="00FA3AB9"/>
    <w:rsid w:val="00FC70C6"/>
    <w:rsid w:val="00FD0B0E"/>
    <w:rsid w:val="00FE45A8"/>
    <w:rsid w:val="00FE52D2"/>
    <w:rsid w:val="00FE7739"/>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AAB6"/>
  <w15:chartTrackingRefBased/>
  <w15:docId w15:val="{DE9EC417-8FEA-4D29-91EF-798DA757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CA0"/>
    <w:rPr>
      <w:rFonts w:ascii="Segoe UI" w:hAnsi="Segoe UI" w:cs="Segoe UI"/>
      <w:sz w:val="18"/>
      <w:szCs w:val="18"/>
    </w:rPr>
  </w:style>
  <w:style w:type="character" w:styleId="Hyperlink">
    <w:name w:val="Hyperlink"/>
    <w:basedOn w:val="DefaultParagraphFont"/>
    <w:uiPriority w:val="99"/>
    <w:unhideWhenUsed/>
    <w:rsid w:val="00CE2921"/>
    <w:rPr>
      <w:color w:val="0563C1"/>
      <w:u w:val="single"/>
    </w:rPr>
  </w:style>
  <w:style w:type="character" w:styleId="UnresolvedMention">
    <w:name w:val="Unresolved Mention"/>
    <w:basedOn w:val="DefaultParagraphFont"/>
    <w:uiPriority w:val="99"/>
    <w:semiHidden/>
    <w:unhideWhenUsed/>
    <w:rsid w:val="00CE2921"/>
    <w:rPr>
      <w:color w:val="605E5C"/>
      <w:shd w:val="clear" w:color="auto" w:fill="E1DFDD"/>
    </w:rPr>
  </w:style>
  <w:style w:type="paragraph" w:styleId="ListParagraph">
    <w:name w:val="List Paragraph"/>
    <w:basedOn w:val="Normal"/>
    <w:uiPriority w:val="34"/>
    <w:qFormat/>
    <w:rsid w:val="009E3DFE"/>
    <w:pPr>
      <w:ind w:left="720"/>
      <w:contextualSpacing/>
    </w:pPr>
  </w:style>
  <w:style w:type="character" w:styleId="FollowedHyperlink">
    <w:name w:val="FollowedHyperlink"/>
    <w:basedOn w:val="DefaultParagraphFont"/>
    <w:uiPriority w:val="99"/>
    <w:semiHidden/>
    <w:unhideWhenUsed/>
    <w:rsid w:val="00A24986"/>
    <w:rPr>
      <w:color w:val="954F72" w:themeColor="followedHyperlink"/>
      <w:u w:val="single"/>
    </w:rPr>
  </w:style>
  <w:style w:type="character" w:styleId="CommentReference">
    <w:name w:val="annotation reference"/>
    <w:basedOn w:val="DefaultParagraphFont"/>
    <w:uiPriority w:val="99"/>
    <w:semiHidden/>
    <w:unhideWhenUsed/>
    <w:rsid w:val="00940B6F"/>
    <w:rPr>
      <w:sz w:val="16"/>
      <w:szCs w:val="16"/>
    </w:rPr>
  </w:style>
  <w:style w:type="paragraph" w:styleId="CommentText">
    <w:name w:val="annotation text"/>
    <w:basedOn w:val="Normal"/>
    <w:link w:val="CommentTextChar"/>
    <w:uiPriority w:val="99"/>
    <w:semiHidden/>
    <w:unhideWhenUsed/>
    <w:rsid w:val="00940B6F"/>
    <w:pPr>
      <w:spacing w:line="240" w:lineRule="auto"/>
    </w:pPr>
    <w:rPr>
      <w:sz w:val="20"/>
      <w:szCs w:val="20"/>
    </w:rPr>
  </w:style>
  <w:style w:type="character" w:customStyle="1" w:styleId="CommentTextChar">
    <w:name w:val="Comment Text Char"/>
    <w:basedOn w:val="DefaultParagraphFont"/>
    <w:link w:val="CommentText"/>
    <w:uiPriority w:val="99"/>
    <w:semiHidden/>
    <w:rsid w:val="00940B6F"/>
    <w:rPr>
      <w:sz w:val="20"/>
      <w:szCs w:val="20"/>
    </w:rPr>
  </w:style>
  <w:style w:type="paragraph" w:styleId="CommentSubject">
    <w:name w:val="annotation subject"/>
    <w:basedOn w:val="CommentText"/>
    <w:next w:val="CommentText"/>
    <w:link w:val="CommentSubjectChar"/>
    <w:uiPriority w:val="99"/>
    <w:semiHidden/>
    <w:unhideWhenUsed/>
    <w:rsid w:val="00940B6F"/>
    <w:rPr>
      <w:b/>
      <w:bCs/>
    </w:rPr>
  </w:style>
  <w:style w:type="character" w:customStyle="1" w:styleId="CommentSubjectChar">
    <w:name w:val="Comment Subject Char"/>
    <w:basedOn w:val="CommentTextChar"/>
    <w:link w:val="CommentSubject"/>
    <w:uiPriority w:val="99"/>
    <w:semiHidden/>
    <w:rsid w:val="00940B6F"/>
    <w:rPr>
      <w:b/>
      <w:bCs/>
      <w:sz w:val="20"/>
      <w:szCs w:val="20"/>
    </w:rPr>
  </w:style>
  <w:style w:type="paragraph" w:styleId="NormalWeb">
    <w:name w:val="Normal (Web)"/>
    <w:basedOn w:val="Normal"/>
    <w:uiPriority w:val="99"/>
    <w:unhideWhenUsed/>
    <w:rsid w:val="006649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207">
      <w:bodyDiv w:val="1"/>
      <w:marLeft w:val="0"/>
      <w:marRight w:val="0"/>
      <w:marTop w:val="0"/>
      <w:marBottom w:val="0"/>
      <w:divBdr>
        <w:top w:val="none" w:sz="0" w:space="0" w:color="auto"/>
        <w:left w:val="none" w:sz="0" w:space="0" w:color="auto"/>
        <w:bottom w:val="none" w:sz="0" w:space="0" w:color="auto"/>
        <w:right w:val="none" w:sz="0" w:space="0" w:color="auto"/>
      </w:divBdr>
    </w:div>
    <w:div w:id="52125421">
      <w:bodyDiv w:val="1"/>
      <w:marLeft w:val="0"/>
      <w:marRight w:val="0"/>
      <w:marTop w:val="0"/>
      <w:marBottom w:val="0"/>
      <w:divBdr>
        <w:top w:val="none" w:sz="0" w:space="0" w:color="auto"/>
        <w:left w:val="none" w:sz="0" w:space="0" w:color="auto"/>
        <w:bottom w:val="none" w:sz="0" w:space="0" w:color="auto"/>
        <w:right w:val="none" w:sz="0" w:space="0" w:color="auto"/>
      </w:divBdr>
    </w:div>
    <w:div w:id="96415057">
      <w:bodyDiv w:val="1"/>
      <w:marLeft w:val="0"/>
      <w:marRight w:val="0"/>
      <w:marTop w:val="0"/>
      <w:marBottom w:val="0"/>
      <w:divBdr>
        <w:top w:val="none" w:sz="0" w:space="0" w:color="auto"/>
        <w:left w:val="none" w:sz="0" w:space="0" w:color="auto"/>
        <w:bottom w:val="none" w:sz="0" w:space="0" w:color="auto"/>
        <w:right w:val="none" w:sz="0" w:space="0" w:color="auto"/>
      </w:divBdr>
    </w:div>
    <w:div w:id="542904590">
      <w:bodyDiv w:val="1"/>
      <w:marLeft w:val="0"/>
      <w:marRight w:val="0"/>
      <w:marTop w:val="0"/>
      <w:marBottom w:val="0"/>
      <w:divBdr>
        <w:top w:val="none" w:sz="0" w:space="0" w:color="auto"/>
        <w:left w:val="none" w:sz="0" w:space="0" w:color="auto"/>
        <w:bottom w:val="none" w:sz="0" w:space="0" w:color="auto"/>
        <w:right w:val="none" w:sz="0" w:space="0" w:color="auto"/>
      </w:divBdr>
    </w:div>
    <w:div w:id="733741184">
      <w:bodyDiv w:val="1"/>
      <w:marLeft w:val="0"/>
      <w:marRight w:val="0"/>
      <w:marTop w:val="0"/>
      <w:marBottom w:val="0"/>
      <w:divBdr>
        <w:top w:val="none" w:sz="0" w:space="0" w:color="auto"/>
        <w:left w:val="none" w:sz="0" w:space="0" w:color="auto"/>
        <w:bottom w:val="none" w:sz="0" w:space="0" w:color="auto"/>
        <w:right w:val="none" w:sz="0" w:space="0" w:color="auto"/>
      </w:divBdr>
    </w:div>
    <w:div w:id="1119377001">
      <w:bodyDiv w:val="1"/>
      <w:marLeft w:val="0"/>
      <w:marRight w:val="0"/>
      <w:marTop w:val="0"/>
      <w:marBottom w:val="0"/>
      <w:divBdr>
        <w:top w:val="none" w:sz="0" w:space="0" w:color="auto"/>
        <w:left w:val="none" w:sz="0" w:space="0" w:color="auto"/>
        <w:bottom w:val="none" w:sz="0" w:space="0" w:color="auto"/>
        <w:right w:val="none" w:sz="0" w:space="0" w:color="auto"/>
      </w:divBdr>
    </w:div>
    <w:div w:id="1390113616">
      <w:bodyDiv w:val="1"/>
      <w:marLeft w:val="0"/>
      <w:marRight w:val="0"/>
      <w:marTop w:val="0"/>
      <w:marBottom w:val="0"/>
      <w:divBdr>
        <w:top w:val="none" w:sz="0" w:space="0" w:color="auto"/>
        <w:left w:val="none" w:sz="0" w:space="0" w:color="auto"/>
        <w:bottom w:val="none" w:sz="0" w:space="0" w:color="auto"/>
        <w:right w:val="none" w:sz="0" w:space="0" w:color="auto"/>
      </w:divBdr>
    </w:div>
    <w:div w:id="1423991251">
      <w:bodyDiv w:val="1"/>
      <w:marLeft w:val="0"/>
      <w:marRight w:val="0"/>
      <w:marTop w:val="0"/>
      <w:marBottom w:val="0"/>
      <w:divBdr>
        <w:top w:val="none" w:sz="0" w:space="0" w:color="auto"/>
        <w:left w:val="none" w:sz="0" w:space="0" w:color="auto"/>
        <w:bottom w:val="none" w:sz="0" w:space="0" w:color="auto"/>
        <w:right w:val="none" w:sz="0" w:space="0" w:color="auto"/>
      </w:divBdr>
    </w:div>
    <w:div w:id="1798255094">
      <w:bodyDiv w:val="1"/>
      <w:marLeft w:val="0"/>
      <w:marRight w:val="0"/>
      <w:marTop w:val="0"/>
      <w:marBottom w:val="0"/>
      <w:divBdr>
        <w:top w:val="none" w:sz="0" w:space="0" w:color="auto"/>
        <w:left w:val="none" w:sz="0" w:space="0" w:color="auto"/>
        <w:bottom w:val="none" w:sz="0" w:space="0" w:color="auto"/>
        <w:right w:val="none" w:sz="0" w:space="0" w:color="auto"/>
      </w:divBdr>
    </w:div>
    <w:div w:id="20389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cdc.gov/mmwr/volumes/69/rr/rr6903a1.htm?s_cid=rr6903a1_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cid:image001.gif@01D57EB0.78C7C6C0" TargetMode="External"/><Relationship Id="rId12" Type="http://schemas.openxmlformats.org/officeDocument/2006/relationships/image" Target="cid:image004.gif@01D57EB0.78C7C6C0" TargetMode="External"/><Relationship Id="rId17" Type="http://schemas.openxmlformats.org/officeDocument/2006/relationships/hyperlink" Target="https://www.cdc.gov/mmwr/volumes/69/wr/mm6916a5.htm?s_cid=mm6916a5_w" TargetMode="External"/><Relationship Id="rId2" Type="http://schemas.openxmlformats.org/officeDocument/2006/relationships/numbering" Target="numbering.xml"/><Relationship Id="rId16" Type="http://schemas.openxmlformats.org/officeDocument/2006/relationships/hyperlink" Target="https://www.cdc.gov/mmwr/volumes/69/wr/mm6916a2.htm?s_cid=mm6916a2_w" TargetMode="External"/><Relationship Id="rId20" Type="http://schemas.openxmlformats.org/officeDocument/2006/relationships/hyperlink" Target="mailto:media@cdc.gov"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www.cdc.gov/mmwr/volumes/69/wr/mm6916e1.htm?s_cid=mm6916e1_w" TargetMode="External"/><Relationship Id="rId10" Type="http://schemas.openxmlformats.org/officeDocument/2006/relationships/image" Target="cid:image003.gif@01D57EB0.78C7C6C0" TargetMode="External"/><Relationship Id="rId19" Type="http://schemas.openxmlformats.org/officeDocument/2006/relationships/hyperlink" Target="http://www.hhs.gov/"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www.cdc.gov/mmwr/volumes/69/wr/mm6916a1.htm?s_cid=mm6916a1_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E7AE-9D4E-4651-8196-D36EB3D8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Erinn (CDC/OD/OADC)</dc:creator>
  <cp:keywords/>
  <dc:description/>
  <cp:lastModifiedBy>Williams, Erinn (CDC/OD/OADC)</cp:lastModifiedBy>
  <cp:revision>3</cp:revision>
  <cp:lastPrinted>2020-04-01T19:12:00Z</cp:lastPrinted>
  <dcterms:created xsi:type="dcterms:W3CDTF">2020-04-22T17:06:00Z</dcterms:created>
  <dcterms:modified xsi:type="dcterms:W3CDTF">2020-04-23T14:12:00Z</dcterms:modified>
</cp:coreProperties>
</file>