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E8CA7" w14:textId="77777777" w:rsidR="00C332C3" w:rsidRDefault="0054188F">
      <w:pPr>
        <w:spacing w:before="160"/>
        <w:ind w:left="1268"/>
        <w:rPr>
          <w:b/>
          <w:sz w:val="28"/>
        </w:rPr>
      </w:pPr>
      <w:r>
        <w:rPr>
          <w:b/>
          <w:sz w:val="28"/>
        </w:rPr>
        <w:t>Examples of Executive Summary/Promulgation Statement/General</w:t>
      </w:r>
    </w:p>
    <w:p w14:paraId="31D6B371" w14:textId="77777777" w:rsidR="00C332C3" w:rsidRDefault="00C332C3">
      <w:pPr>
        <w:pStyle w:val="BodyText"/>
        <w:spacing w:before="5"/>
        <w:rPr>
          <w:b/>
          <w:sz w:val="29"/>
        </w:rPr>
      </w:pPr>
    </w:p>
    <w:p w14:paraId="14AEC88D" w14:textId="77777777" w:rsidR="00C332C3" w:rsidRDefault="0054188F">
      <w:pPr>
        <w:pStyle w:val="Heading1"/>
        <w:spacing w:before="1"/>
      </w:pPr>
      <w:r>
        <w:rPr>
          <w:u w:val="single"/>
        </w:rPr>
        <w:t>Example 1</w:t>
      </w:r>
    </w:p>
    <w:p w14:paraId="10507C2D" w14:textId="2EF01358" w:rsidR="00C332C3" w:rsidRDefault="0054188F">
      <w:pPr>
        <w:pStyle w:val="BodyText"/>
        <w:spacing w:before="40" w:line="276" w:lineRule="auto"/>
        <w:ind w:left="119" w:right="272"/>
      </w:pPr>
      <w:r>
        <w:t xml:space="preserve">The </w:t>
      </w:r>
      <w:r>
        <w:rPr>
          <w:b/>
        </w:rPr>
        <w:t xml:space="preserve">[Laboratory Name] </w:t>
      </w:r>
      <w:r>
        <w:t>plays an essential role in public h</w:t>
      </w:r>
      <w:r w:rsidR="007E59AB">
        <w:t>e</w:t>
      </w:r>
      <w:bookmarkStart w:id="0" w:name="_GoBack"/>
      <w:bookmarkEnd w:id="0"/>
      <w:r>
        <w:t xml:space="preserve">alth and safety. Laboratories performing testing of public health significance generate critical data used to make informed decisions regarding the implementation of preventative measures and development of effective policies that protect the public from unforeseen conditions, hazards and threats. Data provided by public health laboratories include those related to screening newborn infants, detecting infectious outbreaks, responding to terrorism threats and other emergencies, and monitoring significant public health trends. While laboratories in the private sector may also provide analytical services in some of these areas, the core activities of public health laboratories are uniquely focused on population health rather than individual health. This focus requires public health laboratories to have  special analytical expertise, instrumentation, methods and response capability not  available in the private sector. Consequently, it is imperative that the </w:t>
      </w:r>
      <w:r>
        <w:rPr>
          <w:b/>
        </w:rPr>
        <w:t xml:space="preserve">[Laboratory Name] </w:t>
      </w:r>
      <w:r>
        <w:t xml:space="preserve">be able to continue their core essential functions when events occur that disrupt their normal operation. To ensure continuation of these essential functions, the </w:t>
      </w:r>
      <w:r>
        <w:rPr>
          <w:b/>
        </w:rPr>
        <w:t xml:space="preserve">[Laboratory Name] </w:t>
      </w:r>
      <w:r>
        <w:t>must have in place an effective COOP.</w:t>
      </w:r>
    </w:p>
    <w:p w14:paraId="7AB8919A" w14:textId="77777777" w:rsidR="00C332C3" w:rsidRDefault="00C332C3">
      <w:pPr>
        <w:pStyle w:val="BodyText"/>
        <w:spacing w:before="4"/>
        <w:rPr>
          <w:sz w:val="25"/>
        </w:rPr>
      </w:pPr>
    </w:p>
    <w:p w14:paraId="15B6B72F" w14:textId="77777777" w:rsidR="00C332C3" w:rsidRDefault="0054188F">
      <w:pPr>
        <w:pStyle w:val="BodyText"/>
        <w:spacing w:line="276" w:lineRule="auto"/>
        <w:ind w:left="120" w:right="272"/>
      </w:pPr>
      <w:r>
        <w:t>The laboratory COOP is a comprehensive, pre-event plan that describes the procedures, policies and arrangements necessary for the laboratory to respond quickly and effectively to a wide variety of possible disruptions or threats. It describes what is in place, what the laboratory does to respond, and what is required to maintain essential functions.</w:t>
      </w:r>
    </w:p>
    <w:p w14:paraId="1D9E51D4" w14:textId="77777777" w:rsidR="00C332C3" w:rsidRDefault="00C332C3">
      <w:pPr>
        <w:pStyle w:val="BodyText"/>
        <w:spacing w:before="4"/>
        <w:rPr>
          <w:sz w:val="25"/>
        </w:rPr>
      </w:pPr>
    </w:p>
    <w:p w14:paraId="5DB5FDFE" w14:textId="77777777" w:rsidR="00C332C3" w:rsidRDefault="0054188F">
      <w:pPr>
        <w:pStyle w:val="Heading1"/>
      </w:pPr>
      <w:r>
        <w:rPr>
          <w:u w:val="single"/>
        </w:rPr>
        <w:t>Example 2</w:t>
      </w:r>
    </w:p>
    <w:p w14:paraId="29DDDA28" w14:textId="77777777" w:rsidR="00C332C3" w:rsidRDefault="0054188F">
      <w:pPr>
        <w:pStyle w:val="BodyText"/>
        <w:spacing w:before="39" w:line="276" w:lineRule="auto"/>
        <w:ind w:left="119" w:right="273"/>
      </w:pPr>
      <w:r>
        <w:t xml:space="preserve">The </w:t>
      </w:r>
      <w:r>
        <w:rPr>
          <w:b/>
        </w:rPr>
        <w:t>[Laboratory’s Name]</w:t>
      </w:r>
      <w:r>
        <w:t xml:space="preserve">’s mission is to </w:t>
      </w:r>
      <w:r>
        <w:rPr>
          <w:b/>
        </w:rPr>
        <w:t>[enter mission statement]</w:t>
      </w:r>
      <w:r>
        <w:t xml:space="preserve">. To accomplish this mission, </w:t>
      </w:r>
      <w:r>
        <w:rPr>
          <w:b/>
        </w:rPr>
        <w:t xml:space="preserve">[Laboratory Name] </w:t>
      </w:r>
      <w:r>
        <w:t xml:space="preserve">must ensure its operations are performed efficiently with minimal disruption, especially during an emergency. This document provides planning and program guidance for implementing the </w:t>
      </w:r>
      <w:r>
        <w:rPr>
          <w:b/>
        </w:rPr>
        <w:t xml:space="preserve">[Laboratory Name] </w:t>
      </w:r>
      <w:r>
        <w:t>Continuity of Operations Plan and programs to ensure the organization is capable of conducting its essential functions under all threats and conditions.</w:t>
      </w:r>
    </w:p>
    <w:p w14:paraId="3F07050D" w14:textId="77777777" w:rsidR="00C332C3" w:rsidRDefault="00C332C3">
      <w:pPr>
        <w:pStyle w:val="BodyText"/>
        <w:spacing w:before="2"/>
        <w:rPr>
          <w:sz w:val="25"/>
        </w:rPr>
      </w:pPr>
    </w:p>
    <w:p w14:paraId="0B59995F" w14:textId="77777777" w:rsidR="00C332C3" w:rsidRDefault="0054188F">
      <w:pPr>
        <w:spacing w:line="276" w:lineRule="auto"/>
        <w:ind w:left="119" w:right="155"/>
      </w:pPr>
      <w:r>
        <w:t xml:space="preserve">Within the plan there are </w:t>
      </w:r>
      <w:r>
        <w:rPr>
          <w:b/>
        </w:rPr>
        <w:t xml:space="preserve">[Laboratory Name] </w:t>
      </w:r>
      <w:r>
        <w:t xml:space="preserve">personnel who could be relocated under this plan are collectively known as the </w:t>
      </w:r>
      <w:r>
        <w:rPr>
          <w:b/>
        </w:rPr>
        <w:t>[Insert name of group, such as Emergency Relocation Group]</w:t>
      </w:r>
      <w:r>
        <w:rPr>
          <w:i/>
        </w:rPr>
        <w:t xml:space="preserve">. </w:t>
      </w:r>
      <w:r>
        <w:t xml:space="preserve">Upon plan activation, these members could deploy to </w:t>
      </w:r>
      <w:r>
        <w:rPr>
          <w:b/>
        </w:rPr>
        <w:t>[insert continuity facility name]</w:t>
      </w:r>
      <w:r>
        <w:t>. Upon arrival, continuity personnel must establish an operational capability and perform essential functions within 12 hours from the time of the activation of the Continuity Plan, for up to a 30-day period or until normal operations can be resumed.</w:t>
      </w:r>
    </w:p>
    <w:p w14:paraId="075D763B" w14:textId="77777777" w:rsidR="00C332C3" w:rsidRDefault="00C332C3">
      <w:pPr>
        <w:pStyle w:val="BodyText"/>
        <w:spacing w:before="3"/>
        <w:rPr>
          <w:sz w:val="25"/>
        </w:rPr>
      </w:pPr>
    </w:p>
    <w:p w14:paraId="278D6910" w14:textId="77777777" w:rsidR="00C332C3" w:rsidRDefault="0054188F">
      <w:pPr>
        <w:spacing w:line="276" w:lineRule="auto"/>
        <w:ind w:left="119" w:right="100"/>
      </w:pPr>
      <w:r>
        <w:t xml:space="preserve">This plan has been developed in accordance with guidance in Executive Order (EO) 12656, </w:t>
      </w:r>
      <w:r>
        <w:rPr>
          <w:i/>
        </w:rPr>
        <w:t>Assignment of Emergency Preparedness Responsibilities</w:t>
      </w:r>
      <w:r>
        <w:t xml:space="preserve">; National Security Presidential Directive – 51/Homeland Security Presidential Directive – 20, </w:t>
      </w:r>
      <w:r>
        <w:rPr>
          <w:i/>
        </w:rPr>
        <w:t>National Continuity Policy</w:t>
      </w:r>
      <w:r>
        <w:t xml:space="preserve">; Homeland Security Council, </w:t>
      </w:r>
      <w:r>
        <w:rPr>
          <w:i/>
        </w:rPr>
        <w:t>National Continuity Policy Implementation Plan</w:t>
      </w:r>
      <w:r>
        <w:t xml:space="preserve">; Federal Continuity Directive (FCD) 1, </w:t>
      </w:r>
      <w:r>
        <w:rPr>
          <w:i/>
        </w:rPr>
        <w:t>Federal Executive Branch National Continuity Program and Requirements</w:t>
      </w:r>
      <w:r>
        <w:t xml:space="preserve">, February 2008; </w:t>
      </w:r>
      <w:r>
        <w:rPr>
          <w:b/>
        </w:rPr>
        <w:t xml:space="preserve">[Laboratory Name] </w:t>
      </w:r>
      <w:r>
        <w:t xml:space="preserve">Management Directive </w:t>
      </w:r>
      <w:r>
        <w:rPr>
          <w:b/>
        </w:rPr>
        <w:t>[enter Directive number and title]</w:t>
      </w:r>
      <w:r>
        <w:t>; and other related Directives and guidance.</w:t>
      </w:r>
    </w:p>
    <w:p w14:paraId="7704440E" w14:textId="77777777" w:rsidR="00C332C3" w:rsidRDefault="00C332C3">
      <w:pPr>
        <w:spacing w:line="276" w:lineRule="auto"/>
        <w:sectPr w:rsidR="00C332C3" w:rsidSect="00970B67">
          <w:headerReference w:type="default" r:id="rId7"/>
          <w:headerReference w:type="first" r:id="rId8"/>
          <w:type w:val="continuous"/>
          <w:pgSz w:w="12240" w:h="15840"/>
          <w:pgMar w:top="2131" w:right="1000" w:bottom="280" w:left="960" w:header="720" w:footer="720" w:gutter="0"/>
          <w:cols w:space="720"/>
          <w:titlePg/>
          <w:docGrid w:linePitch="299"/>
        </w:sectPr>
      </w:pPr>
    </w:p>
    <w:p w14:paraId="0089F0A3" w14:textId="77777777" w:rsidR="00C332C3" w:rsidRDefault="0054188F">
      <w:pPr>
        <w:pStyle w:val="Heading1"/>
        <w:spacing w:before="55"/>
      </w:pPr>
      <w:r>
        <w:rPr>
          <w:u w:val="single"/>
        </w:rPr>
        <w:lastRenderedPageBreak/>
        <w:t>Example 3</w:t>
      </w:r>
    </w:p>
    <w:p w14:paraId="46E1429B" w14:textId="77777777" w:rsidR="00C332C3" w:rsidRDefault="0054188F">
      <w:pPr>
        <w:pStyle w:val="BodyText"/>
        <w:spacing w:before="39" w:line="276" w:lineRule="auto"/>
        <w:ind w:left="120" w:right="989"/>
      </w:pPr>
      <w:r>
        <w:t xml:space="preserve">The </w:t>
      </w:r>
      <w:r>
        <w:rPr>
          <w:b/>
        </w:rPr>
        <w:t xml:space="preserve">[Laboratory’s Name] </w:t>
      </w:r>
      <w:r>
        <w:t xml:space="preserve">Continuity of Operations Plan (COOP) provides instruction and guidance to </w:t>
      </w:r>
      <w:r>
        <w:rPr>
          <w:b/>
        </w:rPr>
        <w:t xml:space="preserve">[Laboratory’s Name] </w:t>
      </w:r>
      <w:r>
        <w:t>employees, enabling essential functions to continue when there is a catastrophic emergency that severely impacts the laboratory’s ability to operate as usual.</w:t>
      </w:r>
    </w:p>
    <w:p w14:paraId="4AC50049" w14:textId="77777777" w:rsidR="00C332C3" w:rsidRDefault="00C332C3">
      <w:pPr>
        <w:pStyle w:val="BodyText"/>
        <w:spacing w:before="3"/>
        <w:rPr>
          <w:sz w:val="25"/>
        </w:rPr>
      </w:pPr>
    </w:p>
    <w:p w14:paraId="02A8DCDF" w14:textId="77777777" w:rsidR="00C332C3" w:rsidRDefault="0054188F">
      <w:pPr>
        <w:pStyle w:val="BodyText"/>
        <w:spacing w:before="1" w:line="276" w:lineRule="auto"/>
        <w:ind w:left="120" w:right="155"/>
      </w:pPr>
      <w:r>
        <w:t>Laboratory department heads and elected officials have been instrumental in the COOP preparation. They have developed actions and processes to ensure all public services legal in requirement, mandated by act or regulation, and/or affecting safety and health will continue under the worst of environmental, economic and technological conditions.</w:t>
      </w:r>
    </w:p>
    <w:p w14:paraId="232DFD27" w14:textId="77777777" w:rsidR="00C332C3" w:rsidRDefault="00C332C3">
      <w:pPr>
        <w:pStyle w:val="BodyText"/>
        <w:spacing w:before="4"/>
        <w:rPr>
          <w:sz w:val="25"/>
        </w:rPr>
      </w:pPr>
    </w:p>
    <w:p w14:paraId="3655861B" w14:textId="77777777" w:rsidR="00C332C3" w:rsidRDefault="0054188F">
      <w:pPr>
        <w:pStyle w:val="BodyText"/>
        <w:spacing w:line="276" w:lineRule="auto"/>
        <w:ind w:left="120" w:right="206"/>
      </w:pPr>
      <w:r>
        <w:t xml:space="preserve">The </w:t>
      </w:r>
      <w:r>
        <w:rPr>
          <w:b/>
        </w:rPr>
        <w:t xml:space="preserve">[Laboratory’s Name] </w:t>
      </w:r>
      <w:r>
        <w:t xml:space="preserve">Continuity of Operations Plan represents our commitment to serve our customers in the worst and best of times. The </w:t>
      </w:r>
      <w:r>
        <w:rPr>
          <w:b/>
        </w:rPr>
        <w:t xml:space="preserve">[Laboratory’s Name] </w:t>
      </w:r>
      <w:r>
        <w:t xml:space="preserve">Director asks each </w:t>
      </w:r>
      <w:r>
        <w:rPr>
          <w:b/>
        </w:rPr>
        <w:t xml:space="preserve">[Laboratory’s Name] </w:t>
      </w:r>
      <w:r>
        <w:t>employee to familiarize themselves with actions that must be taken to continue laboratory operations during a disaster, and to continue to provide a full spectrum of public services to all our customers.</w:t>
      </w:r>
    </w:p>
    <w:p w14:paraId="0A06887D" w14:textId="77777777" w:rsidR="00C332C3" w:rsidRDefault="00C332C3">
      <w:pPr>
        <w:pStyle w:val="BodyText"/>
        <w:spacing w:before="3"/>
        <w:rPr>
          <w:sz w:val="25"/>
        </w:rPr>
      </w:pPr>
    </w:p>
    <w:p w14:paraId="37AECC3F" w14:textId="77777777" w:rsidR="00C332C3" w:rsidRDefault="0054188F">
      <w:pPr>
        <w:pStyle w:val="Heading1"/>
      </w:pPr>
      <w:r>
        <w:rPr>
          <w:u w:val="single"/>
        </w:rPr>
        <w:t>Example 4</w:t>
      </w:r>
    </w:p>
    <w:p w14:paraId="47DE6680" w14:textId="77777777" w:rsidR="00C332C3" w:rsidRDefault="0054188F">
      <w:pPr>
        <w:pStyle w:val="BodyText"/>
        <w:spacing w:before="41" w:line="276" w:lineRule="auto"/>
        <w:ind w:left="119" w:right="155"/>
      </w:pPr>
      <w:r>
        <w:t xml:space="preserve">This Continuity of Operations (COOP) Plan provides instruction and guidance for </w:t>
      </w:r>
      <w:r>
        <w:rPr>
          <w:b/>
        </w:rPr>
        <w:t xml:space="preserve">[Laboratory’s Name] </w:t>
      </w:r>
      <w:r>
        <w:t xml:space="preserve">in the execution of </w:t>
      </w:r>
      <w:r>
        <w:rPr>
          <w:b/>
        </w:rPr>
        <w:t xml:space="preserve">[Laboratory’s Name] </w:t>
      </w:r>
      <w:r>
        <w:t xml:space="preserve">Essential Functions during continuity events. It provides specific information for continuation </w:t>
      </w:r>
      <w:r>
        <w:rPr>
          <w:b/>
        </w:rPr>
        <w:t xml:space="preserve">[Laboratory’s Name] </w:t>
      </w:r>
      <w:r>
        <w:t>essential functions relative to staffing, alternate site relocation and configuration, continuity operations, and reconstitution.</w:t>
      </w:r>
    </w:p>
    <w:p w14:paraId="3A0F1FA1" w14:textId="77777777" w:rsidR="00C332C3" w:rsidRDefault="00C332C3">
      <w:pPr>
        <w:pStyle w:val="BodyText"/>
        <w:spacing w:before="4"/>
        <w:rPr>
          <w:sz w:val="25"/>
        </w:rPr>
      </w:pPr>
    </w:p>
    <w:p w14:paraId="713D493D" w14:textId="77777777" w:rsidR="00C332C3" w:rsidRDefault="0054188F">
      <w:pPr>
        <w:pStyle w:val="Heading1"/>
      </w:pPr>
      <w:r>
        <w:rPr>
          <w:u w:val="single"/>
        </w:rPr>
        <w:t>Example 5</w:t>
      </w:r>
    </w:p>
    <w:p w14:paraId="572F9CA0" w14:textId="77777777" w:rsidR="00C332C3" w:rsidRDefault="0054188F">
      <w:pPr>
        <w:pStyle w:val="BodyText"/>
        <w:spacing w:before="39" w:line="276" w:lineRule="auto"/>
        <w:ind w:left="120" w:right="100"/>
      </w:pPr>
      <w:r>
        <w:t xml:space="preserve">Awareness of possible consequences of terrorist incidents and emergencies (natural and human-induced) has provoked preparations of laboratory Continuity of Operations (COOP) Plans. Laboratories must develop plans to continue their mission-critical processes across a broad spectrum of emergencies.  The </w:t>
      </w:r>
      <w:r>
        <w:rPr>
          <w:b/>
        </w:rPr>
        <w:t xml:space="preserve">[Laboratory’s Name] </w:t>
      </w:r>
      <w:r>
        <w:t>must formulate a COOP Plan to ensure continuity of its essential functions.</w:t>
      </w:r>
    </w:p>
    <w:p w14:paraId="58987C84" w14:textId="77777777" w:rsidR="00C332C3" w:rsidRDefault="00C332C3">
      <w:pPr>
        <w:pStyle w:val="BodyText"/>
        <w:spacing w:before="3"/>
        <w:rPr>
          <w:sz w:val="25"/>
        </w:rPr>
      </w:pPr>
    </w:p>
    <w:p w14:paraId="6CEDBE59" w14:textId="77777777" w:rsidR="00C332C3" w:rsidRDefault="0054188F">
      <w:pPr>
        <w:pStyle w:val="BodyText"/>
        <w:spacing w:line="276" w:lineRule="auto"/>
        <w:ind w:left="120" w:right="471"/>
      </w:pPr>
      <w:r>
        <w:t xml:space="preserve">This </w:t>
      </w:r>
      <w:r>
        <w:rPr>
          <w:b/>
        </w:rPr>
        <w:t xml:space="preserve">[Laboratory’s Name] </w:t>
      </w:r>
      <w:r>
        <w:t>COOP Plan accords with current Emergency Management Accreditation Program (EMAP) and U.S. Department of Homeland Security (DHS) guidance for COOP planning, and with operational guidelines outlined in the National Incident Management System (NIMS).</w:t>
      </w:r>
    </w:p>
    <w:p w14:paraId="77AC59D5" w14:textId="77777777" w:rsidR="00C332C3" w:rsidRDefault="00C332C3">
      <w:pPr>
        <w:pStyle w:val="BodyText"/>
        <w:spacing w:before="2"/>
        <w:rPr>
          <w:sz w:val="25"/>
        </w:rPr>
      </w:pPr>
    </w:p>
    <w:p w14:paraId="29FF4A2C" w14:textId="77777777" w:rsidR="00C332C3" w:rsidRDefault="0054188F">
      <w:pPr>
        <w:pStyle w:val="BodyText"/>
        <w:spacing w:line="276" w:lineRule="auto"/>
        <w:ind w:left="120"/>
      </w:pPr>
      <w:r>
        <w:t xml:space="preserve">This COOP Plan provides guidance to the </w:t>
      </w:r>
      <w:r>
        <w:rPr>
          <w:b/>
        </w:rPr>
        <w:t xml:space="preserve">[Laboratory’s Name] </w:t>
      </w:r>
      <w:r>
        <w:t xml:space="preserve">personnel for maintaining </w:t>
      </w:r>
      <w:r>
        <w:rPr>
          <w:b/>
        </w:rPr>
        <w:t xml:space="preserve">[Laboratory’s Name] </w:t>
      </w:r>
      <w:r>
        <w:t xml:space="preserve">capability to fulfill all its assigned essential functions during all contingencies—and in so doing provides for employees’ safety and well-being if any </w:t>
      </w:r>
      <w:r>
        <w:rPr>
          <w:b/>
        </w:rPr>
        <w:t xml:space="preserve">[Laboratory’s Name] </w:t>
      </w:r>
      <w:r>
        <w:t>facilities are threatened or inaccessible. Specific objectives of this COOP Plan include the following:</w:t>
      </w:r>
    </w:p>
    <w:p w14:paraId="41CD5552" w14:textId="77777777" w:rsidR="00C332C3" w:rsidRDefault="00C332C3">
      <w:pPr>
        <w:pStyle w:val="BodyText"/>
        <w:spacing w:before="3"/>
        <w:rPr>
          <w:sz w:val="25"/>
        </w:rPr>
      </w:pPr>
    </w:p>
    <w:p w14:paraId="7D4F14BC" w14:textId="77777777" w:rsidR="00C332C3" w:rsidRDefault="0054188F">
      <w:pPr>
        <w:pStyle w:val="ListParagraph"/>
        <w:numPr>
          <w:ilvl w:val="0"/>
          <w:numId w:val="1"/>
        </w:numPr>
        <w:tabs>
          <w:tab w:val="left" w:pos="839"/>
          <w:tab w:val="left" w:pos="841"/>
        </w:tabs>
        <w:spacing w:before="1"/>
        <w:ind w:hanging="359"/>
      </w:pPr>
      <w:r>
        <w:t>Ensure continuous performance of essential</w:t>
      </w:r>
      <w:r>
        <w:rPr>
          <w:spacing w:val="-26"/>
        </w:rPr>
        <w:t xml:space="preserve"> </w:t>
      </w:r>
      <w:r>
        <w:t>functions.</w:t>
      </w:r>
    </w:p>
    <w:p w14:paraId="5DDB6A5B" w14:textId="77777777" w:rsidR="00C332C3" w:rsidRDefault="0054188F">
      <w:pPr>
        <w:pStyle w:val="ListParagraph"/>
        <w:numPr>
          <w:ilvl w:val="0"/>
          <w:numId w:val="1"/>
        </w:numPr>
        <w:tabs>
          <w:tab w:val="left" w:pos="839"/>
          <w:tab w:val="left" w:pos="841"/>
        </w:tabs>
        <w:ind w:left="840"/>
      </w:pPr>
      <w:r>
        <w:t>Protect</w:t>
      </w:r>
      <w:r>
        <w:rPr>
          <w:spacing w:val="-5"/>
        </w:rPr>
        <w:t xml:space="preserve"> </w:t>
      </w:r>
      <w:r>
        <w:t>essential</w:t>
      </w:r>
      <w:r>
        <w:rPr>
          <w:spacing w:val="-6"/>
        </w:rPr>
        <w:t xml:space="preserve"> </w:t>
      </w:r>
      <w:r>
        <w:t>facilities,</w:t>
      </w:r>
      <w:r>
        <w:rPr>
          <w:spacing w:val="-4"/>
        </w:rPr>
        <w:t xml:space="preserve"> </w:t>
      </w:r>
      <w:r>
        <w:t>equipment,</w:t>
      </w:r>
      <w:r>
        <w:rPr>
          <w:spacing w:val="-6"/>
        </w:rPr>
        <w:t xml:space="preserve"> </w:t>
      </w:r>
      <w:r>
        <w:t>vital</w:t>
      </w:r>
      <w:r>
        <w:rPr>
          <w:spacing w:val="-6"/>
        </w:rPr>
        <w:t xml:space="preserve"> </w:t>
      </w:r>
      <w:r>
        <w:t>records,</w:t>
      </w:r>
      <w:r>
        <w:rPr>
          <w:spacing w:val="-6"/>
        </w:rPr>
        <w:t xml:space="preserve"> </w:t>
      </w:r>
      <w:r>
        <w:t>and</w:t>
      </w:r>
      <w:r>
        <w:rPr>
          <w:spacing w:val="-6"/>
        </w:rPr>
        <w:t xml:space="preserve"> </w:t>
      </w:r>
      <w:r>
        <w:t>other</w:t>
      </w:r>
      <w:r>
        <w:rPr>
          <w:spacing w:val="-6"/>
        </w:rPr>
        <w:t xml:space="preserve"> </w:t>
      </w:r>
      <w:r>
        <w:t>assets.</w:t>
      </w:r>
    </w:p>
    <w:p w14:paraId="458BFADA" w14:textId="77777777" w:rsidR="00C332C3" w:rsidRDefault="0054188F">
      <w:pPr>
        <w:pStyle w:val="ListParagraph"/>
        <w:numPr>
          <w:ilvl w:val="0"/>
          <w:numId w:val="1"/>
        </w:numPr>
        <w:tabs>
          <w:tab w:val="left" w:pos="839"/>
          <w:tab w:val="left" w:pos="841"/>
        </w:tabs>
        <w:ind w:left="840"/>
      </w:pPr>
      <w:r>
        <w:t>Reduce or mitigate disruptions to</w:t>
      </w:r>
      <w:r>
        <w:rPr>
          <w:spacing w:val="-21"/>
        </w:rPr>
        <w:t xml:space="preserve"> </w:t>
      </w:r>
      <w:r>
        <w:t>operations.</w:t>
      </w:r>
    </w:p>
    <w:p w14:paraId="26235636" w14:textId="77777777" w:rsidR="00C332C3" w:rsidRDefault="0054188F">
      <w:pPr>
        <w:pStyle w:val="ListParagraph"/>
        <w:numPr>
          <w:ilvl w:val="0"/>
          <w:numId w:val="1"/>
        </w:numPr>
        <w:tabs>
          <w:tab w:val="left" w:pos="839"/>
          <w:tab w:val="left" w:pos="841"/>
        </w:tabs>
        <w:spacing w:before="41"/>
        <w:ind w:left="840"/>
      </w:pPr>
      <w:r>
        <w:t>Reduce loss of life and minimize damage and</w:t>
      </w:r>
      <w:r>
        <w:rPr>
          <w:spacing w:val="-21"/>
        </w:rPr>
        <w:t xml:space="preserve"> </w:t>
      </w:r>
      <w:r>
        <w:t>losses.</w:t>
      </w:r>
    </w:p>
    <w:p w14:paraId="3500848C" w14:textId="77777777" w:rsidR="00C332C3" w:rsidRDefault="0054188F">
      <w:pPr>
        <w:pStyle w:val="ListParagraph"/>
        <w:numPr>
          <w:ilvl w:val="0"/>
          <w:numId w:val="1"/>
        </w:numPr>
        <w:tabs>
          <w:tab w:val="left" w:pos="839"/>
          <w:tab w:val="left" w:pos="840"/>
        </w:tabs>
        <w:spacing w:before="100" w:line="273" w:lineRule="auto"/>
        <w:ind w:right="602"/>
      </w:pPr>
      <w:r>
        <w:t xml:space="preserve">Achieve a timely and orderly recovery from an emergency, and resume full service to </w:t>
      </w:r>
      <w:r>
        <w:rPr>
          <w:b/>
        </w:rPr>
        <w:t>[Laboratory’s Name]</w:t>
      </w:r>
      <w:r>
        <w:t>.</w:t>
      </w:r>
    </w:p>
    <w:p w14:paraId="6FE9BAFC" w14:textId="008EB1A6" w:rsidR="00C332C3" w:rsidRDefault="00C332C3">
      <w:pPr>
        <w:pStyle w:val="BodyText"/>
        <w:rPr>
          <w:sz w:val="21"/>
        </w:rPr>
      </w:pPr>
    </w:p>
    <w:p w14:paraId="7D41D025" w14:textId="77777777" w:rsidR="005E6423" w:rsidRDefault="005E6423">
      <w:pPr>
        <w:pStyle w:val="BodyText"/>
        <w:rPr>
          <w:sz w:val="21"/>
        </w:rPr>
      </w:pPr>
    </w:p>
    <w:p w14:paraId="03A48B38" w14:textId="77777777" w:rsidR="005E6423" w:rsidRDefault="005E6423">
      <w:pPr>
        <w:pStyle w:val="BodyText"/>
        <w:rPr>
          <w:sz w:val="21"/>
        </w:rPr>
      </w:pPr>
    </w:p>
    <w:p w14:paraId="74B7445D" w14:textId="77777777" w:rsidR="00C332C3" w:rsidRDefault="0054188F">
      <w:pPr>
        <w:pStyle w:val="BodyText"/>
        <w:spacing w:before="55" w:line="276" w:lineRule="auto"/>
        <w:ind w:left="120" w:right="89"/>
      </w:pPr>
      <w:r>
        <w:lastRenderedPageBreak/>
        <w:t xml:space="preserve">Recommended changes to this plan should be sent to the </w:t>
      </w:r>
      <w:r>
        <w:rPr>
          <w:shd w:val="clear" w:color="auto" w:fill="FFFF00"/>
        </w:rPr>
        <w:t xml:space="preserve">Department Name </w:t>
      </w:r>
      <w:r>
        <w:t xml:space="preserve">COOP Coordinator, </w:t>
      </w:r>
      <w:r>
        <w:rPr>
          <w:shd w:val="clear" w:color="auto" w:fill="FFFF00"/>
        </w:rPr>
        <w:t>Name</w:t>
      </w:r>
      <w:r>
        <w:t xml:space="preserve">, at </w:t>
      </w:r>
      <w:r>
        <w:rPr>
          <w:shd w:val="clear" w:color="auto" w:fill="FFFF00"/>
        </w:rPr>
        <w:t>Street Address</w:t>
      </w:r>
      <w:r>
        <w:t xml:space="preserve">, </w:t>
      </w:r>
      <w:r>
        <w:rPr>
          <w:shd w:val="clear" w:color="auto" w:fill="FFFF00"/>
        </w:rPr>
        <w:t>City</w:t>
      </w:r>
      <w:r>
        <w:t xml:space="preserve">, </w:t>
      </w:r>
      <w:r>
        <w:rPr>
          <w:shd w:val="clear" w:color="auto" w:fill="FFFF00"/>
        </w:rPr>
        <w:t>State</w:t>
      </w:r>
      <w:r>
        <w:t xml:space="preserve">, </w:t>
      </w:r>
      <w:r>
        <w:rPr>
          <w:shd w:val="clear" w:color="auto" w:fill="FFFF00"/>
        </w:rPr>
        <w:t>Zip Code</w:t>
      </w:r>
      <w:r>
        <w:t>.</w:t>
      </w:r>
    </w:p>
    <w:p w14:paraId="35C69680" w14:textId="77777777" w:rsidR="00C332C3" w:rsidRDefault="00C332C3">
      <w:pPr>
        <w:pStyle w:val="BodyText"/>
        <w:rPr>
          <w:sz w:val="20"/>
        </w:rPr>
      </w:pPr>
    </w:p>
    <w:p w14:paraId="1E8889F0" w14:textId="77777777" w:rsidR="00C332C3" w:rsidRDefault="00C332C3">
      <w:pPr>
        <w:pStyle w:val="BodyText"/>
        <w:rPr>
          <w:sz w:val="20"/>
        </w:rPr>
      </w:pPr>
    </w:p>
    <w:p w14:paraId="77208311" w14:textId="77777777" w:rsidR="00C332C3" w:rsidRDefault="00C332C3">
      <w:pPr>
        <w:pStyle w:val="BodyText"/>
        <w:rPr>
          <w:sz w:val="20"/>
        </w:rPr>
      </w:pPr>
    </w:p>
    <w:p w14:paraId="35511CEF" w14:textId="77777777" w:rsidR="00C332C3" w:rsidRDefault="00C332C3">
      <w:pPr>
        <w:pStyle w:val="BodyText"/>
        <w:rPr>
          <w:sz w:val="20"/>
        </w:rPr>
      </w:pPr>
    </w:p>
    <w:p w14:paraId="03CFDD1C" w14:textId="77777777" w:rsidR="00C332C3" w:rsidRDefault="00C332C3">
      <w:pPr>
        <w:pStyle w:val="BodyText"/>
        <w:rPr>
          <w:sz w:val="20"/>
        </w:rPr>
      </w:pPr>
    </w:p>
    <w:p w14:paraId="58623E4E" w14:textId="77777777" w:rsidR="00C332C3" w:rsidRDefault="00C332C3">
      <w:pPr>
        <w:pStyle w:val="BodyText"/>
        <w:spacing w:before="10"/>
        <w:rPr>
          <w:sz w:val="21"/>
        </w:rPr>
      </w:pPr>
    </w:p>
    <w:p w14:paraId="4BFD2CF2" w14:textId="77777777" w:rsidR="00C332C3" w:rsidRDefault="0054188F">
      <w:pPr>
        <w:pStyle w:val="BodyText"/>
        <w:tabs>
          <w:tab w:val="left" w:pos="5879"/>
        </w:tabs>
        <w:spacing w:before="56"/>
        <w:ind w:left="120"/>
      </w:pPr>
      <w:r>
        <w:rPr>
          <w:shd w:val="clear" w:color="auto" w:fill="FFFF00"/>
        </w:rPr>
        <w:t>Department</w:t>
      </w:r>
      <w:r>
        <w:rPr>
          <w:spacing w:val="-3"/>
          <w:shd w:val="clear" w:color="auto" w:fill="FFFF00"/>
        </w:rPr>
        <w:t xml:space="preserve"> </w:t>
      </w:r>
      <w:r>
        <w:rPr>
          <w:shd w:val="clear" w:color="auto" w:fill="FFFF00"/>
        </w:rPr>
        <w:t>Head</w:t>
      </w:r>
      <w:r>
        <w:tab/>
        <w:t>Date</w:t>
      </w:r>
    </w:p>
    <w:p w14:paraId="4AB22E5C" w14:textId="77777777" w:rsidR="00C332C3" w:rsidRDefault="00C332C3">
      <w:pPr>
        <w:pStyle w:val="BodyText"/>
        <w:spacing w:before="7"/>
        <w:rPr>
          <w:sz w:val="28"/>
        </w:rPr>
      </w:pPr>
    </w:p>
    <w:p w14:paraId="30A94F39" w14:textId="77777777" w:rsidR="00C332C3" w:rsidRDefault="0054188F">
      <w:pPr>
        <w:pStyle w:val="Heading1"/>
      </w:pPr>
      <w:r>
        <w:rPr>
          <w:u w:val="single"/>
        </w:rPr>
        <w:t>Example 6</w:t>
      </w:r>
    </w:p>
    <w:p w14:paraId="6A510257" w14:textId="77777777" w:rsidR="00C332C3" w:rsidRDefault="0054188F">
      <w:pPr>
        <w:pStyle w:val="BodyText"/>
        <w:spacing w:before="40" w:line="276" w:lineRule="auto"/>
        <w:ind w:left="119" w:right="173"/>
      </w:pPr>
      <w:r>
        <w:t xml:space="preserve">This Continuity of Operations Plan (Plan) is authorized under the authority of </w:t>
      </w:r>
      <w:r>
        <w:rPr>
          <w:b/>
        </w:rPr>
        <w:t xml:space="preserve">[Laboratory’s Name] </w:t>
      </w:r>
      <w:r>
        <w:t>and is one of the preparedness and operations plans (e.g., IT disaster recovery, shelter-in-place, critical incident, evacuation plans) used to prevent, prepare for, respond to, and recover from a disaster.</w:t>
      </w:r>
    </w:p>
    <w:p w14:paraId="40D3AC21" w14:textId="77777777" w:rsidR="00C332C3" w:rsidRDefault="00C332C3">
      <w:pPr>
        <w:pStyle w:val="BodyText"/>
        <w:spacing w:before="3"/>
        <w:rPr>
          <w:sz w:val="25"/>
        </w:rPr>
      </w:pPr>
    </w:p>
    <w:p w14:paraId="137F56BE" w14:textId="77777777" w:rsidR="00C332C3" w:rsidRDefault="0054188F">
      <w:pPr>
        <w:pStyle w:val="BodyText"/>
        <w:spacing w:line="276" w:lineRule="auto"/>
        <w:ind w:left="119" w:right="123"/>
      </w:pPr>
      <w:r>
        <w:t xml:space="preserve">This Plan encompasses </w:t>
      </w:r>
      <w:r>
        <w:rPr>
          <w:b/>
        </w:rPr>
        <w:t xml:space="preserve">[Laboratory’s Name] </w:t>
      </w:r>
      <w:r>
        <w:t xml:space="preserve">and all personnel and operations of those laboratory offices. It presents a management framework to establish operational procedures to sustain each essential functions if normal operations performed at </w:t>
      </w:r>
      <w:r>
        <w:rPr>
          <w:b/>
        </w:rPr>
        <w:t xml:space="preserve">[Laboratory’s Name] </w:t>
      </w:r>
      <w:r>
        <w:t xml:space="preserve">or other </w:t>
      </w:r>
      <w:r>
        <w:rPr>
          <w:b/>
        </w:rPr>
        <w:t xml:space="preserve">[Laboratory’s Name] </w:t>
      </w:r>
      <w:r>
        <w:t xml:space="preserve">related buildings are not feasible. It also guides the recovery and reconstitution of </w:t>
      </w:r>
      <w:r>
        <w:rPr>
          <w:b/>
        </w:rPr>
        <w:t>[Laboratory’s Name]</w:t>
      </w:r>
      <w:r>
        <w:t>’s operations to pre-event status, focuses on actions that must be initiated after an incident to ensure continued operations of essential functions, and provides for sustained essential functions operations, which could be 30 days or more. The plan recognizes that full recovery and reconstitution of the laboratory’s activities may take weeks or months.</w:t>
      </w:r>
    </w:p>
    <w:p w14:paraId="172F67F4" w14:textId="77777777" w:rsidR="0054188F" w:rsidRDefault="0054188F">
      <w:pPr>
        <w:pStyle w:val="BodyText"/>
        <w:spacing w:line="276" w:lineRule="auto"/>
        <w:ind w:left="119" w:right="123"/>
      </w:pPr>
    </w:p>
    <w:p w14:paraId="10B3C692" w14:textId="77777777" w:rsidR="0054188F" w:rsidRDefault="0054188F">
      <w:pPr>
        <w:pStyle w:val="BodyText"/>
        <w:spacing w:line="276" w:lineRule="auto"/>
        <w:ind w:left="119" w:right="123"/>
      </w:pPr>
    </w:p>
    <w:p w14:paraId="5BD59B17" w14:textId="77777777" w:rsidR="0054188F" w:rsidRDefault="0054188F">
      <w:pPr>
        <w:pStyle w:val="BodyText"/>
        <w:spacing w:line="276" w:lineRule="auto"/>
        <w:ind w:left="119" w:right="123"/>
      </w:pPr>
    </w:p>
    <w:p w14:paraId="508726A7" w14:textId="79305348" w:rsidR="0054188F" w:rsidRDefault="004839FE">
      <w:pPr>
        <w:pStyle w:val="BodyText"/>
        <w:spacing w:line="276" w:lineRule="auto"/>
        <w:ind w:left="119" w:right="123"/>
      </w:pPr>
      <w:r>
        <w:t>s</w:t>
      </w:r>
    </w:p>
    <w:p w14:paraId="6BE2AAAF" w14:textId="77777777" w:rsidR="0054188F" w:rsidRDefault="0054188F">
      <w:pPr>
        <w:pStyle w:val="BodyText"/>
        <w:spacing w:line="276" w:lineRule="auto"/>
        <w:ind w:left="119" w:right="123"/>
      </w:pPr>
    </w:p>
    <w:p w14:paraId="71BAE97E" w14:textId="77777777" w:rsidR="0054188F" w:rsidRDefault="0054188F">
      <w:pPr>
        <w:pStyle w:val="BodyText"/>
        <w:spacing w:line="276" w:lineRule="auto"/>
        <w:ind w:left="119" w:right="123"/>
      </w:pPr>
    </w:p>
    <w:p w14:paraId="2A9C7299" w14:textId="77777777" w:rsidR="0054188F" w:rsidRDefault="0054188F">
      <w:pPr>
        <w:pStyle w:val="BodyText"/>
        <w:spacing w:line="276" w:lineRule="auto"/>
        <w:ind w:left="119" w:right="123"/>
      </w:pPr>
    </w:p>
    <w:p w14:paraId="4EE519BE" w14:textId="77777777" w:rsidR="0054188F" w:rsidRDefault="0054188F">
      <w:pPr>
        <w:pStyle w:val="BodyText"/>
        <w:spacing w:line="276" w:lineRule="auto"/>
        <w:ind w:left="119" w:right="123"/>
      </w:pPr>
    </w:p>
    <w:p w14:paraId="461976C6" w14:textId="77777777" w:rsidR="0054188F" w:rsidRDefault="0054188F">
      <w:pPr>
        <w:pStyle w:val="BodyText"/>
        <w:spacing w:line="276" w:lineRule="auto"/>
        <w:ind w:left="119" w:right="123"/>
      </w:pPr>
    </w:p>
    <w:p w14:paraId="59EE6138" w14:textId="77777777" w:rsidR="0054188F" w:rsidRDefault="0054188F">
      <w:pPr>
        <w:pStyle w:val="BodyText"/>
        <w:spacing w:line="276" w:lineRule="auto"/>
        <w:ind w:left="119" w:right="123"/>
      </w:pPr>
    </w:p>
    <w:p w14:paraId="291492A3" w14:textId="5A7D8BF4" w:rsidR="0054188F" w:rsidRDefault="0054188F">
      <w:pPr>
        <w:pStyle w:val="BodyText"/>
        <w:spacing w:line="276" w:lineRule="auto"/>
        <w:ind w:left="119" w:right="123"/>
      </w:pPr>
    </w:p>
    <w:p w14:paraId="1D6EFAB7" w14:textId="4595079C" w:rsidR="005E6423" w:rsidRDefault="005E6423">
      <w:pPr>
        <w:pStyle w:val="BodyText"/>
        <w:spacing w:line="276" w:lineRule="auto"/>
        <w:ind w:left="119" w:right="123"/>
      </w:pPr>
    </w:p>
    <w:p w14:paraId="0151D04E" w14:textId="3AB0F1A4" w:rsidR="005E6423" w:rsidRDefault="005E6423">
      <w:pPr>
        <w:pStyle w:val="BodyText"/>
        <w:spacing w:line="276" w:lineRule="auto"/>
        <w:ind w:left="119" w:right="123"/>
      </w:pPr>
    </w:p>
    <w:p w14:paraId="3132E7FD" w14:textId="08FA97D3" w:rsidR="005E6423" w:rsidRDefault="005E6423">
      <w:pPr>
        <w:pStyle w:val="BodyText"/>
        <w:spacing w:line="276" w:lineRule="auto"/>
        <w:ind w:left="119" w:right="123"/>
      </w:pPr>
    </w:p>
    <w:p w14:paraId="109F3500" w14:textId="77777777" w:rsidR="005E6423" w:rsidRDefault="005E6423">
      <w:pPr>
        <w:pStyle w:val="BodyText"/>
        <w:spacing w:line="276" w:lineRule="auto"/>
        <w:ind w:left="119" w:right="123"/>
      </w:pPr>
    </w:p>
    <w:p w14:paraId="154A4345" w14:textId="77777777" w:rsidR="0054188F" w:rsidRDefault="0054188F">
      <w:pPr>
        <w:pStyle w:val="BodyText"/>
        <w:spacing w:line="276" w:lineRule="auto"/>
        <w:ind w:left="119" w:right="123"/>
      </w:pPr>
    </w:p>
    <w:p w14:paraId="5D036F8D" w14:textId="77777777" w:rsidR="0054188F" w:rsidRDefault="0054188F">
      <w:pPr>
        <w:pStyle w:val="BodyText"/>
        <w:spacing w:line="276" w:lineRule="auto"/>
        <w:ind w:left="119" w:right="123"/>
      </w:pPr>
    </w:p>
    <w:p w14:paraId="306B1AE9" w14:textId="77777777" w:rsidR="006E4F57" w:rsidRDefault="006E4F57" w:rsidP="006E4F57">
      <w:pPr>
        <w:widowControl/>
        <w:autoSpaceDE/>
        <w:autoSpaceDN/>
        <w:rPr>
          <w:rFonts w:eastAsia="Times New Roman"/>
        </w:rPr>
      </w:pPr>
    </w:p>
    <w:p w14:paraId="66C557BE" w14:textId="39489439" w:rsidR="006E4F57" w:rsidRPr="00F07330" w:rsidRDefault="006E4F57" w:rsidP="006E4F57">
      <w:pPr>
        <w:widowControl/>
        <w:autoSpaceDE/>
        <w:autoSpaceDN/>
        <w:rPr>
          <w:rFonts w:eastAsia="Times New Roman"/>
        </w:rPr>
      </w:pPr>
      <w:r w:rsidRPr="00F07330">
        <w:rPr>
          <w:rFonts w:eastAsia="Times New Roman"/>
        </w:rPr>
        <w:t>This job aid is a component of the free, on-demand CDC training course “</w:t>
      </w:r>
      <w:r>
        <w:rPr>
          <w:rFonts w:eastAsia="Times New Roman"/>
        </w:rPr>
        <w:t>Laboratory Continuity of Operations</w:t>
      </w:r>
      <w:r w:rsidRPr="00F07330">
        <w:rPr>
          <w:rFonts w:eastAsia="Times New Roman"/>
        </w:rPr>
        <w:t xml:space="preserve">.” Find the course at </w:t>
      </w:r>
      <w:hyperlink r:id="rId9" w:history="1">
        <w:r w:rsidRPr="00F07330">
          <w:rPr>
            <w:rStyle w:val="Hyperlink"/>
            <w:rFonts w:eastAsia="Times New Roman"/>
          </w:rPr>
          <w:t>https://www.cdc.gov/labtraining</w:t>
        </w:r>
      </w:hyperlink>
      <w:r w:rsidRPr="00F07330">
        <w:rPr>
          <w:rFonts w:eastAsia="Times New Roman"/>
        </w:rPr>
        <w:t>.</w:t>
      </w:r>
    </w:p>
    <w:p w14:paraId="67A41B90" w14:textId="77777777" w:rsidR="0054188F" w:rsidRDefault="0054188F">
      <w:pPr>
        <w:pStyle w:val="BodyText"/>
        <w:spacing w:line="276" w:lineRule="auto"/>
        <w:ind w:left="119" w:right="123"/>
      </w:pPr>
    </w:p>
    <w:sectPr w:rsidR="0054188F">
      <w:pgSz w:w="12240" w:h="15840"/>
      <w:pgMar w:top="1500" w:right="9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636D" w14:textId="77777777" w:rsidR="0054188F" w:rsidRDefault="0054188F" w:rsidP="0054188F">
      <w:r>
        <w:separator/>
      </w:r>
    </w:p>
  </w:endnote>
  <w:endnote w:type="continuationSeparator" w:id="0">
    <w:p w14:paraId="1876DA74" w14:textId="77777777" w:rsidR="0054188F" w:rsidRDefault="0054188F" w:rsidP="0054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2513C" w14:textId="77777777" w:rsidR="0054188F" w:rsidRDefault="0054188F" w:rsidP="0054188F">
      <w:r>
        <w:separator/>
      </w:r>
    </w:p>
  </w:footnote>
  <w:footnote w:type="continuationSeparator" w:id="0">
    <w:p w14:paraId="6F4C3631" w14:textId="77777777" w:rsidR="0054188F" w:rsidRDefault="0054188F" w:rsidP="0054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3BD7" w14:textId="77777777" w:rsidR="005E6423" w:rsidRPr="006C213E" w:rsidRDefault="005E6423" w:rsidP="005E6423">
    <w:pPr>
      <w:pStyle w:val="Header"/>
      <w:rPr>
        <w:sz w:val="28"/>
        <w:szCs w:val="28"/>
      </w:rPr>
    </w:pPr>
    <w:r>
      <w:rPr>
        <w:sz w:val="28"/>
        <w:szCs w:val="28"/>
      </w:rPr>
      <w:t>[</w:t>
    </w:r>
    <w:r w:rsidRPr="006C213E">
      <w:rPr>
        <w:sz w:val="28"/>
        <w:szCs w:val="28"/>
      </w:rPr>
      <w:t>Insert your agency information here</w:t>
    </w:r>
    <w:r>
      <w:rPr>
        <w:sz w:val="28"/>
        <w:szCs w:val="28"/>
      </w:rPr>
      <w:t>]</w:t>
    </w:r>
  </w:p>
  <w:p w14:paraId="414C6821" w14:textId="0E789124" w:rsidR="0054188F" w:rsidRPr="00970B67" w:rsidRDefault="00970B67" w:rsidP="00970B67">
    <w:pPr>
      <w:pStyle w:val="Header"/>
      <w:tabs>
        <w:tab w:val="clear" w:pos="4680"/>
        <w:tab w:val="clear" w:pos="9360"/>
        <w:tab w:val="left" w:pos="751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3E2E" w14:textId="77777777" w:rsidR="005E6423" w:rsidRPr="006C213E" w:rsidRDefault="005E6423" w:rsidP="005E6423">
    <w:pPr>
      <w:pStyle w:val="Header"/>
      <w:rPr>
        <w:sz w:val="28"/>
        <w:szCs w:val="28"/>
      </w:rPr>
    </w:pPr>
    <w:r>
      <w:rPr>
        <w:sz w:val="28"/>
        <w:szCs w:val="28"/>
      </w:rPr>
      <w:t>[</w:t>
    </w:r>
    <w:r w:rsidRPr="006C213E">
      <w:rPr>
        <w:sz w:val="28"/>
        <w:szCs w:val="28"/>
      </w:rPr>
      <w:t>Insert your agency information here</w:t>
    </w:r>
    <w:r>
      <w:rPr>
        <w:sz w:val="28"/>
        <w:szCs w:val="28"/>
      </w:rPr>
      <w:t>]</w:t>
    </w:r>
  </w:p>
  <w:p w14:paraId="6B87F03F" w14:textId="07C9A280" w:rsidR="00970B67" w:rsidRDefault="00970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B1B99"/>
    <w:multiLevelType w:val="hybridMultilevel"/>
    <w:tmpl w:val="F1B41E46"/>
    <w:lvl w:ilvl="0" w:tplc="BA0E46C4">
      <w:numFmt w:val="bullet"/>
      <w:lvlText w:val=""/>
      <w:lvlJc w:val="left"/>
      <w:pPr>
        <w:ind w:left="839" w:hanging="360"/>
      </w:pPr>
      <w:rPr>
        <w:rFonts w:ascii="Symbol" w:eastAsia="Symbol" w:hAnsi="Symbol" w:cs="Symbol" w:hint="default"/>
        <w:w w:val="99"/>
        <w:sz w:val="22"/>
        <w:szCs w:val="22"/>
      </w:rPr>
    </w:lvl>
    <w:lvl w:ilvl="1" w:tplc="2A60FEDC">
      <w:numFmt w:val="bullet"/>
      <w:lvlText w:val="•"/>
      <w:lvlJc w:val="left"/>
      <w:pPr>
        <w:ind w:left="1784" w:hanging="360"/>
      </w:pPr>
      <w:rPr>
        <w:rFonts w:hint="default"/>
      </w:rPr>
    </w:lvl>
    <w:lvl w:ilvl="2" w:tplc="DBD06FBE">
      <w:numFmt w:val="bullet"/>
      <w:lvlText w:val="•"/>
      <w:lvlJc w:val="left"/>
      <w:pPr>
        <w:ind w:left="2728" w:hanging="360"/>
      </w:pPr>
      <w:rPr>
        <w:rFonts w:hint="default"/>
      </w:rPr>
    </w:lvl>
    <w:lvl w:ilvl="3" w:tplc="47AE3B54">
      <w:numFmt w:val="bullet"/>
      <w:lvlText w:val="•"/>
      <w:lvlJc w:val="left"/>
      <w:pPr>
        <w:ind w:left="3672" w:hanging="360"/>
      </w:pPr>
      <w:rPr>
        <w:rFonts w:hint="default"/>
      </w:rPr>
    </w:lvl>
    <w:lvl w:ilvl="4" w:tplc="9794B5A8">
      <w:numFmt w:val="bullet"/>
      <w:lvlText w:val="•"/>
      <w:lvlJc w:val="left"/>
      <w:pPr>
        <w:ind w:left="4616" w:hanging="360"/>
      </w:pPr>
      <w:rPr>
        <w:rFonts w:hint="default"/>
      </w:rPr>
    </w:lvl>
    <w:lvl w:ilvl="5" w:tplc="70D4D1C2">
      <w:numFmt w:val="bullet"/>
      <w:lvlText w:val="•"/>
      <w:lvlJc w:val="left"/>
      <w:pPr>
        <w:ind w:left="5560" w:hanging="360"/>
      </w:pPr>
      <w:rPr>
        <w:rFonts w:hint="default"/>
      </w:rPr>
    </w:lvl>
    <w:lvl w:ilvl="6" w:tplc="8D9C1B50">
      <w:numFmt w:val="bullet"/>
      <w:lvlText w:val="•"/>
      <w:lvlJc w:val="left"/>
      <w:pPr>
        <w:ind w:left="6504" w:hanging="360"/>
      </w:pPr>
      <w:rPr>
        <w:rFonts w:hint="default"/>
      </w:rPr>
    </w:lvl>
    <w:lvl w:ilvl="7" w:tplc="33E66BEA">
      <w:numFmt w:val="bullet"/>
      <w:lvlText w:val="•"/>
      <w:lvlJc w:val="left"/>
      <w:pPr>
        <w:ind w:left="7448" w:hanging="360"/>
      </w:pPr>
      <w:rPr>
        <w:rFonts w:hint="default"/>
      </w:rPr>
    </w:lvl>
    <w:lvl w:ilvl="8" w:tplc="5A8C36D6">
      <w:numFmt w:val="bullet"/>
      <w:lvlText w:val="•"/>
      <w:lvlJc w:val="left"/>
      <w:pPr>
        <w:ind w:left="83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C3"/>
    <w:rsid w:val="004839FE"/>
    <w:rsid w:val="0054188F"/>
    <w:rsid w:val="005E6423"/>
    <w:rsid w:val="006E4F57"/>
    <w:rsid w:val="007E59AB"/>
    <w:rsid w:val="00970B67"/>
    <w:rsid w:val="00C3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2CBF4"/>
  <w15:docId w15:val="{1838F979-82C0-4049-8601-78CA1758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188F"/>
    <w:pPr>
      <w:tabs>
        <w:tab w:val="center" w:pos="4680"/>
        <w:tab w:val="right" w:pos="9360"/>
      </w:tabs>
    </w:pPr>
  </w:style>
  <w:style w:type="character" w:customStyle="1" w:styleId="HeaderChar">
    <w:name w:val="Header Char"/>
    <w:basedOn w:val="DefaultParagraphFont"/>
    <w:link w:val="Header"/>
    <w:uiPriority w:val="99"/>
    <w:rsid w:val="0054188F"/>
    <w:rPr>
      <w:rFonts w:ascii="Calibri" w:eastAsia="Calibri" w:hAnsi="Calibri" w:cs="Calibri"/>
    </w:rPr>
  </w:style>
  <w:style w:type="paragraph" w:styleId="Footer">
    <w:name w:val="footer"/>
    <w:basedOn w:val="Normal"/>
    <w:link w:val="FooterChar"/>
    <w:uiPriority w:val="99"/>
    <w:unhideWhenUsed/>
    <w:rsid w:val="0054188F"/>
    <w:pPr>
      <w:tabs>
        <w:tab w:val="center" w:pos="4680"/>
        <w:tab w:val="right" w:pos="9360"/>
      </w:tabs>
    </w:pPr>
  </w:style>
  <w:style w:type="character" w:customStyle="1" w:styleId="FooterChar">
    <w:name w:val="Footer Char"/>
    <w:basedOn w:val="DefaultParagraphFont"/>
    <w:link w:val="Footer"/>
    <w:uiPriority w:val="99"/>
    <w:rsid w:val="0054188F"/>
    <w:rPr>
      <w:rFonts w:ascii="Calibri" w:eastAsia="Calibri" w:hAnsi="Calibri" w:cs="Calibri"/>
    </w:rPr>
  </w:style>
  <w:style w:type="character" w:styleId="Hyperlink">
    <w:name w:val="Hyperlink"/>
    <w:basedOn w:val="DefaultParagraphFont"/>
    <w:uiPriority w:val="99"/>
    <w:unhideWhenUsed/>
    <w:rsid w:val="00541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labtrainin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86" ma:contentTypeDescription="Create a new document." ma:contentTypeScope="" ma:versionID="7fb537f1dac609c03756573552d1dcec">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d5db6d2282e8f7476a247883fd83b17d"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CSELS-1165620290-1206</_dlc_DocId>
    <_dlc_DocIdUrl xmlns="0724e717-bbe7-4e48-ae6a-faff532bb476">
      <Url>https://cdc.sharepoint.com/sites/CSELS/DLS/Comms/_layouts/15/DocIdRedir.aspx?ID=CSELS-1165620290-1206</Url>
      <Description>CSELS-1165620290-1206</Description>
    </_dlc_DocIdUrl>
  </documentManagement>
</p:properties>
</file>

<file path=customXml/itemProps1.xml><?xml version="1.0" encoding="utf-8"?>
<ds:datastoreItem xmlns:ds="http://schemas.openxmlformats.org/officeDocument/2006/customXml" ds:itemID="{4E4C0EF7-5A77-4B27-9D35-D91697126427}"/>
</file>

<file path=customXml/itemProps2.xml><?xml version="1.0" encoding="utf-8"?>
<ds:datastoreItem xmlns:ds="http://schemas.openxmlformats.org/officeDocument/2006/customXml" ds:itemID="{360BF79A-C2C2-43DD-A75D-54DEE8A50D89}"/>
</file>

<file path=customXml/itemProps3.xml><?xml version="1.0" encoding="utf-8"?>
<ds:datastoreItem xmlns:ds="http://schemas.openxmlformats.org/officeDocument/2006/customXml" ds:itemID="{C99F016D-426D-4049-A660-A638ECFF478A}"/>
</file>

<file path=customXml/itemProps4.xml><?xml version="1.0" encoding="utf-8"?>
<ds:datastoreItem xmlns:ds="http://schemas.openxmlformats.org/officeDocument/2006/customXml" ds:itemID="{E3A3BF72-6F7C-4960-95DF-2158321E46DA}"/>
</file>

<file path=docProps/app.xml><?xml version="1.0" encoding="utf-8"?>
<Properties xmlns="http://schemas.openxmlformats.org/officeDocument/2006/extended-properties" xmlns:vt="http://schemas.openxmlformats.org/officeDocument/2006/docPropsVTypes">
  <Template>Normal</Template>
  <TotalTime>20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Examples of Executive Summary/Promulgation Statement/General</vt:lpstr>
    </vt:vector>
  </TitlesOfParts>
  <Company>Centers for Disease Control and Prevention</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Executive Summary/Promulgation Statement/General</dc:title>
  <dc:creator>Slaughter, Kimberly (CDC/OPHSS/CSELS)</dc:creator>
  <cp:lastModifiedBy>Toth, Maria (CDC/DDPHSS/CSELS/DLS) (CTR)</cp:lastModifiedBy>
  <cp:revision>6</cp:revision>
  <cp:lastPrinted>2020-08-13T13:57:00Z</cp:lastPrinted>
  <dcterms:created xsi:type="dcterms:W3CDTF">2020-06-05T14:46:00Z</dcterms:created>
  <dcterms:modified xsi:type="dcterms:W3CDTF">2020-09-17T15:10:00Z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Acrobat PDFMaker 15 for Word</vt:lpwstr>
  </property>
  <property fmtid="{D5CDD505-2E9C-101B-9397-08002B2CF9AE}" pid="4" name="LastSaved">
    <vt:filetime>2020-06-05T00:00:00Z</vt:filetime>
  </property>
  <property fmtid="{D5CDD505-2E9C-101B-9397-08002B2CF9AE}" pid="5" name="ContentTypeId">
    <vt:lpwstr>0x010100E02E23C9701DFA47A65858237CCAB721</vt:lpwstr>
  </property>
  <property fmtid="{D5CDD505-2E9C-101B-9397-08002B2CF9AE}" pid="6" name="_dlc_DocIdItemGuid">
    <vt:lpwstr>dbca24a2-f017-4743-bbd8-efd29a8c5c81</vt:lpwstr>
  </property>
</Properties>
</file>