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0EA6F" w14:textId="6E4D9F79" w:rsidR="007178A6" w:rsidRPr="0031578F" w:rsidRDefault="003719CC" w:rsidP="0039662F">
      <w:pPr>
        <w:tabs>
          <w:tab w:val="left" w:pos="3675"/>
        </w:tabs>
        <w:spacing w:before="134" w:line="460" w:lineRule="exact"/>
        <w:ind w:left="3690" w:right="408"/>
        <w:rPr>
          <w:b/>
          <w:color w:val="000000" w:themeColor="text1"/>
          <w:sz w:val="42"/>
        </w:rPr>
      </w:pPr>
      <w:bookmarkStart w:id="0" w:name="_Hlk58836574"/>
      <w:r>
        <w:rPr>
          <w:b/>
          <w:color w:val="1F497D" w:themeColor="text2"/>
          <w:sz w:val="36"/>
          <w:szCs w:val="18"/>
        </w:rPr>
        <w:br/>
      </w:r>
      <w:bookmarkStart w:id="1" w:name="_GoBack"/>
      <w:bookmarkEnd w:id="1"/>
      <w:r w:rsidR="00AE7779" w:rsidRPr="003719CC">
        <w:rPr>
          <w:b/>
          <w:color w:val="1F497D" w:themeColor="text2"/>
          <w:sz w:val="36"/>
          <w:szCs w:val="18"/>
        </w:rPr>
        <w:drawing>
          <wp:anchor distT="0" distB="0" distL="114300" distR="114300" simplePos="0" relativeHeight="251657216" behindDoc="0" locked="0" layoutInCell="1" allowOverlap="1" wp14:anchorId="68F2A61A" wp14:editId="188FC928">
            <wp:simplePos x="0" y="0"/>
            <wp:positionH relativeFrom="column">
              <wp:posOffset>-131445</wp:posOffset>
            </wp:positionH>
            <wp:positionV relativeFrom="paragraph">
              <wp:posOffset>579120</wp:posOffset>
            </wp:positionV>
            <wp:extent cx="2294255" cy="855027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:sz w:val="36"/>
          <w:szCs w:val="18"/>
        </w:rPr>
        <w:br/>
      </w:r>
      <w:r w:rsidR="0031578F" w:rsidRPr="003719CC">
        <w:rPr>
          <w:b/>
          <w:color w:val="1F497D" w:themeColor="text2"/>
          <w:sz w:val="36"/>
          <w:szCs w:val="18"/>
        </w:rPr>
        <w:t>Top 10 Recommendations for Laboratories Performing Molecular Genetic Testing</w:t>
      </w:r>
    </w:p>
    <w:p w14:paraId="3F2E9D09" w14:textId="77777777" w:rsidR="007178A6" w:rsidRPr="0031578F" w:rsidRDefault="00084A73">
      <w:pPr>
        <w:spacing w:before="315"/>
        <w:ind w:left="3680"/>
        <w:rPr>
          <w:b/>
          <w:color w:val="1F497D" w:themeColor="text2"/>
          <w:sz w:val="24"/>
          <w:u w:val="single"/>
        </w:rPr>
      </w:pPr>
      <w:r w:rsidRPr="0031578F">
        <w:rPr>
          <w:b/>
          <w:color w:val="1F497D" w:themeColor="text2"/>
          <w:w w:val="110"/>
          <w:sz w:val="24"/>
          <w:u w:val="single"/>
        </w:rPr>
        <w:t>Top 10 Recommendations for Laboratories</w:t>
      </w:r>
    </w:p>
    <w:p w14:paraId="7A4B2DB8" w14:textId="77777777" w:rsidR="007178A6" w:rsidRPr="0031578F" w:rsidRDefault="00084A73">
      <w:pPr>
        <w:pStyle w:val="Heading1"/>
        <w:numPr>
          <w:ilvl w:val="0"/>
          <w:numId w:val="1"/>
        </w:numPr>
        <w:tabs>
          <w:tab w:val="left" w:pos="4129"/>
          <w:tab w:val="left" w:pos="4130"/>
        </w:tabs>
        <w:spacing w:before="211"/>
        <w:jc w:val="left"/>
        <w:rPr>
          <w:color w:val="1F497D" w:themeColor="text2"/>
        </w:rPr>
      </w:pPr>
      <w:r w:rsidRPr="0031578F">
        <w:rPr>
          <w:color w:val="1F497D" w:themeColor="text2"/>
          <w:w w:val="105"/>
        </w:rPr>
        <w:t>Provide information regarding the laboratory’s molecular</w:t>
      </w:r>
      <w:r w:rsidRPr="0031578F">
        <w:rPr>
          <w:color w:val="1F497D" w:themeColor="text2"/>
          <w:w w:val="105"/>
        </w:rPr>
        <w:t xml:space="preserve"> genetic tests to users to facilitate appropriate test selection and requests, specimen handling and submission, informed decisions, and patient care. </w:t>
      </w:r>
      <w:r w:rsidRPr="0031578F">
        <w:rPr>
          <w:color w:val="1F497D" w:themeColor="text2"/>
          <w:spacing w:val="-5"/>
          <w:w w:val="105"/>
        </w:rPr>
        <w:t xml:space="preserve">Test </w:t>
      </w:r>
      <w:r w:rsidRPr="0031578F">
        <w:rPr>
          <w:color w:val="1F497D" w:themeColor="text2"/>
          <w:w w:val="105"/>
        </w:rPr>
        <w:t>information to be provided should</w:t>
      </w:r>
      <w:r w:rsidRPr="0031578F">
        <w:rPr>
          <w:color w:val="1F497D" w:themeColor="text2"/>
          <w:spacing w:val="49"/>
          <w:w w:val="105"/>
        </w:rPr>
        <w:t xml:space="preserve"> </w:t>
      </w:r>
      <w:r w:rsidRPr="0031578F">
        <w:rPr>
          <w:color w:val="1F497D" w:themeColor="text2"/>
          <w:w w:val="105"/>
        </w:rPr>
        <w:t>include:</w:t>
      </w:r>
    </w:p>
    <w:p w14:paraId="3125E8AD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11" w:line="240" w:lineRule="auto"/>
        <w:rPr>
          <w:sz w:val="20"/>
        </w:rPr>
      </w:pPr>
      <w:r>
        <w:rPr>
          <w:sz w:val="20"/>
        </w:rPr>
        <w:t>I</w:t>
      </w:r>
      <w:r>
        <w:rPr>
          <w:sz w:val="20"/>
        </w:rPr>
        <w:t xml:space="preserve">nformation necessary for selecting and requesting appropriate  </w:t>
      </w:r>
      <w:r>
        <w:rPr>
          <w:spacing w:val="3"/>
          <w:sz w:val="20"/>
        </w:rPr>
        <w:t xml:space="preserve"> </w:t>
      </w:r>
      <w:r>
        <w:rPr>
          <w:sz w:val="20"/>
        </w:rPr>
        <w:t>tests;</w:t>
      </w:r>
    </w:p>
    <w:p w14:paraId="165C0001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0"/>
        <w:ind w:right="964"/>
        <w:rPr>
          <w:sz w:val="20"/>
        </w:rPr>
      </w:pPr>
      <w:r>
        <w:rPr>
          <w:w w:val="105"/>
          <w:sz w:val="20"/>
        </w:rPr>
        <w:t>Information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collection,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handling,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transport,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and submission</w:t>
      </w:r>
      <w:r>
        <w:rPr>
          <w:spacing w:val="-2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7"/>
          <w:w w:val="105"/>
          <w:sz w:val="20"/>
        </w:rPr>
        <w:t xml:space="preserve"> </w:t>
      </w:r>
      <w:r>
        <w:rPr>
          <w:w w:val="105"/>
          <w:sz w:val="20"/>
        </w:rPr>
        <w:t>specimens;</w:t>
      </w:r>
    </w:p>
    <w:p w14:paraId="6278E0F5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5"/>
        <w:ind w:right="448"/>
        <w:rPr>
          <w:sz w:val="20"/>
        </w:rPr>
      </w:pPr>
      <w:r>
        <w:rPr>
          <w:sz w:val="20"/>
        </w:rPr>
        <w:t>Patient information that the laboratory needs to perform the test and report test</w:t>
      </w:r>
      <w:r>
        <w:rPr>
          <w:spacing w:val="-12"/>
          <w:sz w:val="20"/>
        </w:rPr>
        <w:t xml:space="preserve"> </w:t>
      </w:r>
      <w:r>
        <w:rPr>
          <w:sz w:val="20"/>
        </w:rPr>
        <w:t>results;</w:t>
      </w:r>
    </w:p>
    <w:p w14:paraId="525AF27E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5"/>
        <w:ind w:right="740"/>
        <w:rPr>
          <w:sz w:val="20"/>
        </w:rPr>
      </w:pPr>
      <w:r>
        <w:rPr>
          <w:sz w:val="20"/>
        </w:rPr>
        <w:t>Implications of test results for the patient’s family members, when applicable;</w:t>
      </w:r>
    </w:p>
    <w:p w14:paraId="06403811" w14:textId="1E376257" w:rsidR="007178A6" w:rsidRPr="0031578F" w:rsidRDefault="00084A73" w:rsidP="0031578F">
      <w:pPr>
        <w:pStyle w:val="ListParagraph"/>
        <w:numPr>
          <w:ilvl w:val="1"/>
          <w:numId w:val="1"/>
        </w:numPr>
        <w:tabs>
          <w:tab w:val="left" w:pos="4400"/>
        </w:tabs>
        <w:spacing w:before="35"/>
        <w:ind w:right="382"/>
        <w:rPr>
          <w:sz w:val="20"/>
        </w:rPr>
      </w:pPr>
      <w:r>
        <w:rPr>
          <w:w w:val="105"/>
          <w:sz w:val="20"/>
        </w:rPr>
        <w:t>Laboratory and/or genetic consultation regarding test selection and ordering,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specime</w:t>
      </w:r>
      <w:r>
        <w:rPr>
          <w:w w:val="105"/>
          <w:sz w:val="20"/>
        </w:rPr>
        <w:t>n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submission,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result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interpretation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implications; and</w:t>
      </w:r>
      <w:r w:rsidR="0031578F">
        <w:rPr>
          <w:w w:val="105"/>
          <w:sz w:val="20"/>
        </w:rPr>
        <w:t xml:space="preserve"> </w:t>
      </w:r>
      <w:r w:rsidRPr="0031578F">
        <w:rPr>
          <w:sz w:val="20"/>
        </w:rPr>
        <w:t>Cost of testing, whenever</w:t>
      </w:r>
      <w:r w:rsidRPr="0031578F">
        <w:rPr>
          <w:spacing w:val="43"/>
          <w:sz w:val="20"/>
        </w:rPr>
        <w:t xml:space="preserve"> </w:t>
      </w:r>
      <w:r w:rsidRPr="0031578F">
        <w:rPr>
          <w:sz w:val="20"/>
        </w:rPr>
        <w:t>possible.</w:t>
      </w:r>
    </w:p>
    <w:p w14:paraId="68B39447" w14:textId="77777777" w:rsidR="007178A6" w:rsidRPr="0031578F" w:rsidRDefault="00084A73">
      <w:pPr>
        <w:pStyle w:val="Heading1"/>
        <w:numPr>
          <w:ilvl w:val="0"/>
          <w:numId w:val="1"/>
        </w:numPr>
        <w:tabs>
          <w:tab w:val="left" w:pos="4129"/>
          <w:tab w:val="left" w:pos="4130"/>
        </w:tabs>
        <w:spacing w:before="211"/>
        <w:ind w:right="411"/>
        <w:jc w:val="left"/>
        <w:rPr>
          <w:color w:val="1F497D" w:themeColor="text2"/>
        </w:rPr>
      </w:pPr>
      <w:r w:rsidRPr="0031578F">
        <w:rPr>
          <w:color w:val="1F497D" w:themeColor="text2"/>
          <w:w w:val="105"/>
        </w:rPr>
        <w:t>E</w:t>
      </w:r>
      <w:r w:rsidRPr="0031578F">
        <w:rPr>
          <w:color w:val="1F497D" w:themeColor="text2"/>
          <w:w w:val="105"/>
        </w:rPr>
        <w:t>nsure test requests solicit information needed for selecting appropriate test methods, determining the mutations or variants to be tested, interpreting test resu</w:t>
      </w:r>
      <w:r w:rsidRPr="0031578F">
        <w:rPr>
          <w:color w:val="1F497D" w:themeColor="text2"/>
          <w:w w:val="105"/>
        </w:rPr>
        <w:t>lts, and timely reporting of test results.  Information to be solicited</w:t>
      </w:r>
      <w:r w:rsidRPr="0031578F">
        <w:rPr>
          <w:color w:val="1F497D" w:themeColor="text2"/>
          <w:spacing w:val="22"/>
          <w:w w:val="105"/>
        </w:rPr>
        <w:t xml:space="preserve"> </w:t>
      </w:r>
      <w:r w:rsidRPr="0031578F">
        <w:rPr>
          <w:color w:val="1F497D" w:themeColor="text2"/>
          <w:w w:val="105"/>
        </w:rPr>
        <w:t>includes:</w:t>
      </w:r>
    </w:p>
    <w:p w14:paraId="4C4C5929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11" w:line="240" w:lineRule="auto"/>
        <w:rPr>
          <w:sz w:val="20"/>
        </w:rPr>
      </w:pPr>
      <w:r>
        <w:rPr>
          <w:w w:val="105"/>
          <w:sz w:val="20"/>
        </w:rPr>
        <w:t>All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information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CLIA;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and</w:t>
      </w:r>
    </w:p>
    <w:p w14:paraId="28054CEB" w14:textId="06665750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0"/>
        <w:ind w:right="555"/>
        <w:rPr>
          <w:sz w:val="20"/>
        </w:rPr>
      </w:pPr>
      <w:r>
        <w:rPr>
          <w:sz w:val="20"/>
        </w:rPr>
        <w:t xml:space="preserve">Indications for testing, relevant clinical and laboratory information, patient race/ethnicity, family history, and pedigree when </w:t>
      </w:r>
      <w:r>
        <w:rPr>
          <w:sz w:val="20"/>
        </w:rPr>
        <w:t>applicable.</w:t>
      </w:r>
    </w:p>
    <w:p w14:paraId="6E6490BC" w14:textId="77777777" w:rsidR="007178A6" w:rsidRDefault="007178A6">
      <w:pPr>
        <w:pStyle w:val="BodyText"/>
        <w:spacing w:before="5" w:line="240" w:lineRule="auto"/>
        <w:ind w:left="0" w:firstLine="0"/>
        <w:rPr>
          <w:sz w:val="8"/>
        </w:rPr>
      </w:pPr>
    </w:p>
    <w:p w14:paraId="2311736F" w14:textId="77777777" w:rsidR="007178A6" w:rsidRPr="0031578F" w:rsidRDefault="00084A73">
      <w:pPr>
        <w:pStyle w:val="Heading1"/>
        <w:numPr>
          <w:ilvl w:val="0"/>
          <w:numId w:val="1"/>
        </w:numPr>
        <w:tabs>
          <w:tab w:val="left" w:pos="4129"/>
          <w:tab w:val="left" w:pos="4130"/>
        </w:tabs>
        <w:ind w:right="146"/>
        <w:jc w:val="left"/>
        <w:rPr>
          <w:color w:val="1F497D" w:themeColor="text2"/>
        </w:rPr>
      </w:pPr>
      <w:r w:rsidRPr="0031578F">
        <w:rPr>
          <w:color w:val="1F497D" w:themeColor="text2"/>
          <w:w w:val="105"/>
        </w:rPr>
        <w:t xml:space="preserve">Ensure adequate establishment and verification of analytic performance specifications before introducing any new </w:t>
      </w:r>
      <w:r w:rsidRPr="0031578F">
        <w:rPr>
          <w:color w:val="1F497D" w:themeColor="text2"/>
          <w:w w:val="105"/>
        </w:rPr>
        <w:t>molecular genetic test for patient testing, and document available information on clinical</w:t>
      </w:r>
      <w:r w:rsidRPr="0031578F">
        <w:rPr>
          <w:color w:val="1F497D" w:themeColor="text2"/>
          <w:spacing w:val="19"/>
          <w:w w:val="105"/>
        </w:rPr>
        <w:t xml:space="preserve"> </w:t>
      </w:r>
      <w:r w:rsidRPr="0031578F">
        <w:rPr>
          <w:color w:val="1F497D" w:themeColor="text2"/>
          <w:w w:val="105"/>
        </w:rPr>
        <w:t>validity.</w:t>
      </w:r>
    </w:p>
    <w:p w14:paraId="6F863BF8" w14:textId="76E9E796" w:rsidR="007178A6" w:rsidRPr="0031578F" w:rsidRDefault="00084A73">
      <w:pPr>
        <w:pStyle w:val="ListParagraph"/>
        <w:numPr>
          <w:ilvl w:val="0"/>
          <w:numId w:val="1"/>
        </w:numPr>
        <w:tabs>
          <w:tab w:val="left" w:pos="4129"/>
          <w:tab w:val="left" w:pos="4130"/>
        </w:tabs>
        <w:spacing w:before="201" w:line="240" w:lineRule="auto"/>
        <w:ind w:right="648"/>
        <w:jc w:val="left"/>
        <w:rPr>
          <w:b/>
          <w:color w:val="1F497D" w:themeColor="text2"/>
          <w:sz w:val="21"/>
        </w:rPr>
      </w:pPr>
      <w:r w:rsidRPr="0031578F">
        <w:rPr>
          <w:b/>
          <w:color w:val="1F497D" w:themeColor="text2"/>
          <w:w w:val="105"/>
          <w:sz w:val="21"/>
        </w:rPr>
        <w:t xml:space="preserve">Implement specific quality control (QC) practices in addition to meeting the applicable general CLIA </w:t>
      </w:r>
      <w:r w:rsidRPr="0031578F">
        <w:rPr>
          <w:b/>
          <w:color w:val="1F497D" w:themeColor="text2"/>
          <w:w w:val="105"/>
          <w:sz w:val="21"/>
        </w:rPr>
        <w:t>requirements:</w:t>
      </w:r>
    </w:p>
    <w:p w14:paraId="0BB78059" w14:textId="2E93CB45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20"/>
        <w:ind w:right="745"/>
        <w:rPr>
          <w:sz w:val="20"/>
        </w:rPr>
      </w:pPr>
      <w:r>
        <w:rPr>
          <w:sz w:val="20"/>
        </w:rPr>
        <w:t xml:space="preserve">Ensure control materials are comprehensive and resemble patient specimens </w:t>
      </w:r>
      <w:r>
        <w:rPr>
          <w:sz w:val="20"/>
        </w:rPr>
        <w:t>when</w:t>
      </w:r>
      <w:r>
        <w:rPr>
          <w:spacing w:val="11"/>
          <w:sz w:val="20"/>
        </w:rPr>
        <w:t xml:space="preserve"> </w:t>
      </w:r>
      <w:r>
        <w:rPr>
          <w:sz w:val="20"/>
        </w:rPr>
        <w:t>possible;</w:t>
      </w:r>
    </w:p>
    <w:p w14:paraId="19C39580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ind w:right="140"/>
        <w:rPr>
          <w:sz w:val="20"/>
        </w:rPr>
      </w:pPr>
      <w:r>
        <w:rPr>
          <w:sz w:val="20"/>
        </w:rPr>
        <w:t>Include an extraction control in any test that has a nucleic acid extraction step;</w:t>
      </w:r>
    </w:p>
    <w:p w14:paraId="7F4B07B1" w14:textId="43EB2268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27" w:line="240" w:lineRule="auto"/>
        <w:rPr>
          <w:sz w:val="20"/>
        </w:rPr>
      </w:pPr>
      <w:r>
        <w:rPr>
          <w:sz w:val="20"/>
        </w:rPr>
        <w:t xml:space="preserve">Perform control procedures each time patient specimens </w:t>
      </w:r>
      <w:r>
        <w:rPr>
          <w:sz w:val="20"/>
        </w:rPr>
        <w:t>are</w:t>
      </w:r>
      <w:r w:rsidR="0031578F">
        <w:rPr>
          <w:sz w:val="20"/>
        </w:rPr>
        <w:t xml:space="preserve"> </w:t>
      </w:r>
      <w:r>
        <w:rPr>
          <w:sz w:val="20"/>
        </w:rPr>
        <w:t>tested</w:t>
      </w:r>
      <w:r>
        <w:rPr>
          <w:sz w:val="20"/>
        </w:rPr>
        <w:t>;</w:t>
      </w:r>
    </w:p>
    <w:p w14:paraId="7C731A57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0"/>
        <w:ind w:right="100"/>
        <w:rPr>
          <w:sz w:val="20"/>
        </w:rPr>
      </w:pPr>
      <w:r>
        <w:rPr>
          <w:sz w:val="20"/>
        </w:rPr>
        <w:t>Ensure appropri</w:t>
      </w:r>
      <w:r>
        <w:rPr>
          <w:sz w:val="20"/>
        </w:rPr>
        <w:t>ate alternative control procedures when control materials are not available;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</w:p>
    <w:p w14:paraId="66C68459" w14:textId="77777777" w:rsidR="007178A6" w:rsidRDefault="00084A73">
      <w:pPr>
        <w:pStyle w:val="ListParagraph"/>
        <w:numPr>
          <w:ilvl w:val="1"/>
          <w:numId w:val="1"/>
        </w:numPr>
        <w:tabs>
          <w:tab w:val="left" w:pos="4400"/>
        </w:tabs>
        <w:spacing w:before="35"/>
        <w:ind w:right="589"/>
        <w:rPr>
          <w:sz w:val="20"/>
        </w:rPr>
      </w:pPr>
      <w:r>
        <w:rPr>
          <w:sz w:val="20"/>
        </w:rPr>
        <w:t xml:space="preserve">Ensure adequate procedures to monitor unidirectional workflow for amplification procedures and prevent  </w:t>
      </w:r>
      <w:r>
        <w:rPr>
          <w:spacing w:val="8"/>
          <w:sz w:val="20"/>
        </w:rPr>
        <w:t xml:space="preserve"> </w:t>
      </w:r>
      <w:r>
        <w:rPr>
          <w:sz w:val="20"/>
        </w:rPr>
        <w:t>cross-contamination.</w:t>
      </w:r>
    </w:p>
    <w:p w14:paraId="68D03733" w14:textId="77777777" w:rsidR="007178A6" w:rsidRDefault="007178A6">
      <w:pPr>
        <w:pStyle w:val="BodyText"/>
        <w:spacing w:before="4" w:line="240" w:lineRule="auto"/>
        <w:ind w:left="0" w:firstLine="0"/>
        <w:rPr>
          <w:sz w:val="8"/>
        </w:rPr>
      </w:pPr>
    </w:p>
    <w:p w14:paraId="0AEEA4E6" w14:textId="44FD35EB" w:rsidR="007178A6" w:rsidRPr="003719CC" w:rsidRDefault="00084A73" w:rsidP="003719CC">
      <w:pPr>
        <w:pStyle w:val="Heading1"/>
        <w:numPr>
          <w:ilvl w:val="0"/>
          <w:numId w:val="1"/>
        </w:numPr>
        <w:tabs>
          <w:tab w:val="left" w:pos="4129"/>
          <w:tab w:val="left" w:pos="4130"/>
        </w:tabs>
        <w:ind w:right="337"/>
        <w:jc w:val="left"/>
        <w:rPr>
          <w:color w:val="1F497D" w:themeColor="text2"/>
        </w:rPr>
        <w:sectPr w:rsidR="007178A6" w:rsidRPr="003719CC" w:rsidSect="003719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500" w:right="920" w:bottom="280" w:left="720" w:header="720" w:footer="576" w:gutter="0"/>
          <w:cols w:space="720"/>
          <w:titlePg/>
          <w:docGrid w:linePitch="299"/>
        </w:sectPr>
      </w:pPr>
      <w:r w:rsidRPr="0031578F">
        <w:rPr>
          <w:color w:val="1F497D" w:themeColor="text2"/>
          <w:w w:val="105"/>
        </w:rPr>
        <w:t xml:space="preserve">Participate in available proficiency testing for each molecular genetic test that the laboratory </w:t>
      </w:r>
      <w:r w:rsidR="0031578F" w:rsidRPr="0031578F">
        <w:rPr>
          <w:color w:val="1F497D" w:themeColor="text2"/>
          <w:w w:val="105"/>
        </w:rPr>
        <w:t>performs and</w:t>
      </w:r>
      <w:r w:rsidRPr="0031578F">
        <w:rPr>
          <w:color w:val="1F497D" w:themeColor="text2"/>
          <w:w w:val="105"/>
        </w:rPr>
        <w:t xml:space="preserve"> perform alternative performance assessments for those molecular genetic tests for </w:t>
      </w:r>
      <w:r w:rsidRPr="0031578F">
        <w:rPr>
          <w:color w:val="1F497D" w:themeColor="text2"/>
          <w:w w:val="105"/>
        </w:rPr>
        <w:t xml:space="preserve">which no proficiency testing program is </w:t>
      </w:r>
      <w:r w:rsidRPr="0031578F">
        <w:rPr>
          <w:color w:val="1F497D" w:themeColor="text2"/>
          <w:w w:val="105"/>
        </w:rPr>
        <w:t>available.</w:t>
      </w:r>
      <w:bookmarkEnd w:id="0"/>
    </w:p>
    <w:p w14:paraId="0038BEA9" w14:textId="280E0CBF" w:rsidR="007178A6" w:rsidRPr="0031578F" w:rsidRDefault="00AE7779">
      <w:pPr>
        <w:pStyle w:val="Heading1"/>
        <w:numPr>
          <w:ilvl w:val="0"/>
          <w:numId w:val="1"/>
        </w:numPr>
        <w:tabs>
          <w:tab w:val="left" w:pos="549"/>
          <w:tab w:val="left" w:pos="550"/>
        </w:tabs>
        <w:spacing w:before="103"/>
        <w:ind w:left="550" w:right="2977"/>
        <w:jc w:val="left"/>
        <w:rPr>
          <w:color w:val="1F497D" w:themeColor="text2"/>
        </w:rPr>
      </w:pPr>
      <w:r w:rsidRPr="0031578F">
        <w:rPr>
          <w:noProof/>
          <w:color w:val="1F497D" w:themeColor="text2"/>
        </w:rPr>
        <w:lastRenderedPageBreak/>
        <w:drawing>
          <wp:anchor distT="0" distB="0" distL="114300" distR="114300" simplePos="0" relativeHeight="251658240" behindDoc="1" locked="0" layoutInCell="1" allowOverlap="1" wp14:anchorId="2CFD20D0" wp14:editId="5F24AF83">
            <wp:simplePos x="0" y="0"/>
            <wp:positionH relativeFrom="column">
              <wp:posOffset>4785360</wp:posOffset>
            </wp:positionH>
            <wp:positionV relativeFrom="paragraph">
              <wp:posOffset>134620</wp:posOffset>
            </wp:positionV>
            <wp:extent cx="2124710" cy="807656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73" w:rsidRPr="0031578F">
        <w:rPr>
          <w:color w:val="1F497D" w:themeColor="text2"/>
          <w:w w:val="105"/>
        </w:rPr>
        <w:t>Molecular gene</w:t>
      </w:r>
      <w:r w:rsidR="00084A73" w:rsidRPr="0031578F">
        <w:rPr>
          <w:color w:val="1F497D" w:themeColor="text2"/>
          <w:w w:val="105"/>
        </w:rPr>
        <w:t>tic test reports should</w:t>
      </w:r>
      <w:r w:rsidR="00084A73" w:rsidRPr="0031578F">
        <w:rPr>
          <w:color w:val="1F497D" w:themeColor="text2"/>
          <w:w w:val="105"/>
        </w:rPr>
        <w:t xml:space="preserve"> provide information necessary for accurate understanding and interpretation of test results. In addition to meeting CLIA test report requirements, laboratories should:</w:t>
      </w:r>
    </w:p>
    <w:p w14:paraId="1BF7083A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20"/>
        <w:ind w:left="820" w:right="3414"/>
        <w:jc w:val="both"/>
        <w:rPr>
          <w:sz w:val="20"/>
        </w:rPr>
      </w:pPr>
      <w:r>
        <w:rPr>
          <w:sz w:val="20"/>
        </w:rPr>
        <w:t>Include the recommended additional information (e.</w:t>
      </w:r>
      <w:r>
        <w:rPr>
          <w:sz w:val="20"/>
        </w:rPr>
        <w:t>g., test method, performance specifications and limitations, result interpretation and implications for relatives);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</w:p>
    <w:p w14:paraId="6F0360B3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2961"/>
        <w:rPr>
          <w:sz w:val="20"/>
        </w:rPr>
      </w:pPr>
      <w:r>
        <w:rPr>
          <w:sz w:val="20"/>
        </w:rPr>
        <w:t>Maintain an up-to-date database of the laboratory’s molecular genetic tests and provide updates to users when knowledge advancement affe</w:t>
      </w:r>
      <w:r>
        <w:rPr>
          <w:sz w:val="20"/>
        </w:rPr>
        <w:t>cts performance specifications or result</w:t>
      </w:r>
      <w:r>
        <w:rPr>
          <w:spacing w:val="44"/>
          <w:sz w:val="20"/>
        </w:rPr>
        <w:t xml:space="preserve"> </w:t>
      </w:r>
      <w:r>
        <w:rPr>
          <w:sz w:val="20"/>
        </w:rPr>
        <w:t>interpretation.</w:t>
      </w:r>
    </w:p>
    <w:p w14:paraId="6FA1B420" w14:textId="77777777" w:rsidR="007178A6" w:rsidRDefault="007178A6">
      <w:pPr>
        <w:pStyle w:val="BodyText"/>
        <w:spacing w:before="5" w:line="240" w:lineRule="auto"/>
        <w:ind w:left="0" w:firstLine="0"/>
        <w:rPr>
          <w:sz w:val="8"/>
        </w:rPr>
      </w:pPr>
    </w:p>
    <w:p w14:paraId="29882EA1" w14:textId="0752EF37" w:rsidR="007178A6" w:rsidRPr="0031578F" w:rsidRDefault="00084A73">
      <w:pPr>
        <w:pStyle w:val="Heading1"/>
        <w:numPr>
          <w:ilvl w:val="0"/>
          <w:numId w:val="1"/>
        </w:numPr>
        <w:tabs>
          <w:tab w:val="left" w:pos="549"/>
          <w:tab w:val="left" w:pos="550"/>
        </w:tabs>
        <w:ind w:left="550" w:right="3633"/>
        <w:jc w:val="left"/>
        <w:rPr>
          <w:color w:val="1F497D" w:themeColor="text2"/>
        </w:rPr>
      </w:pPr>
      <w:r w:rsidRPr="0031578F">
        <w:rPr>
          <w:color w:val="1F497D" w:themeColor="text2"/>
          <w:w w:val="105"/>
        </w:rPr>
        <w:t xml:space="preserve">Ensure adequate retention of test reports, records, and tested specimens for quality assurance and quality </w:t>
      </w:r>
      <w:r w:rsidRPr="0031578F">
        <w:rPr>
          <w:color w:val="1F497D" w:themeColor="text2"/>
          <w:w w:val="105"/>
        </w:rPr>
        <w:t>assessment:</w:t>
      </w:r>
    </w:p>
    <w:p w14:paraId="6871ABD4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20"/>
        <w:ind w:left="820" w:right="3247"/>
        <w:rPr>
          <w:sz w:val="20"/>
        </w:rPr>
      </w:pPr>
      <w:r>
        <w:rPr>
          <w:sz w:val="20"/>
        </w:rPr>
        <w:t>Molecular genetic test reports should be retained for a minimum of 25 years after the date</w:t>
      </w:r>
      <w:r>
        <w:rPr>
          <w:spacing w:val="-7"/>
          <w:sz w:val="20"/>
        </w:rPr>
        <w:t xml:space="preserve"> </w:t>
      </w:r>
      <w:r>
        <w:rPr>
          <w:sz w:val="20"/>
        </w:rPr>
        <w:t>reported.</w:t>
      </w:r>
    </w:p>
    <w:p w14:paraId="6BD9DFF2" w14:textId="13AFBB78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3275"/>
        <w:rPr>
          <w:sz w:val="20"/>
        </w:rPr>
      </w:pPr>
      <w:r>
        <w:rPr>
          <w:sz w:val="20"/>
        </w:rPr>
        <w:t>Previously tested specimens that ar</w:t>
      </w:r>
      <w:r>
        <w:rPr>
          <w:sz w:val="20"/>
        </w:rPr>
        <w:t xml:space="preserve">e stable should be retained until </w:t>
      </w:r>
      <w:r>
        <w:rPr>
          <w:sz w:val="20"/>
        </w:rPr>
        <w:t>the next proficiency testing event or the next alternative performance assessment is</w:t>
      </w:r>
      <w:r>
        <w:rPr>
          <w:spacing w:val="22"/>
          <w:sz w:val="20"/>
        </w:rPr>
        <w:t xml:space="preserve"> </w:t>
      </w:r>
      <w:r>
        <w:rPr>
          <w:sz w:val="20"/>
        </w:rPr>
        <w:t>performed.</w:t>
      </w:r>
    </w:p>
    <w:p w14:paraId="20713164" w14:textId="77777777" w:rsidR="007178A6" w:rsidRDefault="007178A6">
      <w:pPr>
        <w:pStyle w:val="BodyText"/>
        <w:spacing w:before="5" w:line="240" w:lineRule="auto"/>
        <w:ind w:left="0" w:firstLine="0"/>
        <w:rPr>
          <w:sz w:val="8"/>
        </w:rPr>
      </w:pPr>
    </w:p>
    <w:p w14:paraId="31808127" w14:textId="77777777" w:rsidR="007178A6" w:rsidRPr="0031578F" w:rsidRDefault="00084A73">
      <w:pPr>
        <w:pStyle w:val="Heading1"/>
        <w:numPr>
          <w:ilvl w:val="0"/>
          <w:numId w:val="1"/>
        </w:numPr>
        <w:tabs>
          <w:tab w:val="left" w:pos="549"/>
          <w:tab w:val="left" w:pos="550"/>
        </w:tabs>
        <w:ind w:left="550" w:right="3098"/>
        <w:jc w:val="left"/>
        <w:rPr>
          <w:color w:val="1F497D" w:themeColor="text2"/>
        </w:rPr>
      </w:pPr>
      <w:r w:rsidRPr="0031578F">
        <w:rPr>
          <w:color w:val="1F497D" w:themeColor="text2"/>
          <w:w w:val="105"/>
        </w:rPr>
        <w:t>Ensure confidentiality of all patient information, including information regarding family members. This is especially import</w:t>
      </w:r>
      <w:r w:rsidRPr="0031578F">
        <w:rPr>
          <w:color w:val="1F497D" w:themeColor="text2"/>
          <w:w w:val="105"/>
        </w:rPr>
        <w:t>ant when patient test results are used for the assessment and care of family</w:t>
      </w:r>
      <w:r w:rsidRPr="0031578F">
        <w:rPr>
          <w:color w:val="1F497D" w:themeColor="text2"/>
          <w:spacing w:val="10"/>
          <w:w w:val="105"/>
        </w:rPr>
        <w:t xml:space="preserve"> </w:t>
      </w:r>
      <w:r w:rsidRPr="0031578F">
        <w:rPr>
          <w:color w:val="1F497D" w:themeColor="text2"/>
          <w:w w:val="105"/>
        </w:rPr>
        <w:t>members.</w:t>
      </w:r>
    </w:p>
    <w:p w14:paraId="29E77502" w14:textId="77777777" w:rsidR="007178A6" w:rsidRPr="0031578F" w:rsidRDefault="00084A73">
      <w:pPr>
        <w:pStyle w:val="ListParagraph"/>
        <w:numPr>
          <w:ilvl w:val="0"/>
          <w:numId w:val="1"/>
        </w:numPr>
        <w:tabs>
          <w:tab w:val="left" w:pos="549"/>
          <w:tab w:val="left" w:pos="550"/>
        </w:tabs>
        <w:spacing w:before="201" w:line="240" w:lineRule="auto"/>
        <w:ind w:left="550" w:right="3656"/>
        <w:jc w:val="left"/>
        <w:rPr>
          <w:b/>
          <w:color w:val="1F497D" w:themeColor="text2"/>
          <w:sz w:val="21"/>
        </w:rPr>
      </w:pPr>
      <w:r w:rsidRPr="0031578F">
        <w:rPr>
          <w:b/>
          <w:color w:val="1F497D" w:themeColor="text2"/>
          <w:w w:val="110"/>
          <w:sz w:val="21"/>
        </w:rPr>
        <w:t>Comply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with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applicable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federal,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state,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and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local</w:t>
      </w:r>
      <w:r w:rsidRPr="0031578F">
        <w:rPr>
          <w:b/>
          <w:color w:val="1F497D" w:themeColor="text2"/>
          <w:spacing w:val="-31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requirements regarding</w:t>
      </w:r>
      <w:r w:rsidRPr="0031578F">
        <w:rPr>
          <w:b/>
          <w:color w:val="1F497D" w:themeColor="text2"/>
          <w:spacing w:val="-28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direct-to-consumer</w:t>
      </w:r>
      <w:r w:rsidRPr="0031578F">
        <w:rPr>
          <w:b/>
          <w:color w:val="1F497D" w:themeColor="text2"/>
          <w:spacing w:val="-28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genetic</w:t>
      </w:r>
      <w:r w:rsidRPr="0031578F">
        <w:rPr>
          <w:b/>
          <w:color w:val="1F497D" w:themeColor="text2"/>
          <w:spacing w:val="-28"/>
          <w:w w:val="110"/>
          <w:sz w:val="21"/>
        </w:rPr>
        <w:t xml:space="preserve"> </w:t>
      </w:r>
      <w:r w:rsidRPr="0031578F">
        <w:rPr>
          <w:b/>
          <w:color w:val="1F497D" w:themeColor="text2"/>
          <w:w w:val="110"/>
          <w:sz w:val="21"/>
        </w:rPr>
        <w:t>testing:</w:t>
      </w:r>
    </w:p>
    <w:p w14:paraId="2F809E47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11" w:line="240" w:lineRule="auto"/>
        <w:ind w:left="820"/>
        <w:rPr>
          <w:sz w:val="20"/>
        </w:rPr>
      </w:pPr>
      <w:r>
        <w:rPr>
          <w:sz w:val="20"/>
        </w:rPr>
        <w:t>Verify that test requests are from authorized</w:t>
      </w:r>
      <w:r>
        <w:rPr>
          <w:spacing w:val="6"/>
          <w:sz w:val="20"/>
        </w:rPr>
        <w:t xml:space="preserve"> </w:t>
      </w:r>
      <w:r>
        <w:rPr>
          <w:sz w:val="20"/>
        </w:rPr>
        <w:t>persons;</w:t>
      </w:r>
    </w:p>
    <w:p w14:paraId="7444C762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30"/>
        <w:ind w:left="820" w:right="3147"/>
        <w:rPr>
          <w:sz w:val="20"/>
        </w:rPr>
      </w:pPr>
      <w:r>
        <w:rPr>
          <w:sz w:val="20"/>
        </w:rPr>
        <w:t>Release test results only to persons authorized by applicable laws and regulations to receive test results, persons responsible for using the test results, and/or the referring laboratory;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</w:p>
    <w:p w14:paraId="0DA1E048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27" w:line="240" w:lineRule="auto"/>
        <w:ind w:left="820"/>
        <w:rPr>
          <w:sz w:val="20"/>
        </w:rPr>
      </w:pPr>
      <w:r>
        <w:rPr>
          <w:w w:val="105"/>
          <w:sz w:val="20"/>
        </w:rPr>
        <w:t>Follow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sz w:val="20"/>
        </w:rPr>
        <w:t>accepted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sz w:val="20"/>
        </w:rPr>
        <w:t>professional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sz w:val="20"/>
        </w:rPr>
        <w:t>guidelines.</w:t>
      </w:r>
    </w:p>
    <w:p w14:paraId="1625F05E" w14:textId="77777777" w:rsidR="007178A6" w:rsidRPr="0031578F" w:rsidRDefault="00084A73">
      <w:pPr>
        <w:pStyle w:val="Heading1"/>
        <w:numPr>
          <w:ilvl w:val="0"/>
          <w:numId w:val="1"/>
        </w:numPr>
        <w:tabs>
          <w:tab w:val="left" w:pos="550"/>
        </w:tabs>
        <w:spacing w:before="211"/>
        <w:ind w:left="550" w:right="3252"/>
        <w:jc w:val="left"/>
        <w:rPr>
          <w:color w:val="1F497D" w:themeColor="text2"/>
        </w:rPr>
      </w:pPr>
      <w:r w:rsidRPr="0031578F">
        <w:rPr>
          <w:color w:val="1F497D" w:themeColor="text2"/>
          <w:w w:val="110"/>
        </w:rPr>
        <w:t>Ensure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personnel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have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appropriate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qualifications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needed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to</w:t>
      </w:r>
      <w:r w:rsidRPr="0031578F">
        <w:rPr>
          <w:color w:val="1F497D" w:themeColor="text2"/>
          <w:spacing w:val="-29"/>
          <w:w w:val="110"/>
        </w:rPr>
        <w:t xml:space="preserve"> </w:t>
      </w:r>
      <w:r w:rsidRPr="0031578F">
        <w:rPr>
          <w:color w:val="1F497D" w:themeColor="text2"/>
          <w:w w:val="110"/>
        </w:rPr>
        <w:t>fulfill their responsibilities for the high complexity molecular genetic testing</w:t>
      </w:r>
      <w:r w:rsidRPr="0031578F">
        <w:rPr>
          <w:color w:val="1F497D" w:themeColor="text2"/>
          <w:spacing w:val="-34"/>
          <w:w w:val="110"/>
        </w:rPr>
        <w:t xml:space="preserve"> </w:t>
      </w:r>
      <w:r w:rsidRPr="0031578F">
        <w:rPr>
          <w:color w:val="1F497D" w:themeColor="text2"/>
          <w:w w:val="110"/>
        </w:rPr>
        <w:t>they</w:t>
      </w:r>
      <w:r w:rsidRPr="0031578F">
        <w:rPr>
          <w:color w:val="1F497D" w:themeColor="text2"/>
          <w:spacing w:val="-34"/>
          <w:w w:val="110"/>
        </w:rPr>
        <w:t xml:space="preserve"> </w:t>
      </w:r>
      <w:r w:rsidRPr="0031578F">
        <w:rPr>
          <w:color w:val="1F497D" w:themeColor="text2"/>
          <w:w w:val="110"/>
        </w:rPr>
        <w:t>perform:</w:t>
      </w:r>
    </w:p>
    <w:p w14:paraId="48830131" w14:textId="39A03FDC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spacing w:before="20"/>
        <w:ind w:left="820" w:right="2965"/>
        <w:rPr>
          <w:sz w:val="20"/>
        </w:rPr>
      </w:pPr>
      <w:r>
        <w:rPr>
          <w:sz w:val="20"/>
        </w:rPr>
        <w:t>Laboratory Directors must, at a minimum, meet the CLIA requir</w:t>
      </w:r>
      <w:r>
        <w:rPr>
          <w:sz w:val="20"/>
        </w:rPr>
        <w:t>ements for laboratory directors of high complexity</w:t>
      </w:r>
      <w:r w:rsidR="0031578F">
        <w:rPr>
          <w:sz w:val="20"/>
        </w:rPr>
        <w:t xml:space="preserve"> </w:t>
      </w:r>
      <w:r>
        <w:rPr>
          <w:sz w:val="20"/>
        </w:rPr>
        <w:t>testing.</w:t>
      </w:r>
    </w:p>
    <w:p w14:paraId="64D193BC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2869"/>
        <w:rPr>
          <w:sz w:val="20"/>
        </w:rPr>
      </w:pPr>
      <w:r>
        <w:rPr>
          <w:w w:val="105"/>
          <w:sz w:val="20"/>
        </w:rPr>
        <w:t>Technical Supervisors should have qualifications equivalent to the CLIA qualification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clinical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cytogenetics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supervisors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or current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certification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molecular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genetic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testing.</w:t>
      </w:r>
    </w:p>
    <w:p w14:paraId="571D7274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3179"/>
        <w:rPr>
          <w:sz w:val="20"/>
        </w:rPr>
      </w:pPr>
      <w:r>
        <w:rPr>
          <w:w w:val="105"/>
          <w:sz w:val="20"/>
        </w:rPr>
        <w:t>Clinical Consultants must meet the minimum qualifications required by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CLIA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training,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experience,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both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 testing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consultation.</w:t>
      </w:r>
    </w:p>
    <w:p w14:paraId="1FBCC035" w14:textId="53BEA4E0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2923"/>
        <w:rPr>
          <w:sz w:val="20"/>
        </w:rPr>
      </w:pPr>
      <w:r>
        <w:rPr>
          <w:sz w:val="20"/>
        </w:rPr>
        <w:t xml:space="preserve">General Supervisors must fulfill the CLIA requirements </w:t>
      </w:r>
      <w:r>
        <w:rPr>
          <w:sz w:val="20"/>
        </w:rPr>
        <w:t xml:space="preserve">for high complexity testing and should have specific training and/or experience with the molecular genetic testing the laboratory </w:t>
      </w:r>
      <w:r>
        <w:rPr>
          <w:sz w:val="20"/>
        </w:rPr>
        <w:t>performs.</w:t>
      </w:r>
    </w:p>
    <w:p w14:paraId="27267298" w14:textId="77777777" w:rsidR="007178A6" w:rsidRDefault="00084A73">
      <w:pPr>
        <w:pStyle w:val="ListParagraph"/>
        <w:numPr>
          <w:ilvl w:val="1"/>
          <w:numId w:val="1"/>
        </w:numPr>
        <w:tabs>
          <w:tab w:val="left" w:pos="820"/>
        </w:tabs>
        <w:ind w:left="820" w:right="2990"/>
        <w:rPr>
          <w:sz w:val="20"/>
        </w:rPr>
      </w:pPr>
      <w:r>
        <w:rPr>
          <w:spacing w:val="-3"/>
          <w:w w:val="105"/>
          <w:sz w:val="20"/>
        </w:rPr>
        <w:t>Testing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Personnel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meet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CLIA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qualification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high complexity testing and have training/competency with the molecular genetic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perform.</w:t>
      </w:r>
    </w:p>
    <w:p w14:paraId="0906F3AF" w14:textId="77777777" w:rsidR="007178A6" w:rsidRDefault="007178A6">
      <w:pPr>
        <w:pStyle w:val="BodyText"/>
        <w:spacing w:before="11" w:line="240" w:lineRule="auto"/>
        <w:ind w:left="0" w:firstLine="0"/>
        <w:rPr>
          <w:sz w:val="22"/>
        </w:rPr>
      </w:pPr>
    </w:p>
    <w:p w14:paraId="504F6BA1" w14:textId="66AB9381" w:rsidR="007178A6" w:rsidRDefault="00084A73" w:rsidP="00095657">
      <w:pPr>
        <w:spacing w:line="300" w:lineRule="exact"/>
        <w:ind w:left="1240" w:firstLine="110"/>
        <w:rPr>
          <w:color w:val="005DAA"/>
          <w:sz w:val="18"/>
          <w:szCs w:val="14"/>
        </w:rPr>
      </w:pPr>
      <w:r w:rsidRPr="000A000B">
        <w:rPr>
          <w:sz w:val="18"/>
          <w:szCs w:val="14"/>
        </w:rPr>
        <w:t xml:space="preserve">For additional information go to: </w:t>
      </w:r>
      <w:hyperlink r:id="rId15">
        <w:r w:rsidRPr="000A000B">
          <w:rPr>
            <w:color w:val="005DAA"/>
            <w:sz w:val="18"/>
            <w:szCs w:val="14"/>
          </w:rPr>
          <w:t>http://www.cdc.gov/dls/moleculartesting</w:t>
        </w:r>
      </w:hyperlink>
    </w:p>
    <w:p w14:paraId="5F46BBB0" w14:textId="77777777" w:rsidR="00084A73" w:rsidRPr="00095657" w:rsidRDefault="00084A73" w:rsidP="00095657">
      <w:pPr>
        <w:spacing w:line="300" w:lineRule="exact"/>
        <w:ind w:left="1240" w:firstLine="110"/>
        <w:rPr>
          <w:sz w:val="18"/>
          <w:szCs w:val="14"/>
        </w:rPr>
      </w:pPr>
    </w:p>
    <w:sectPr w:rsidR="00084A73" w:rsidRPr="00095657" w:rsidSect="00095657">
      <w:pgSz w:w="12240" w:h="15840"/>
      <w:pgMar w:top="1350" w:right="1720" w:bottom="280" w:left="62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637A5" w14:textId="77777777" w:rsidR="0039662F" w:rsidRDefault="0039662F" w:rsidP="0039662F">
      <w:r>
        <w:separator/>
      </w:r>
    </w:p>
  </w:endnote>
  <w:endnote w:type="continuationSeparator" w:id="0">
    <w:p w14:paraId="0266D398" w14:textId="77777777" w:rsidR="0039662F" w:rsidRDefault="0039662F" w:rsidP="0039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977DC" w14:textId="77777777" w:rsidR="00084A73" w:rsidRDefault="00084A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D138" w14:textId="77777777" w:rsidR="000A000B" w:rsidRPr="000A000B" w:rsidRDefault="000A000B" w:rsidP="000A000B">
    <w:pPr>
      <w:pStyle w:val="BodyText"/>
      <w:spacing w:before="148"/>
      <w:ind w:left="90" w:right="-670" w:firstLine="0"/>
      <w:rPr>
        <w:i/>
        <w:iCs/>
        <w:sz w:val="18"/>
        <w:szCs w:val="18"/>
      </w:rPr>
    </w:pPr>
    <w:r w:rsidRPr="000A000B">
      <w:rPr>
        <w:iCs/>
        <w:sz w:val="18"/>
        <w:szCs w:val="18"/>
      </w:rPr>
      <w:t xml:space="preserve">This job aid is a component of the free, on-demand CDC training course “Good Laboratory Practices for Molecular Genetics Testing.” </w:t>
    </w:r>
    <w:r w:rsidRPr="000A000B">
      <w:rPr>
        <w:iCs/>
        <w:sz w:val="18"/>
        <w:szCs w:val="18"/>
      </w:rPr>
      <w:br/>
      <w:t xml:space="preserve">Find the course at </w:t>
    </w:r>
    <w:hyperlink r:id="rId1" w:history="1">
      <w:r w:rsidRPr="000A000B">
        <w:rPr>
          <w:rStyle w:val="Hyperlink"/>
          <w:iCs/>
          <w:sz w:val="18"/>
          <w:szCs w:val="18"/>
        </w:rPr>
        <w:t>https://www.cdc.gov/labtraining.</w:t>
      </w:r>
    </w:hyperlink>
  </w:p>
  <w:p w14:paraId="4441AB39" w14:textId="77777777" w:rsidR="000A000B" w:rsidRDefault="000A0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F8721" w14:textId="5DB99621" w:rsidR="00AE7779" w:rsidRDefault="003719CC" w:rsidP="003719CC">
    <w:pPr>
      <w:pStyle w:val="Footer"/>
      <w:tabs>
        <w:tab w:val="clear" w:pos="4680"/>
        <w:tab w:val="clear" w:pos="9360"/>
        <w:tab w:val="left" w:pos="407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F85E9" w14:textId="77777777" w:rsidR="0039662F" w:rsidRDefault="0039662F" w:rsidP="0039662F">
      <w:r>
        <w:separator/>
      </w:r>
    </w:p>
  </w:footnote>
  <w:footnote w:type="continuationSeparator" w:id="0">
    <w:p w14:paraId="48D15249" w14:textId="77777777" w:rsidR="0039662F" w:rsidRDefault="0039662F" w:rsidP="00396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9C6DC" w14:textId="77777777" w:rsidR="00084A73" w:rsidRDefault="00084A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8BFD3" w14:textId="7B062151" w:rsidR="000A000B" w:rsidRDefault="00084A73" w:rsidP="00084A73">
    <w:pPr>
      <w:pStyle w:val="Header"/>
      <w:ind w:left="90"/>
    </w:pPr>
    <w:r>
      <w:rPr>
        <w:noProof/>
      </w:rPr>
      <w:t>[Insert your agency information here.]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9F34F" w14:textId="081030E7" w:rsidR="000A000B" w:rsidRDefault="00084A73">
    <w:pPr>
      <w:pStyle w:val="Header"/>
    </w:pPr>
    <w:r>
      <w:rPr>
        <w:noProof/>
      </w:rPr>
      <w:t>[Insert your agency information here.]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C12E4D"/>
    <w:multiLevelType w:val="hybridMultilevel"/>
    <w:tmpl w:val="FAB0D1F2"/>
    <w:lvl w:ilvl="0" w:tplc="D592D10A">
      <w:start w:val="1"/>
      <w:numFmt w:val="decimal"/>
      <w:lvlText w:val="%1."/>
      <w:lvlJc w:val="left"/>
      <w:pPr>
        <w:ind w:left="4130" w:hanging="450"/>
        <w:jc w:val="right"/>
      </w:pPr>
      <w:rPr>
        <w:rFonts w:ascii="Calibri" w:eastAsia="Calibri" w:hAnsi="Calibri" w:cs="Calibri" w:hint="default"/>
        <w:b/>
        <w:bCs/>
        <w:color w:val="1F497D" w:themeColor="text2"/>
        <w:w w:val="108"/>
        <w:sz w:val="21"/>
        <w:szCs w:val="21"/>
      </w:rPr>
    </w:lvl>
    <w:lvl w:ilvl="1" w:tplc="B502ACB6">
      <w:numFmt w:val="bullet"/>
      <w:lvlText w:val="•"/>
      <w:lvlJc w:val="left"/>
      <w:pPr>
        <w:ind w:left="4400" w:hanging="216"/>
      </w:pPr>
      <w:rPr>
        <w:rFonts w:ascii="Century Gothic" w:eastAsia="Century Gothic" w:hAnsi="Century Gothic" w:cs="Century Gothic" w:hint="default"/>
        <w:b/>
        <w:bCs/>
        <w:w w:val="60"/>
        <w:sz w:val="20"/>
        <w:szCs w:val="20"/>
      </w:rPr>
    </w:lvl>
    <w:lvl w:ilvl="2" w:tplc="419A2840">
      <w:numFmt w:val="bullet"/>
      <w:lvlText w:val="•"/>
      <w:lvlJc w:val="left"/>
      <w:pPr>
        <w:ind w:left="4400" w:hanging="216"/>
      </w:pPr>
      <w:rPr>
        <w:rFonts w:hint="default"/>
      </w:rPr>
    </w:lvl>
    <w:lvl w:ilvl="3" w:tplc="71E4B5F4">
      <w:numFmt w:val="bullet"/>
      <w:lvlText w:val="•"/>
      <w:lvlJc w:val="left"/>
      <w:pPr>
        <w:ind w:left="5075" w:hanging="216"/>
      </w:pPr>
      <w:rPr>
        <w:rFonts w:hint="default"/>
      </w:rPr>
    </w:lvl>
    <w:lvl w:ilvl="4" w:tplc="E264BF54">
      <w:numFmt w:val="bullet"/>
      <w:lvlText w:val="•"/>
      <w:lvlJc w:val="left"/>
      <w:pPr>
        <w:ind w:left="5750" w:hanging="216"/>
      </w:pPr>
      <w:rPr>
        <w:rFonts w:hint="default"/>
      </w:rPr>
    </w:lvl>
    <w:lvl w:ilvl="5" w:tplc="93B0386E">
      <w:numFmt w:val="bullet"/>
      <w:lvlText w:val="•"/>
      <w:lvlJc w:val="left"/>
      <w:pPr>
        <w:ind w:left="6425" w:hanging="216"/>
      </w:pPr>
      <w:rPr>
        <w:rFonts w:hint="default"/>
      </w:rPr>
    </w:lvl>
    <w:lvl w:ilvl="6" w:tplc="30A22E72">
      <w:numFmt w:val="bullet"/>
      <w:lvlText w:val="•"/>
      <w:lvlJc w:val="left"/>
      <w:pPr>
        <w:ind w:left="7100" w:hanging="216"/>
      </w:pPr>
      <w:rPr>
        <w:rFonts w:hint="default"/>
      </w:rPr>
    </w:lvl>
    <w:lvl w:ilvl="7" w:tplc="59CAF58E">
      <w:numFmt w:val="bullet"/>
      <w:lvlText w:val="•"/>
      <w:lvlJc w:val="left"/>
      <w:pPr>
        <w:ind w:left="7775" w:hanging="216"/>
      </w:pPr>
      <w:rPr>
        <w:rFonts w:hint="default"/>
      </w:rPr>
    </w:lvl>
    <w:lvl w:ilvl="8" w:tplc="058AD094">
      <w:numFmt w:val="bullet"/>
      <w:lvlText w:val="•"/>
      <w:lvlJc w:val="left"/>
      <w:pPr>
        <w:ind w:left="8450" w:hanging="2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8A6"/>
    <w:rsid w:val="00031AD4"/>
    <w:rsid w:val="00084A73"/>
    <w:rsid w:val="00095657"/>
    <w:rsid w:val="000A000B"/>
    <w:rsid w:val="0031578F"/>
    <w:rsid w:val="003719CC"/>
    <w:rsid w:val="0039662F"/>
    <w:rsid w:val="004D7CC4"/>
    <w:rsid w:val="007178A6"/>
    <w:rsid w:val="00843EB7"/>
    <w:rsid w:val="00A80D1B"/>
    <w:rsid w:val="00AE7779"/>
    <w:rsid w:val="00F3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3752F6B4"/>
  <w15:docId w15:val="{D23D5FB7-1E42-46FE-AB47-2DFBFA2D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4"/>
      <w:ind w:left="550" w:right="130" w:hanging="450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6" w:line="240" w:lineRule="exact"/>
      <w:ind w:left="4400" w:hanging="216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6" w:line="240" w:lineRule="exact"/>
      <w:ind w:left="4400" w:hanging="21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966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62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966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62F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96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cdc.gov/dls/moleculartesting" TargetMode="Externa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dc.gov/labtraining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97" ma:contentTypeDescription="Create a new document." ma:contentTypeScope="" ma:versionID="fab7f1d2734548da8effcbef8527ddf0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6644eda50985a530c10e79bbba795ce8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CSELS-1165620290-1526</_dlc_DocId>
    <_dlc_DocIdUrl xmlns="0724e717-bbe7-4e48-ae6a-faff532bb476">
      <Url>https://cdc.sharepoint.com/sites/CSELS/DLS/Comms/_layouts/15/DocIdRedir.aspx?ID=CSELS-1165620290-1526</Url>
      <Description>CSELS-1165620290-1526</Description>
    </_dlc_DocIdUrl>
  </documentManagement>
</p:properties>
</file>

<file path=customXml/itemProps1.xml><?xml version="1.0" encoding="utf-8"?>
<ds:datastoreItem xmlns:ds="http://schemas.openxmlformats.org/officeDocument/2006/customXml" ds:itemID="{7A783765-F48F-45E2-A2A9-A4586D9C8F39}"/>
</file>

<file path=customXml/itemProps2.xml><?xml version="1.0" encoding="utf-8"?>
<ds:datastoreItem xmlns:ds="http://schemas.openxmlformats.org/officeDocument/2006/customXml" ds:itemID="{4D851FB1-36CD-4631-A870-580632332A67}"/>
</file>

<file path=customXml/itemProps3.xml><?xml version="1.0" encoding="utf-8"?>
<ds:datastoreItem xmlns:ds="http://schemas.openxmlformats.org/officeDocument/2006/customXml" ds:itemID="{40585BC8-D886-44D4-A4DF-845BB16BCB57}"/>
</file>

<file path=customXml/itemProps4.xml><?xml version="1.0" encoding="utf-8"?>
<ds:datastoreItem xmlns:ds="http://schemas.openxmlformats.org/officeDocument/2006/customXml" ds:itemID="{5C41A888-B62E-4E92-B3A7-3FC81DFC26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Allen, Grayland (CDC/DDPHSS/CSELS/DLS)</dc:creator>
  <cp:lastModifiedBy>Allen, Grayland (CDC/DDPHSS/CSELS/DLS)</cp:lastModifiedBy>
  <cp:revision>2</cp:revision>
  <cp:lastPrinted>2020-12-14T23:38:00Z</cp:lastPrinted>
  <dcterms:created xsi:type="dcterms:W3CDTF">2020-12-14T23:42:00Z</dcterms:created>
  <dcterms:modified xsi:type="dcterms:W3CDTF">2020-12-14T23:42:00Z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2010-09-16T00:00:00Z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2020-06-05T00:00:00Z</vt:filetime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2020-12-14T21:28:29Z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5a0433b4-2e64-441a-acee-a85b55fd7cb0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ContentTypeId">
    <vt:lpwstr>0x010100E02E23C9701DFA47A65858237CCAB721</vt:lpwstr>
  </property>
  <property fmtid="{D5CDD505-2E9C-101B-9397-08002B2CF9AE}" pid="13" name="_dlc_DocIdItemGuid">
    <vt:lpwstr>416bd41a-fa6f-4c60-b4e7-88cfa6cc3221</vt:lpwstr>
  </property>
</Properties>
</file>