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0EB0" w14:textId="77777777" w:rsidR="004E7A63" w:rsidRDefault="004E7A63" w:rsidP="004E7A63">
      <w:pPr>
        <w:rPr>
          <w:rFonts w:ascii="Arial" w:hAnsi="Arial" w:cs="Arial"/>
          <w:b/>
          <w:bCs/>
          <w:color w:val="44546A" w:themeColor="text2"/>
          <w:sz w:val="40"/>
          <w:szCs w:val="40"/>
        </w:rPr>
      </w:pPr>
    </w:p>
    <w:p w14:paraId="08DBA2CC" w14:textId="04EBAA75" w:rsidR="004E7A63" w:rsidRPr="004E7A63" w:rsidRDefault="004E7A63" w:rsidP="004E7A63">
      <w:pPr>
        <w:rPr>
          <w:rFonts w:ascii="Arial" w:hAnsi="Arial" w:cs="Arial"/>
          <w:b/>
          <w:bCs/>
          <w:color w:val="44546A" w:themeColor="text2"/>
          <w:sz w:val="40"/>
          <w:szCs w:val="40"/>
        </w:rPr>
      </w:pPr>
      <w:r w:rsidRPr="004E7A63">
        <w:rPr>
          <w:rFonts w:ascii="Arial" w:hAnsi="Arial" w:cs="Arial"/>
          <w:b/>
          <w:bCs/>
          <w:color w:val="44546A" w:themeColor="text2"/>
          <w:sz w:val="40"/>
          <w:szCs w:val="40"/>
        </w:rPr>
        <w:t xml:space="preserve">Gram stain: </w:t>
      </w:r>
      <w:proofErr w:type="spellStart"/>
      <w:r w:rsidRPr="004E7A63">
        <w:rPr>
          <w:rFonts w:ascii="Arial" w:hAnsi="Arial" w:cs="Arial"/>
          <w:b/>
          <w:bCs/>
          <w:i/>
          <w:iCs/>
          <w:color w:val="44546A" w:themeColor="text2"/>
          <w:sz w:val="40"/>
          <w:szCs w:val="40"/>
        </w:rPr>
        <w:t>Francisella</w:t>
      </w:r>
      <w:proofErr w:type="spellEnd"/>
      <w:r w:rsidRPr="004E7A63">
        <w:rPr>
          <w:rFonts w:ascii="Arial" w:hAnsi="Arial" w:cs="Arial"/>
          <w:b/>
          <w:bCs/>
          <w:i/>
          <w:iCs/>
          <w:color w:val="44546A" w:themeColor="text2"/>
          <w:sz w:val="40"/>
          <w:szCs w:val="40"/>
        </w:rPr>
        <w:t xml:space="preserve"> </w:t>
      </w:r>
      <w:proofErr w:type="spellStart"/>
      <w:r w:rsidRPr="004E7A63">
        <w:rPr>
          <w:rFonts w:ascii="Arial" w:hAnsi="Arial" w:cs="Arial"/>
          <w:b/>
          <w:bCs/>
          <w:i/>
          <w:iCs/>
          <w:color w:val="44546A" w:themeColor="text2"/>
          <w:sz w:val="40"/>
          <w:szCs w:val="40"/>
        </w:rPr>
        <w:t>tularensis</w:t>
      </w:r>
      <w:proofErr w:type="spellEnd"/>
    </w:p>
    <w:p w14:paraId="6D01146B" w14:textId="51018D52" w:rsidR="004E7A63" w:rsidRPr="004E7A63" w:rsidRDefault="004E7A63" w:rsidP="004E7A63">
      <w:pPr>
        <w:rPr>
          <w:rFonts w:ascii="Arial" w:hAnsi="Arial" w:cs="Arial"/>
          <w:sz w:val="18"/>
          <w:szCs w:val="18"/>
        </w:rPr>
      </w:pPr>
      <w:r w:rsidRPr="004E7A63">
        <w:rPr>
          <w:rFonts w:ascii="Arial" w:hAnsi="Arial" w:cs="Arial"/>
          <w:sz w:val="18"/>
          <w:szCs w:val="18"/>
        </w:rPr>
        <w:t xml:space="preserve"> </w:t>
      </w:r>
    </w:p>
    <w:p w14:paraId="5D79426F" w14:textId="171621D2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>•Faintly-staining, tiny, pleomorphic, Gram-negative coccobacilli</w:t>
      </w:r>
    </w:p>
    <w:p w14:paraId="6092A13E" w14:textId="2CC512E5" w:rsid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 xml:space="preserve">•Mostly single cells (0.2-0.5 x 0.7-1.0µm) </w:t>
      </w:r>
    </w:p>
    <w:p w14:paraId="0FF67604" w14:textId="01CA6436" w:rsidR="004E7A63" w:rsidRPr="004E7A63" w:rsidRDefault="004E7A63" w:rsidP="004E7A63">
      <w:pPr>
        <w:tabs>
          <w:tab w:val="left" w:pos="9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015FC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85A016" wp14:editId="3097BC2D">
            <wp:simplePos x="0" y="0"/>
            <wp:positionH relativeFrom="column">
              <wp:posOffset>3420110</wp:posOffset>
            </wp:positionH>
            <wp:positionV relativeFrom="paragraph">
              <wp:posOffset>5715</wp:posOffset>
            </wp:positionV>
            <wp:extent cx="2981325" cy="609600"/>
            <wp:effectExtent l="0" t="0" r="952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A63">
        <w:rPr>
          <w:rFonts w:ascii="Arial" w:hAnsi="Arial" w:cs="Arial"/>
          <w:b/>
          <w:bCs/>
          <w:sz w:val="32"/>
          <w:szCs w:val="32"/>
          <w:u w:val="single"/>
        </w:rPr>
        <w:t>Colony morphology:</w:t>
      </w:r>
    </w:p>
    <w:p w14:paraId="7D1A3B2F" w14:textId="77777777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 xml:space="preserve">•Smooth, shiny, and </w:t>
      </w:r>
      <w:proofErr w:type="spellStart"/>
      <w:r w:rsidRPr="004E7A63">
        <w:rPr>
          <w:rFonts w:ascii="Arial" w:hAnsi="Arial" w:cs="Arial"/>
          <w:sz w:val="32"/>
          <w:szCs w:val="32"/>
        </w:rPr>
        <w:t>butyrous</w:t>
      </w:r>
      <w:proofErr w:type="spellEnd"/>
    </w:p>
    <w:p w14:paraId="725D8211" w14:textId="77777777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>•Tiny, grey-white, and opaque on Sheep Blood agar, Chocolate agar, Thayer- Martin agar, and BCYE agar</w:t>
      </w:r>
    </w:p>
    <w:p w14:paraId="0853BA18" w14:textId="2D66E702" w:rsidR="004E7A63" w:rsidRPr="004E7A63" w:rsidRDefault="004E7A63" w:rsidP="004E7A6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4E7A63">
        <w:rPr>
          <w:rFonts w:ascii="Arial" w:hAnsi="Arial" w:cs="Arial"/>
          <w:b/>
          <w:bCs/>
          <w:sz w:val="32"/>
          <w:szCs w:val="32"/>
          <w:u w:val="single"/>
        </w:rPr>
        <w:t>Growth:</w:t>
      </w:r>
    </w:p>
    <w:p w14:paraId="0F16DE33" w14:textId="78C6B62F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>•Usually too small to be seen at 24h</w:t>
      </w:r>
    </w:p>
    <w:p w14:paraId="7B56F5D5" w14:textId="73AD00D5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>•May require cysteine supplementation</w:t>
      </w:r>
    </w:p>
    <w:p w14:paraId="5221EC22" w14:textId="07B6A52F" w:rsidR="004E7A63" w:rsidRPr="004E7A63" w:rsidRDefault="004E7A63" w:rsidP="004E7A63">
      <w:pPr>
        <w:ind w:left="90" w:hanging="90"/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>•Scant to no growth on Sheep Blood agar after 48h</w:t>
      </w:r>
    </w:p>
    <w:p w14:paraId="7A6CA2A6" w14:textId="29F41D15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>•No growth on MacConkey or EMB agar</w:t>
      </w:r>
    </w:p>
    <w:p w14:paraId="34A8B364" w14:textId="6D55BD37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 xml:space="preserve">•Slow growth in broth </w:t>
      </w:r>
      <w:r w:rsidRPr="004E7A63">
        <w:rPr>
          <w:rFonts w:ascii="Arial" w:hAnsi="Arial" w:cs="Arial"/>
          <w:b/>
          <w:bCs/>
          <w:sz w:val="32"/>
          <w:szCs w:val="32"/>
          <w:u w:val="single"/>
        </w:rPr>
        <w:t>Biochemicals:</w:t>
      </w:r>
    </w:p>
    <w:p w14:paraId="46F6CB2F" w14:textId="705FB75F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>•Oxidase and satellite (or XV) negative</w:t>
      </w:r>
    </w:p>
    <w:p w14:paraId="04DDAB56" w14:textId="7E0E5A99" w:rsidR="004E7A63" w:rsidRP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eastAsia="Arial" w:hAnsi="Arial" w:cs="Arial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1" locked="0" layoutInCell="1" allowOverlap="1" wp14:anchorId="39C62F5C" wp14:editId="5A4DFA17">
            <wp:simplePos x="0" y="0"/>
            <wp:positionH relativeFrom="column">
              <wp:posOffset>3857625</wp:posOffset>
            </wp:positionH>
            <wp:positionV relativeFrom="paragraph">
              <wp:posOffset>191135</wp:posOffset>
            </wp:positionV>
            <wp:extent cx="2787822" cy="2433320"/>
            <wp:effectExtent l="0" t="0" r="0" b="508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16" cy="2435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A63">
        <w:rPr>
          <w:rFonts w:ascii="Arial" w:hAnsi="Arial" w:cs="Arial"/>
          <w:sz w:val="32"/>
          <w:szCs w:val="32"/>
        </w:rPr>
        <w:t>•Catalase negative or weakly positive</w:t>
      </w:r>
    </w:p>
    <w:p w14:paraId="4C8A6593" w14:textId="19638180" w:rsid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hAnsi="Arial" w:cs="Arial"/>
          <w:sz w:val="32"/>
          <w:szCs w:val="32"/>
        </w:rPr>
        <w:t>•Beta-lactamase positive</w:t>
      </w:r>
    </w:p>
    <w:p w14:paraId="196BC413" w14:textId="3B1B35CC" w:rsidR="004E7A63" w:rsidRDefault="004E7A63" w:rsidP="004E7A63">
      <w:pPr>
        <w:rPr>
          <w:rFonts w:ascii="Arial" w:hAnsi="Arial" w:cs="Arial"/>
          <w:sz w:val="32"/>
          <w:szCs w:val="32"/>
        </w:rPr>
      </w:pPr>
      <w:r w:rsidRPr="004E7A63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7C298B" wp14:editId="1566DB4F">
                <wp:simplePos x="0" y="0"/>
                <wp:positionH relativeFrom="column">
                  <wp:posOffset>1619250</wp:posOffset>
                </wp:positionH>
                <wp:positionV relativeFrom="paragraph">
                  <wp:posOffset>314960</wp:posOffset>
                </wp:positionV>
                <wp:extent cx="190500" cy="381635"/>
                <wp:effectExtent l="0" t="0" r="0" b="0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81635"/>
                          <a:chOff x="0" y="0"/>
                          <a:chExt cx="190500" cy="381986"/>
                        </a:xfrm>
                      </wpg:grpSpPr>
                      <wps:wsp>
                        <wps:cNvPr id="2" name="Lin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97588" y="0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Freeform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67051"/>
                            <a:ext cx="190500" cy="114935"/>
                          </a:xfrm>
                          <a:custGeom>
                            <a:avLst/>
                            <a:gdLst>
                              <a:gd name="T0" fmla="+- 0 2730 2730"/>
                              <a:gd name="T1" fmla="*/ T0 w 300"/>
                              <a:gd name="T2" fmla="+- 0 10020 10020"/>
                              <a:gd name="T3" fmla="*/ 10020 h 181"/>
                              <a:gd name="T4" fmla="+- 0 2880 2730"/>
                              <a:gd name="T5" fmla="*/ T4 w 300"/>
                              <a:gd name="T6" fmla="+- 0 10200 10020"/>
                              <a:gd name="T7" fmla="*/ 10200 h 181"/>
                              <a:gd name="T8" fmla="+- 0 3030 2730"/>
                              <a:gd name="T9" fmla="*/ T8 w 300"/>
                              <a:gd name="T10" fmla="+- 0 10020 10020"/>
                              <a:gd name="T11" fmla="*/ 10020 h 181"/>
                              <a:gd name="T12" fmla="+- 0 2730 2730"/>
                              <a:gd name="T13" fmla="*/ T12 w 300"/>
                              <a:gd name="T14" fmla="+- 0 10020 10020"/>
                              <a:gd name="T15" fmla="*/ 10020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0" h="181">
                                <a:moveTo>
                                  <a:pt x="0" y="0"/>
                                </a:moveTo>
                                <a:lnTo>
                                  <a:pt x="150" y="18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6DD0F" id="Group 7" o:spid="_x0000_s1026" alt="&quot;&quot;" style="position:absolute;margin-left:127.5pt;margin-top:24.8pt;width:15pt;height:30.05pt;z-index:-251653120" coordsize="190500,38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">
                <v:line id="Line 6" o:spid="_x0000_s1027" alt="&quot;&quot;" style="position:absolute;visibility:visible;mso-wrap-style:square" from="97588,0" to="97588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" strokecolor="red" strokeweight="3pt"/>
                <v:shape id="Freeform 5" o:spid="_x0000_s1028" alt="&quot;&quot;" style="position:absolute;top:267051;width:190500;height:114935;visibility:visible;mso-wrap-style:square;v-text-anchor:top" coordsize="30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" path="m,l150,180,300,,,xe" fillcolor="red" stroked="f">
                  <v:path arrowok="t" o:connecttype="custom" o:connectlocs="0,6362700;95250,6477000;190500,6362700;0,6362700" o:connectangles="0,0,0,0"/>
                </v:shape>
              </v:group>
            </w:pict>
          </mc:Fallback>
        </mc:AlternateContent>
      </w:r>
    </w:p>
    <w:p w14:paraId="00A631BB" w14:textId="13A4FA18" w:rsidR="004E7A63" w:rsidRDefault="004E7A63" w:rsidP="004E7A63">
      <w:pPr>
        <w:rPr>
          <w:sz w:val="40"/>
          <w:szCs w:val="40"/>
        </w:rPr>
      </w:pPr>
    </w:p>
    <w:p w14:paraId="4F920F0F" w14:textId="77777777" w:rsidR="004E7A63" w:rsidRPr="00015FC7" w:rsidRDefault="004E7A63" w:rsidP="004E7A63">
      <w:pPr>
        <w:pStyle w:val="BodyText"/>
        <w:spacing w:before="242" w:line="249" w:lineRule="auto"/>
        <w:ind w:left="360" w:right="4399" w:firstLine="22"/>
        <w:jc w:val="center"/>
        <w:rPr>
          <w:color w:val="FF0000"/>
        </w:rPr>
      </w:pPr>
      <w:r>
        <w:rPr>
          <w:color w:val="FF0000"/>
        </w:rPr>
        <w:t xml:space="preserve">Refer Cultures to your </w:t>
      </w:r>
      <w:r>
        <w:rPr>
          <w:color w:val="FF0000"/>
        </w:rPr>
        <w:br/>
        <w:t>LRN Reference Lab</w:t>
      </w:r>
    </w:p>
    <w:p w14:paraId="78236BAA" w14:textId="77777777" w:rsidR="004E7A63" w:rsidRDefault="004E7A63" w:rsidP="004E7A63">
      <w:pPr>
        <w:rPr>
          <w:sz w:val="20"/>
        </w:rPr>
      </w:pPr>
    </w:p>
    <w:p w14:paraId="0E9F933D" w14:textId="25F821DE" w:rsidR="004E7A63" w:rsidRPr="00317C48" w:rsidRDefault="004E7A63" w:rsidP="004E7A63">
      <w:pPr>
        <w:rPr>
          <w:sz w:val="20"/>
        </w:rPr>
      </w:pPr>
      <w:r>
        <w:rPr>
          <w:sz w:val="20"/>
        </w:rPr>
        <w:t>Rev. 12/09/2013</w:t>
      </w:r>
    </w:p>
    <w:sectPr w:rsidR="004E7A63" w:rsidRPr="00317C48" w:rsidSect="004E7A63">
      <w:headerReference w:type="default" r:id="rId8"/>
      <w:footerReference w:type="default" r:id="rId9"/>
      <w:pgSz w:w="12240" w:h="15840"/>
      <w:pgMar w:top="1440" w:right="144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DF5A5" w14:textId="77777777" w:rsidR="00E14B55" w:rsidRDefault="00E14B55" w:rsidP="004E7A63">
      <w:pPr>
        <w:spacing w:after="0" w:line="240" w:lineRule="auto"/>
      </w:pPr>
      <w:r>
        <w:separator/>
      </w:r>
    </w:p>
  </w:endnote>
  <w:endnote w:type="continuationSeparator" w:id="0">
    <w:p w14:paraId="7BF3FA18" w14:textId="77777777" w:rsidR="00E14B55" w:rsidRDefault="00E14B55" w:rsidP="004E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52B1" w14:textId="6A7B44D1" w:rsidR="004E7A63" w:rsidRPr="004E7A63" w:rsidRDefault="004E7A63" w:rsidP="004E7A63">
    <w:pPr>
      <w:pStyle w:val="BodyText"/>
      <w:tabs>
        <w:tab w:val="left" w:pos="13230"/>
      </w:tabs>
      <w:spacing w:before="56"/>
      <w:ind w:right="20"/>
      <w:rPr>
        <w:b w:val="0"/>
        <w:bCs w:val="0"/>
        <w:sz w:val="20"/>
        <w:szCs w:val="20"/>
      </w:rPr>
    </w:pPr>
    <w:r w:rsidRPr="004E7A63">
      <w:rPr>
        <w:b w:val="0"/>
        <w:bCs w:val="0"/>
        <w:sz w:val="20"/>
        <w:szCs w:val="20"/>
      </w:rPr>
      <w:t>This job aid is a component of the free, on-demand CDC training course “</w:t>
    </w:r>
    <w:proofErr w:type="spellStart"/>
    <w:r w:rsidRPr="004E7A63">
      <w:rPr>
        <w:b w:val="0"/>
        <w:bCs w:val="0"/>
        <w:i/>
        <w:iCs/>
        <w:sz w:val="20"/>
        <w:szCs w:val="20"/>
      </w:rPr>
      <w:t>Francisella</w:t>
    </w:r>
    <w:proofErr w:type="spellEnd"/>
    <w:r w:rsidRPr="004E7A63">
      <w:rPr>
        <w:b w:val="0"/>
        <w:bCs w:val="0"/>
        <w:i/>
        <w:iCs/>
        <w:sz w:val="20"/>
        <w:szCs w:val="20"/>
      </w:rPr>
      <w:t xml:space="preserve"> tularemia</w:t>
    </w:r>
    <w:r w:rsidRPr="004E7A63">
      <w:rPr>
        <w:b w:val="0"/>
        <w:bCs w:val="0"/>
        <w:sz w:val="20"/>
        <w:szCs w:val="20"/>
      </w:rPr>
      <w:t xml:space="preserve">.” Find the course at </w:t>
    </w:r>
    <w:hyperlink r:id="rId1" w:history="1">
      <w:r w:rsidRPr="004E7A63">
        <w:rPr>
          <w:rStyle w:val="Hyperlink"/>
          <w:b w:val="0"/>
          <w:bCs w:val="0"/>
          <w:sz w:val="20"/>
          <w:szCs w:val="20"/>
        </w:rPr>
        <w:t>https://www.cdc.gov/labtraining.</w:t>
      </w:r>
    </w:hyperlink>
  </w:p>
  <w:p w14:paraId="1239A9C1" w14:textId="77777777" w:rsidR="004E7A63" w:rsidRDefault="004E7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1223A" w14:textId="77777777" w:rsidR="00E14B55" w:rsidRDefault="00E14B55" w:rsidP="004E7A63">
      <w:pPr>
        <w:spacing w:after="0" w:line="240" w:lineRule="auto"/>
      </w:pPr>
      <w:r>
        <w:separator/>
      </w:r>
    </w:p>
  </w:footnote>
  <w:footnote w:type="continuationSeparator" w:id="0">
    <w:p w14:paraId="171D7EAD" w14:textId="77777777" w:rsidR="00E14B55" w:rsidRDefault="00E14B55" w:rsidP="004E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E81E" w14:textId="77777777" w:rsidR="00E65B30" w:rsidRPr="00CB2364" w:rsidRDefault="00E65B30" w:rsidP="00E65B30">
    <w:pPr>
      <w:pStyle w:val="Header"/>
    </w:pPr>
    <w:r w:rsidRPr="00CB2364">
      <w:rPr>
        <w:noProof/>
      </w:rPr>
      <w:t>[Insert your agency information here.]</w:t>
    </w:r>
  </w:p>
  <w:p w14:paraId="688CE202" w14:textId="59EE8DB3" w:rsidR="004E7A63" w:rsidRDefault="004E7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63"/>
    <w:rsid w:val="00245584"/>
    <w:rsid w:val="00317C48"/>
    <w:rsid w:val="004E7A63"/>
    <w:rsid w:val="005326CA"/>
    <w:rsid w:val="00E14B55"/>
    <w:rsid w:val="00E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EAEFD"/>
  <w15:chartTrackingRefBased/>
  <w15:docId w15:val="{6FBE6597-BE41-4BC4-95F0-40EBA392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7A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E7A63"/>
    <w:rPr>
      <w:rFonts w:ascii="Arial" w:eastAsia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63"/>
  </w:style>
  <w:style w:type="paragraph" w:styleId="Footer">
    <w:name w:val="footer"/>
    <w:basedOn w:val="Normal"/>
    <w:link w:val="FooterChar"/>
    <w:uiPriority w:val="99"/>
    <w:unhideWhenUsed/>
    <w:rsid w:val="004E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63"/>
  </w:style>
  <w:style w:type="character" w:styleId="Hyperlink">
    <w:name w:val="Hyperlink"/>
    <w:basedOn w:val="DefaultParagraphFont"/>
    <w:uiPriority w:val="99"/>
    <w:unhideWhenUsed/>
    <w:rsid w:val="004E7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CSELS-1165620290-2314</_dlc_DocId>
    <_dlc_DocIdUrl xmlns="0724e717-bbe7-4e48-ae6a-faff532bb476">
      <Url>https://cdc.sharepoint.com/sites/CSELS/DLS/Comms/_layouts/15/DocIdRedir.aspx?ID=CSELS-1165620290-2314</Url>
      <Description>CSELS-1165620290-2314</Description>
    </_dlc_DocIdUrl>
  </documentManagement>
</p:properties>
</file>

<file path=customXml/itemProps1.xml><?xml version="1.0" encoding="utf-8"?>
<ds:datastoreItem xmlns:ds="http://schemas.openxmlformats.org/officeDocument/2006/customXml" ds:itemID="{415F7CFC-DE10-489E-8C7A-137A68A57A86}"/>
</file>

<file path=customXml/itemProps2.xml><?xml version="1.0" encoding="utf-8"?>
<ds:datastoreItem xmlns:ds="http://schemas.openxmlformats.org/officeDocument/2006/customXml" ds:itemID="{A6A769F5-3578-4D8D-8F35-F2B38024790A}"/>
</file>

<file path=customXml/itemProps3.xml><?xml version="1.0" encoding="utf-8"?>
<ds:datastoreItem xmlns:ds="http://schemas.openxmlformats.org/officeDocument/2006/customXml" ds:itemID="{A01FFE95-6ED3-4071-96A3-61D996308229}"/>
</file>

<file path=customXml/itemProps4.xml><?xml version="1.0" encoding="utf-8"?>
<ds:datastoreItem xmlns:ds="http://schemas.openxmlformats.org/officeDocument/2006/customXml" ds:itemID="{C1C711A7-42ED-4510-9AC2-8E3D910A7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3</cp:revision>
  <dcterms:created xsi:type="dcterms:W3CDTF">2021-01-23T04:21:00Z</dcterms:created>
  <dcterms:modified xsi:type="dcterms:W3CDTF">2021-02-11T22:52:00Z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2021-01-23T02:22:24Z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06b9e671-192f-4fc7-9fa1-9f69b6afa194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42a70f2b-fe56-4123-9649-355549516701</vt:lpwstr>
  </property>
</Properties>
</file>