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527DE" w14:textId="749394B9" w:rsidR="008E61D3" w:rsidRDefault="005B54B4" w:rsidP="008E61D3">
      <w:pPr>
        <w:spacing w:after="0" w:line="240" w:lineRule="auto"/>
      </w:pPr>
      <w:r>
        <w:rPr>
          <w:noProof/>
        </w:rPr>
        <mc:AlternateContent>
          <mc:Choice Requires="wpg">
            <w:drawing>
              <wp:anchor distT="0" distB="0" distL="114300" distR="114300" simplePos="0" relativeHeight="251658240" behindDoc="0" locked="0" layoutInCell="1" allowOverlap="1" wp14:anchorId="1BD5ADEE" wp14:editId="7E4855AB">
                <wp:simplePos x="0" y="0"/>
                <wp:positionH relativeFrom="margin">
                  <wp:posOffset>-425450</wp:posOffset>
                </wp:positionH>
                <wp:positionV relativeFrom="page">
                  <wp:posOffset>254000</wp:posOffset>
                </wp:positionV>
                <wp:extent cx="7264400" cy="1215390"/>
                <wp:effectExtent l="0" t="0" r="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4400" cy="12153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08D36B80" id="Group 149" o:spid="_x0000_s1026" alt="&quot;&quot;" style="position:absolute;margin-left:-33.5pt;margin-top:20pt;width:572pt;height:95.7pt;z-index:251658240;mso-height-percent:121;mso-position-horizontal-relative:margin;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margin" anchory="page"/>
              </v:group>
            </w:pict>
          </mc:Fallback>
        </mc:AlternateContent>
      </w:r>
    </w:p>
    <w:p w14:paraId="71F3C7C2" w14:textId="418DB633" w:rsidR="005B54B4" w:rsidRDefault="005B54B4" w:rsidP="005B54B4">
      <w:pPr>
        <w:spacing w:after="0"/>
        <w:ind w:left="432" w:hanging="144"/>
      </w:pPr>
    </w:p>
    <w:p w14:paraId="30434C99" w14:textId="77777777" w:rsidR="005B54B4" w:rsidRPr="005F3D5A" w:rsidRDefault="005B54B4" w:rsidP="005B54B4">
      <w:pPr>
        <w:spacing w:after="160" w:line="259" w:lineRule="auto"/>
        <w:jc w:val="center"/>
        <w:rPr>
          <w:rFonts w:cstheme="minorHAnsi"/>
          <w:bCs/>
          <w:sz w:val="36"/>
          <w:szCs w:val="36"/>
        </w:rPr>
      </w:pPr>
      <w:r w:rsidRPr="005F3D5A">
        <w:rPr>
          <w:rFonts w:cstheme="minorHAnsi"/>
          <w:bCs/>
          <w:sz w:val="36"/>
          <w:szCs w:val="36"/>
        </w:rPr>
        <w:t>The Next Generation Sequencing Quality Initiative</w:t>
      </w:r>
    </w:p>
    <w:p w14:paraId="20DE4B72" w14:textId="77777777" w:rsidR="005B54B4" w:rsidRPr="00936D1E" w:rsidRDefault="005B54B4" w:rsidP="005B54B4">
      <w:pPr>
        <w:spacing w:after="160" w:line="259" w:lineRule="auto"/>
        <w:rPr>
          <w:rFonts w:cstheme="minorHAnsi"/>
          <w:bCs/>
          <w:sz w:val="24"/>
          <w:szCs w:val="24"/>
        </w:rPr>
      </w:pPr>
      <w:r w:rsidRPr="00936D1E">
        <w:rPr>
          <w:sz w:val="24"/>
          <w:szCs w:val="24"/>
        </w:rPr>
        <w:t xml:space="preserve">The Next Generation Sequencing (NGS) Quality Initiative is a collaboration between the Centers for Disease Control and Prevention (CDC), the Association of Public Health Laboratories (APHL), and state and local public health laboratories (PHLs) to address the many challenges laboratories encounter when implementing NGS-based assays. The Initiative is developing an NGS-focused quality management system (QMS) to assure foundational quality during the development and implementation of sequencing-based tests by providing customizable, ready-to-implement tools and resources that laboratories can use to standardize and institute quality management practices and procedures. </w:t>
      </w:r>
      <w:r w:rsidRPr="00936D1E">
        <w:rPr>
          <w:sz w:val="24"/>
          <w:szCs w:val="24"/>
          <w:shd w:val="clear" w:color="auto" w:fill="FFFFFF"/>
        </w:rPr>
        <w:t>The NGS Quality Initiative has published additional tools and resources, including templates and procedures, that may be of assistance to laboratories throughout their NGS workflow. Please visit the following website to access these resources:</w:t>
      </w:r>
      <w:r w:rsidRPr="00936D1E">
        <w:rPr>
          <w:color w:val="0070C0"/>
          <w:sz w:val="24"/>
          <w:szCs w:val="24"/>
          <w:shd w:val="clear" w:color="auto" w:fill="FFFFFF"/>
        </w:rPr>
        <w:t xml:space="preserve"> </w:t>
      </w:r>
      <w:hyperlink r:id="rId14" w:history="1">
        <w:r w:rsidRPr="00936D1E">
          <w:rPr>
            <w:rStyle w:val="Hyperlink"/>
            <w:color w:val="0070C0"/>
            <w:sz w:val="24"/>
            <w:szCs w:val="24"/>
            <w:shd w:val="clear" w:color="auto" w:fill="FFFFFF"/>
          </w:rPr>
          <w:t>https://www.cdc.gov/labquality/qms-tools-and-resources.html</w:t>
        </w:r>
      </w:hyperlink>
      <w:r w:rsidRPr="00936D1E">
        <w:rPr>
          <w:rStyle w:val="Hyperlink"/>
          <w:sz w:val="24"/>
          <w:szCs w:val="24"/>
          <w:shd w:val="clear" w:color="auto" w:fill="FFFFFF"/>
        </w:rPr>
        <w:t>.</w:t>
      </w:r>
    </w:p>
    <w:p w14:paraId="0B01214B" w14:textId="37966CD9" w:rsidR="005B54B4" w:rsidRPr="00936D1E" w:rsidRDefault="005B54B4" w:rsidP="005B54B4">
      <w:pPr>
        <w:rPr>
          <w:sz w:val="24"/>
          <w:szCs w:val="24"/>
        </w:rPr>
      </w:pPr>
      <w:r w:rsidRPr="00936D1E">
        <w:rPr>
          <w:sz w:val="24"/>
          <w:szCs w:val="24"/>
        </w:rPr>
        <w:t xml:space="preserve">This document is intended to be used as a tool for implementing, improving, or maintaining an NGS QMS. Blue text provides examples for appropriate input and can be changed, deleted, or augmented as needed for the laboratory’s specific requirements. </w:t>
      </w:r>
    </w:p>
    <w:p w14:paraId="4566FBA9" w14:textId="77777777" w:rsidR="005B54B4" w:rsidRPr="00936D1E" w:rsidRDefault="005B54B4" w:rsidP="005B54B4">
      <w:pPr>
        <w:rPr>
          <w:sz w:val="24"/>
          <w:szCs w:val="24"/>
        </w:rPr>
      </w:pPr>
      <w:r w:rsidRPr="00936D1E">
        <w:rPr>
          <w:sz w:val="24"/>
          <w:szCs w:val="24"/>
        </w:rPr>
        <w:t xml:space="preserve">These documents and tools are not controlled files; format and content </w:t>
      </w:r>
      <w:r w:rsidRPr="00936D1E">
        <w:rPr>
          <w:b/>
          <w:bCs/>
          <w:sz w:val="24"/>
          <w:szCs w:val="24"/>
        </w:rPr>
        <w:t>must</w:t>
      </w:r>
      <w:r w:rsidRPr="00936D1E">
        <w:rPr>
          <w:sz w:val="24"/>
          <w:szCs w:val="24"/>
        </w:rPr>
        <w:t xml:space="preserve"> be modified as needed to meet the document control, QMS, or regulatory requirements within your laboratory. It is the responsibility of your laboratory to take any necessary actions to ensure the information within these documents remains applicable.</w:t>
      </w:r>
    </w:p>
    <w:p w14:paraId="1AD14BD4" w14:textId="77777777" w:rsidR="005B54B4" w:rsidRPr="00936D1E" w:rsidRDefault="005B54B4" w:rsidP="005B54B4">
      <w:pPr>
        <w:spacing w:after="0" w:line="240" w:lineRule="auto"/>
        <w:rPr>
          <w:b/>
          <w:bCs/>
          <w:color w:val="C40000"/>
          <w:sz w:val="24"/>
          <w:szCs w:val="24"/>
        </w:rPr>
      </w:pPr>
      <w:r w:rsidRPr="00936D1E">
        <w:rPr>
          <w:b/>
          <w:bCs/>
          <w:color w:val="C40000"/>
          <w:sz w:val="24"/>
          <w:szCs w:val="24"/>
        </w:rPr>
        <w:t>Disclaimer:</w:t>
      </w:r>
    </w:p>
    <w:p w14:paraId="26688711" w14:textId="0CB9B7FF" w:rsidR="005B54B4" w:rsidRPr="00936D1E" w:rsidRDefault="005B54B4" w:rsidP="005B54B4">
      <w:pPr>
        <w:spacing w:after="0" w:line="240" w:lineRule="auto"/>
        <w:rPr>
          <w:color w:val="C40000"/>
          <w:sz w:val="24"/>
          <w:szCs w:val="24"/>
        </w:rPr>
      </w:pPr>
      <w:bookmarkStart w:id="0" w:name="_Hlk83494123"/>
      <w:r w:rsidRPr="00936D1E">
        <w:rPr>
          <w:b/>
          <w:bCs/>
          <w:color w:val="C40000"/>
          <w:sz w:val="24"/>
          <w:szCs w:val="24"/>
        </w:rPr>
        <w:t>Use of trade names and commercial sources is for identification only and does not imply endorsement by the U.S. Centers for Disease Control and Prevention or by the U.S. Department of Health and Human Services.</w:t>
      </w:r>
      <w:bookmarkEnd w:id="0"/>
    </w:p>
    <w:p w14:paraId="4061F35B" w14:textId="08C1CB18" w:rsidR="005B54B4" w:rsidRPr="00694EF1" w:rsidRDefault="005B54B4" w:rsidP="008E61D3">
      <w:pPr>
        <w:spacing w:after="0" w:line="240" w:lineRule="auto"/>
        <w:rPr>
          <w:color w:val="C40000"/>
        </w:rPr>
      </w:pPr>
    </w:p>
    <w:p w14:paraId="0D9913D1" w14:textId="4499DFF7" w:rsidR="005B54B4" w:rsidRPr="00694EF1" w:rsidRDefault="005B54B4" w:rsidP="008E61D3">
      <w:pPr>
        <w:spacing w:after="0" w:line="240" w:lineRule="auto"/>
        <w:rPr>
          <w:color w:val="C40000"/>
        </w:rPr>
      </w:pPr>
    </w:p>
    <w:p w14:paraId="5E31D28E" w14:textId="38678AE5" w:rsidR="005B54B4" w:rsidRDefault="005B54B4" w:rsidP="008E61D3">
      <w:pPr>
        <w:spacing w:after="0" w:line="240" w:lineRule="auto"/>
      </w:pPr>
    </w:p>
    <w:p w14:paraId="77484FF3" w14:textId="2C301889" w:rsidR="005B54B4" w:rsidRDefault="005B54B4" w:rsidP="008E61D3">
      <w:pPr>
        <w:spacing w:after="0" w:line="240" w:lineRule="auto"/>
      </w:pPr>
    </w:p>
    <w:p w14:paraId="4C2A11F7" w14:textId="0500148A" w:rsidR="005B54B4" w:rsidRDefault="005B54B4" w:rsidP="008E61D3">
      <w:pPr>
        <w:spacing w:after="0" w:line="240" w:lineRule="auto"/>
      </w:pPr>
    </w:p>
    <w:p w14:paraId="6F20A382" w14:textId="522DA6F7" w:rsidR="005B54B4" w:rsidRDefault="005B54B4" w:rsidP="008E61D3">
      <w:pPr>
        <w:spacing w:after="0" w:line="240" w:lineRule="auto"/>
      </w:pPr>
    </w:p>
    <w:p w14:paraId="3C6B2B92" w14:textId="767351B5" w:rsidR="005B54B4" w:rsidRDefault="005B54B4" w:rsidP="008E61D3">
      <w:pPr>
        <w:spacing w:after="0" w:line="240" w:lineRule="auto"/>
      </w:pPr>
    </w:p>
    <w:p w14:paraId="41128C82" w14:textId="7FA52586" w:rsidR="005B54B4" w:rsidRDefault="005B54B4" w:rsidP="008E61D3">
      <w:pPr>
        <w:spacing w:after="0" w:line="240" w:lineRule="auto"/>
      </w:pPr>
    </w:p>
    <w:p w14:paraId="7D9D7EC3" w14:textId="1E14ED10" w:rsidR="005B54B4" w:rsidRDefault="005B54B4" w:rsidP="008E61D3">
      <w:pPr>
        <w:spacing w:after="0" w:line="240" w:lineRule="auto"/>
      </w:pPr>
    </w:p>
    <w:p w14:paraId="23D739C8" w14:textId="12D085A0" w:rsidR="005B54B4" w:rsidRDefault="005B54B4" w:rsidP="008E61D3">
      <w:pPr>
        <w:spacing w:after="0" w:line="240" w:lineRule="auto"/>
      </w:pPr>
    </w:p>
    <w:p w14:paraId="64A3080A" w14:textId="5D785B52" w:rsidR="005B54B4" w:rsidRDefault="005B54B4" w:rsidP="008E61D3">
      <w:pPr>
        <w:spacing w:after="0" w:line="240" w:lineRule="auto"/>
      </w:pPr>
    </w:p>
    <w:p w14:paraId="6D544402" w14:textId="54C1FE28" w:rsidR="005B54B4" w:rsidRDefault="005B54B4" w:rsidP="008E61D3">
      <w:pPr>
        <w:spacing w:after="0" w:line="240" w:lineRule="auto"/>
      </w:pPr>
    </w:p>
    <w:p w14:paraId="31402112" w14:textId="04416F88" w:rsidR="005B54B4" w:rsidRDefault="005B54B4" w:rsidP="008E61D3">
      <w:pPr>
        <w:spacing w:after="0" w:line="240" w:lineRule="auto"/>
      </w:pPr>
    </w:p>
    <w:p w14:paraId="0F46EA02" w14:textId="7F3F96AE" w:rsidR="00155FC8" w:rsidRDefault="00155FC8" w:rsidP="008E61D3">
      <w:pPr>
        <w:spacing w:after="0" w:line="240" w:lineRule="auto"/>
      </w:pPr>
    </w:p>
    <w:tbl>
      <w:tblPr>
        <w:tblpPr w:leftFromText="180" w:rightFromText="180" w:vertAnchor="page" w:horzAnchor="margin" w:tblpXSpec="center" w:tblpY="1291"/>
        <w:tblW w:w="10800" w:type="dxa"/>
        <w:tblLayout w:type="fixed"/>
        <w:tblCellMar>
          <w:left w:w="0" w:type="dxa"/>
          <w:right w:w="0" w:type="dxa"/>
        </w:tblCellMar>
        <w:tblLook w:val="0000" w:firstRow="0" w:lastRow="0" w:firstColumn="0" w:lastColumn="0" w:noHBand="0" w:noVBand="0"/>
      </w:tblPr>
      <w:tblGrid>
        <w:gridCol w:w="270"/>
        <w:gridCol w:w="10530"/>
      </w:tblGrid>
      <w:tr w:rsidR="00796C2D" w:rsidRPr="00361031" w14:paraId="706D7D83" w14:textId="77777777" w:rsidTr="00796C2D">
        <w:trPr>
          <w:cantSplit/>
          <w:trHeight w:val="260"/>
        </w:trPr>
        <w:tc>
          <w:tcPr>
            <w:tcW w:w="270" w:type="dxa"/>
            <w:vMerge w:val="restart"/>
            <w:tcBorders>
              <w:right w:val="single" w:sz="4" w:space="0" w:color="auto"/>
            </w:tcBorders>
          </w:tcPr>
          <w:p w14:paraId="5D57832B" w14:textId="77777777" w:rsidR="00796C2D" w:rsidRPr="00D46612" w:rsidRDefault="00796C2D" w:rsidP="00796C2D">
            <w:pPr>
              <w:tabs>
                <w:tab w:val="center" w:pos="4680"/>
                <w:tab w:val="right" w:pos="9360"/>
              </w:tabs>
              <w:spacing w:after="0" w:line="240" w:lineRule="auto"/>
              <w:rPr>
                <w:rFonts w:ascii="Verdana" w:eastAsia="Times New Roman" w:hAnsi="Verdana" w:cs="Times New Roman"/>
                <w:i/>
                <w:noProof/>
              </w:rPr>
            </w:pPr>
          </w:p>
        </w:tc>
        <w:tc>
          <w:tcPr>
            <w:tcW w:w="10530" w:type="dxa"/>
            <w:tcBorders>
              <w:top w:val="single" w:sz="4" w:space="0" w:color="auto"/>
              <w:left w:val="single" w:sz="4" w:space="0" w:color="auto"/>
              <w:bottom w:val="single" w:sz="4" w:space="0" w:color="auto"/>
              <w:right w:val="single" w:sz="4" w:space="0" w:color="auto"/>
            </w:tcBorders>
            <w:vAlign w:val="center"/>
          </w:tcPr>
          <w:p w14:paraId="014FE0BE" w14:textId="77777777" w:rsidR="00796C2D" w:rsidRPr="008B5014" w:rsidRDefault="00796C2D" w:rsidP="00796C2D">
            <w:pPr>
              <w:tabs>
                <w:tab w:val="center" w:pos="4680"/>
                <w:tab w:val="right" w:pos="9360"/>
              </w:tabs>
              <w:spacing w:after="0" w:line="240" w:lineRule="auto"/>
              <w:rPr>
                <w:rFonts w:eastAsia="Times New Roman" w:cstheme="minorHAnsi"/>
                <w:b/>
                <w:i/>
                <w:noProof/>
                <w:color w:val="205493"/>
                <w:sz w:val="24"/>
                <w:szCs w:val="24"/>
              </w:rPr>
            </w:pPr>
            <w:r w:rsidRPr="00D46612">
              <w:rPr>
                <w:rFonts w:eastAsia="Times New Roman" w:cstheme="minorHAnsi"/>
                <w:b/>
                <w:i/>
                <w:noProof/>
              </w:rPr>
              <w:t xml:space="preserve"> </w:t>
            </w:r>
            <w:r w:rsidRPr="008B5014">
              <w:rPr>
                <w:rFonts w:eastAsia="Times New Roman" w:cstheme="minorHAnsi"/>
                <w:b/>
                <w:i/>
                <w:noProof/>
                <w:color w:val="205493"/>
                <w:sz w:val="24"/>
                <w:szCs w:val="24"/>
              </w:rPr>
              <w:t>Insert Laboratory Specific Name Here</w:t>
            </w:r>
          </w:p>
        </w:tc>
      </w:tr>
      <w:tr w:rsidR="00796C2D" w:rsidRPr="00361031" w14:paraId="75FEF48F" w14:textId="77777777" w:rsidTr="00796C2D">
        <w:trPr>
          <w:cantSplit/>
          <w:trHeight w:val="440"/>
        </w:trPr>
        <w:tc>
          <w:tcPr>
            <w:tcW w:w="270" w:type="dxa"/>
            <w:vMerge/>
            <w:tcBorders>
              <w:right w:val="single" w:sz="4" w:space="0" w:color="auto"/>
            </w:tcBorders>
          </w:tcPr>
          <w:p w14:paraId="3374F60A" w14:textId="77777777" w:rsidR="00796C2D" w:rsidRPr="00D46612" w:rsidRDefault="00796C2D" w:rsidP="00796C2D">
            <w:pPr>
              <w:tabs>
                <w:tab w:val="center" w:pos="0"/>
                <w:tab w:val="right" w:pos="9792"/>
              </w:tabs>
              <w:spacing w:after="0" w:line="240" w:lineRule="auto"/>
              <w:rPr>
                <w:rFonts w:ascii="Verdana" w:eastAsia="Times New Roman" w:hAnsi="Verdana" w:cs="Times New Roman"/>
                <w:b/>
                <w:noProof/>
              </w:rPr>
            </w:pPr>
          </w:p>
        </w:tc>
        <w:tc>
          <w:tcPr>
            <w:tcW w:w="10530" w:type="dxa"/>
            <w:tcBorders>
              <w:top w:val="single" w:sz="4" w:space="0" w:color="auto"/>
              <w:left w:val="single" w:sz="4" w:space="0" w:color="auto"/>
              <w:bottom w:val="single" w:sz="4" w:space="0" w:color="auto"/>
              <w:right w:val="single" w:sz="4" w:space="0" w:color="auto"/>
            </w:tcBorders>
            <w:vAlign w:val="center"/>
          </w:tcPr>
          <w:p w14:paraId="1A87B5B5" w14:textId="77777777" w:rsidR="00796C2D" w:rsidRDefault="006F056D" w:rsidP="00796C2D">
            <w:pPr>
              <w:spacing w:after="0" w:line="240" w:lineRule="auto"/>
              <w:rPr>
                <w:rFonts w:ascii="Calibri" w:eastAsia="Times New Roman" w:hAnsi="Calibri" w:cs="Calibri"/>
                <w:b/>
                <w:noProof/>
                <w:sz w:val="28"/>
                <w:szCs w:val="16"/>
              </w:rPr>
            </w:pPr>
            <w:r w:rsidRPr="006F056D">
              <w:rPr>
                <w:rFonts w:ascii="Calibri" w:eastAsia="Times New Roman" w:hAnsi="Calibri" w:cs="Calibri"/>
                <w:b/>
                <w:noProof/>
                <w:sz w:val="28"/>
                <w:szCs w:val="16"/>
              </w:rPr>
              <w:t>NGS QC Guidance for Illumina Workflows</w:t>
            </w:r>
          </w:p>
          <w:p w14:paraId="59B0FDA1" w14:textId="54E7ADFA" w:rsidR="006F056D" w:rsidRPr="00B8148B" w:rsidRDefault="006F056D" w:rsidP="00796C2D">
            <w:pPr>
              <w:spacing w:after="0" w:line="240" w:lineRule="auto"/>
              <w:rPr>
                <w:rFonts w:eastAsia="Times New Roman" w:cstheme="minorHAnsi"/>
                <w:bCs/>
                <w:i/>
                <w:iCs/>
                <w:sz w:val="24"/>
                <w:szCs w:val="24"/>
              </w:rPr>
            </w:pPr>
            <w:r w:rsidRPr="00B8148B">
              <w:rPr>
                <w:rFonts w:eastAsia="Times New Roman" w:cstheme="minorHAnsi"/>
                <w:bCs/>
                <w:i/>
                <w:iCs/>
                <w:sz w:val="24"/>
                <w:szCs w:val="24"/>
              </w:rPr>
              <w:t>Guidance</w:t>
            </w:r>
          </w:p>
        </w:tc>
      </w:tr>
    </w:tbl>
    <w:p w14:paraId="458483DA" w14:textId="77777777" w:rsidR="00155FC8" w:rsidRDefault="00155FC8" w:rsidP="008E61D3">
      <w:pPr>
        <w:spacing w:after="0" w:line="240" w:lineRule="auto"/>
      </w:pPr>
    </w:p>
    <w:p w14:paraId="7BC22D29" w14:textId="77777777" w:rsidR="006F056D" w:rsidRPr="00207541" w:rsidRDefault="006F056D" w:rsidP="00207541">
      <w:pPr>
        <w:pStyle w:val="Heading1"/>
        <w:spacing w:before="0"/>
        <w:ind w:left="648"/>
        <w:rPr>
          <w:rFonts w:asciiTheme="minorHAnsi" w:hAnsiTheme="minorHAnsi" w:cstheme="minorHAnsi"/>
          <w:b/>
          <w:bCs/>
        </w:rPr>
      </w:pPr>
      <w:r w:rsidRPr="00207541">
        <w:rPr>
          <w:rFonts w:asciiTheme="minorHAnsi" w:hAnsiTheme="minorHAnsi" w:cstheme="minorHAnsi"/>
          <w:b/>
          <w:bCs/>
        </w:rPr>
        <w:t>Purpose</w:t>
      </w:r>
    </w:p>
    <w:p w14:paraId="634B7148" w14:textId="5DAD21A5" w:rsidR="006F056D" w:rsidRPr="00207541" w:rsidRDefault="006F056D" w:rsidP="000961F8">
      <w:pPr>
        <w:pStyle w:val="ListParagraph"/>
        <w:numPr>
          <w:ilvl w:val="1"/>
          <w:numId w:val="9"/>
        </w:numPr>
        <w:spacing w:after="0" w:line="240" w:lineRule="auto"/>
        <w:contextualSpacing w:val="0"/>
        <w:rPr>
          <w:bCs/>
          <w:sz w:val="24"/>
          <w:szCs w:val="24"/>
        </w:rPr>
      </w:pPr>
      <w:r w:rsidRPr="00207541">
        <w:rPr>
          <w:bCs/>
          <w:sz w:val="24"/>
          <w:szCs w:val="24"/>
        </w:rPr>
        <w:t xml:space="preserve">This document provides quality control (QC) guidance for nucleic acid sequencing using Illumina technology. The guidance </w:t>
      </w:r>
      <w:r w:rsidR="00E50151" w:rsidRPr="00207541">
        <w:rPr>
          <w:bCs/>
          <w:sz w:val="24"/>
          <w:szCs w:val="24"/>
        </w:rPr>
        <w:t>considers</w:t>
      </w:r>
      <w:r w:rsidRPr="00207541">
        <w:rPr>
          <w:bCs/>
          <w:sz w:val="24"/>
          <w:szCs w:val="24"/>
        </w:rPr>
        <w:t xml:space="preserve"> specific QC checkpoints between laboratory processes to ensure each step is completed </w:t>
      </w:r>
      <w:r w:rsidR="003314D6" w:rsidRPr="00207541">
        <w:rPr>
          <w:bCs/>
          <w:sz w:val="24"/>
          <w:szCs w:val="24"/>
        </w:rPr>
        <w:t>accurately,</w:t>
      </w:r>
      <w:r w:rsidRPr="00207541">
        <w:rPr>
          <w:bCs/>
          <w:sz w:val="24"/>
          <w:szCs w:val="24"/>
        </w:rPr>
        <w:t xml:space="preserve"> with high confidence, </w:t>
      </w:r>
      <w:r w:rsidR="00E50151" w:rsidRPr="00207541">
        <w:rPr>
          <w:bCs/>
          <w:sz w:val="24"/>
          <w:szCs w:val="24"/>
        </w:rPr>
        <w:t>to</w:t>
      </w:r>
      <w:r w:rsidRPr="00207541">
        <w:rPr>
          <w:bCs/>
          <w:sz w:val="24"/>
          <w:szCs w:val="24"/>
        </w:rPr>
        <w:t xml:space="preserve"> generate quality data metrics that are informative for downstream bioinformatics processes.</w:t>
      </w:r>
    </w:p>
    <w:p w14:paraId="626010EF" w14:textId="77777777" w:rsidR="000961F8" w:rsidRPr="00207541" w:rsidRDefault="006F056D" w:rsidP="000961F8">
      <w:pPr>
        <w:pStyle w:val="ListParagraph"/>
        <w:numPr>
          <w:ilvl w:val="1"/>
          <w:numId w:val="9"/>
        </w:numPr>
        <w:spacing w:after="0" w:line="240" w:lineRule="auto"/>
        <w:contextualSpacing w:val="0"/>
        <w:rPr>
          <w:bCs/>
          <w:sz w:val="24"/>
          <w:szCs w:val="24"/>
        </w:rPr>
      </w:pPr>
      <w:r w:rsidRPr="00207541">
        <w:rPr>
          <w:bCs/>
          <w:sz w:val="24"/>
          <w:szCs w:val="24"/>
        </w:rPr>
        <w:t>The quality of nucleic acid extraction and manipulation, fractionation and size selection, and library preparation affects fragment size uniformity and library diversity, which is important for achieving complete and even coverage of the total nucleic acid to be sequenced. Gaps resulting from poor sample preparation cannot be corrected downstream by error correction methods employed by some sequencing technologies. In addition, quality scores do not reflect errors introduced during sample preparation, as the sequencing signal will appear clean and error-free. The maximal achievable accuracy of most sequencing platforms is limited by the sample accuracy.</w:t>
      </w:r>
    </w:p>
    <w:p w14:paraId="27CBA76B" w14:textId="72D6310E" w:rsidR="006F056D" w:rsidRPr="0060560E" w:rsidRDefault="006F056D" w:rsidP="0060560E">
      <w:pPr>
        <w:pStyle w:val="ListParagraph"/>
        <w:spacing w:after="0" w:line="240" w:lineRule="auto"/>
        <w:ind w:left="864"/>
        <w:contextualSpacing w:val="0"/>
        <w:rPr>
          <w:bCs/>
          <w:color w:val="0071BC"/>
          <w:sz w:val="24"/>
          <w:szCs w:val="24"/>
        </w:rPr>
      </w:pPr>
      <w:r w:rsidRPr="0060560E">
        <w:rPr>
          <w:rFonts w:ascii="Calibri" w:eastAsia="Calibri" w:hAnsi="Calibri" w:cs="Calibri"/>
          <w:i/>
          <w:iCs/>
          <w:color w:val="0071BC"/>
          <w:sz w:val="24"/>
          <w:szCs w:val="24"/>
        </w:rPr>
        <w:t>NOTE:</w:t>
      </w:r>
      <w:r w:rsidR="000961F8" w:rsidRPr="0060560E">
        <w:rPr>
          <w:rFonts w:ascii="Calibri" w:eastAsia="Calibri" w:hAnsi="Calibri" w:cs="Calibri"/>
          <w:i/>
          <w:iCs/>
          <w:color w:val="0071BC"/>
          <w:sz w:val="24"/>
          <w:szCs w:val="24"/>
        </w:rPr>
        <w:t xml:space="preserve"> </w:t>
      </w:r>
      <w:r w:rsidRPr="0060560E">
        <w:rPr>
          <w:rFonts w:ascii="Calibri" w:eastAsia="Calibri" w:hAnsi="Calibri" w:cs="Calibri"/>
          <w:color w:val="0071BC"/>
          <w:sz w:val="24"/>
          <w:szCs w:val="24"/>
        </w:rPr>
        <w:t>The expected results included are based on standard NGS methods for Illumina sequencing at the time of document development. The advancement of new methods and technologies may allow for successful sequencing with QC results differing from those listed in this document.</w:t>
      </w:r>
    </w:p>
    <w:p w14:paraId="4AE27416" w14:textId="5D3311AB" w:rsidR="006F056D" w:rsidRPr="00207541" w:rsidRDefault="006F056D" w:rsidP="000961F8">
      <w:pPr>
        <w:pStyle w:val="ListParagraph"/>
        <w:numPr>
          <w:ilvl w:val="1"/>
          <w:numId w:val="9"/>
        </w:numPr>
        <w:spacing w:after="120" w:line="240" w:lineRule="auto"/>
        <w:contextualSpacing w:val="0"/>
        <w:rPr>
          <w:bCs/>
          <w:sz w:val="24"/>
          <w:szCs w:val="24"/>
        </w:rPr>
      </w:pPr>
      <w:r w:rsidRPr="00207541">
        <w:rPr>
          <w:bCs/>
          <w:sz w:val="24"/>
          <w:szCs w:val="24"/>
        </w:rPr>
        <w:t xml:space="preserve">Automated systems that perform multiple process steps during </w:t>
      </w:r>
      <w:r w:rsidR="00E50151" w:rsidRPr="00207541">
        <w:rPr>
          <w:bCs/>
          <w:sz w:val="24"/>
          <w:szCs w:val="24"/>
        </w:rPr>
        <w:t>operation or</w:t>
      </w:r>
      <w:r w:rsidRPr="00207541">
        <w:rPr>
          <w:bCs/>
          <w:sz w:val="24"/>
          <w:szCs w:val="24"/>
        </w:rPr>
        <w:t xml:space="preserve"> generate unique sample preparations that are difficult to analyze using conventional QC methods, will still require QC checkpoints. Custom procedures may need to be developed to satisfy the recommendations listed below</w:t>
      </w:r>
      <w:r w:rsidR="000961F8" w:rsidRPr="00207541">
        <w:rPr>
          <w:bCs/>
          <w:sz w:val="24"/>
          <w:szCs w:val="24"/>
        </w:rPr>
        <w:t>:</w:t>
      </w:r>
    </w:p>
    <w:p w14:paraId="28F0CB01" w14:textId="77777777" w:rsidR="006F056D" w:rsidRPr="0060560E" w:rsidRDefault="006F056D" w:rsidP="0060560E">
      <w:pPr>
        <w:pStyle w:val="Heading1"/>
        <w:spacing w:before="0"/>
        <w:ind w:left="648"/>
        <w:rPr>
          <w:rFonts w:asciiTheme="minorHAnsi" w:hAnsiTheme="minorHAnsi" w:cstheme="minorHAnsi"/>
          <w:b/>
          <w:bCs/>
        </w:rPr>
      </w:pPr>
      <w:r w:rsidRPr="0060560E">
        <w:rPr>
          <w:rFonts w:asciiTheme="minorHAnsi" w:hAnsiTheme="minorHAnsi" w:cstheme="minorHAnsi"/>
          <w:b/>
          <w:bCs/>
        </w:rPr>
        <w:t>NGS QC Checkpoints</w:t>
      </w:r>
    </w:p>
    <w:p w14:paraId="38A8B7EF" w14:textId="0ADB1E86" w:rsidR="006F056D" w:rsidRPr="0060560E" w:rsidRDefault="006F056D" w:rsidP="0060560E">
      <w:pPr>
        <w:spacing w:after="120" w:line="259" w:lineRule="auto"/>
        <w:ind w:left="648"/>
        <w:rPr>
          <w:rStyle w:val="normaltextrun"/>
          <w:rFonts w:cs="Calibri"/>
          <w:color w:val="000000"/>
          <w:sz w:val="24"/>
          <w:szCs w:val="24"/>
          <w:shd w:val="clear" w:color="auto" w:fill="FFFFFF"/>
        </w:rPr>
      </w:pPr>
      <w:r w:rsidRPr="0060560E">
        <w:rPr>
          <w:rStyle w:val="normaltextrun"/>
          <w:rFonts w:cs="Calibri"/>
          <w:color w:val="000000"/>
          <w:sz w:val="24"/>
          <w:szCs w:val="24"/>
          <w:shd w:val="clear" w:color="auto" w:fill="FFFFFF"/>
        </w:rPr>
        <w:t xml:space="preserve">The following sections correspond to the process steps prior to sequencing, as outlined in Figure 1 (see </w:t>
      </w:r>
      <w:r w:rsidRPr="0060560E">
        <w:rPr>
          <w:rStyle w:val="normaltextrun"/>
          <w:rFonts w:cs="Calibri"/>
          <w:b/>
          <w:bCs/>
          <w:color w:val="000000"/>
          <w:sz w:val="24"/>
          <w:szCs w:val="24"/>
          <w:shd w:val="clear" w:color="auto" w:fill="FFFFFF"/>
        </w:rPr>
        <w:t>Appendix A</w:t>
      </w:r>
      <w:r w:rsidR="000961F8" w:rsidRPr="0060560E">
        <w:rPr>
          <w:rStyle w:val="normaltextrun"/>
          <w:rFonts w:cs="Calibri"/>
          <w:color w:val="000000"/>
          <w:sz w:val="24"/>
          <w:szCs w:val="24"/>
          <w:shd w:val="clear" w:color="auto" w:fill="FFFFFF"/>
        </w:rPr>
        <w:t>)</w:t>
      </w:r>
      <w:r w:rsidRPr="0060560E">
        <w:rPr>
          <w:rStyle w:val="normaltextrun"/>
          <w:rFonts w:cs="Calibri"/>
          <w:color w:val="000000"/>
          <w:sz w:val="24"/>
          <w:szCs w:val="24"/>
          <w:shd w:val="clear" w:color="auto" w:fill="FFFFFF"/>
        </w:rPr>
        <w:t xml:space="preserve"> for a detailed process map</w:t>
      </w:r>
      <w:r w:rsidR="000961F8" w:rsidRPr="0060560E">
        <w:rPr>
          <w:rStyle w:val="normaltextrun"/>
          <w:rFonts w:cs="Calibri"/>
          <w:color w:val="000000"/>
          <w:sz w:val="24"/>
          <w:szCs w:val="24"/>
          <w:shd w:val="clear" w:color="auto" w:fill="FFFFFF"/>
        </w:rPr>
        <w:t>.</w:t>
      </w:r>
    </w:p>
    <w:p w14:paraId="5AA50A8B" w14:textId="77777777" w:rsidR="005B54B4" w:rsidRDefault="005B54B4" w:rsidP="008E61D3">
      <w:pPr>
        <w:spacing w:after="0" w:line="240" w:lineRule="auto"/>
      </w:pPr>
    </w:p>
    <w:p w14:paraId="48D56A7C" w14:textId="7B5FD1CF" w:rsidR="008E61D3" w:rsidRPr="00842732" w:rsidRDefault="006F056D" w:rsidP="008E61D3">
      <w:pPr>
        <w:spacing w:after="0" w:line="240" w:lineRule="auto"/>
        <w:rPr>
          <w:rFonts w:eastAsia="Times New Roman" w:cstheme="minorHAnsi"/>
          <w:b/>
          <w:bCs/>
        </w:rPr>
      </w:pPr>
      <w:r w:rsidRPr="006F056D">
        <w:rPr>
          <w:rFonts w:ascii="Calibri" w:eastAsia="Calibri" w:hAnsi="Calibri" w:cs="Times New Roman"/>
          <w:noProof/>
        </w:rPr>
        <w:drawing>
          <wp:inline distT="0" distB="0" distL="0" distR="0" wp14:anchorId="2600F6D3" wp14:editId="0E09C39D">
            <wp:extent cx="6267450" cy="786765"/>
            <wp:effectExtent l="0" t="0" r="0" b="0"/>
            <wp:docPr id="1" name="Picture 1" descr="This flow char describes the process steps prior to sequencing. These steps are:&#10;2.1 Nucleic Acid Extraction&#10;2.2 QC Checkpoint&#10;2.3 Fragmentation and Size Selection&#10;2.4 QC Checkpoint&#10;2.5 cDNA Synthesis (for RNA only)&#10;2.6 QC Checkpoint (RNA only)&#10;2.7 Library Preparation &#10;2.8 QC Checkpoint"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0" cy="786765"/>
                    </a:xfrm>
                    <a:prstGeom prst="rect">
                      <a:avLst/>
                    </a:prstGeom>
                    <a:noFill/>
                  </pic:spPr>
                </pic:pic>
              </a:graphicData>
            </a:graphic>
          </wp:inline>
        </w:drawing>
      </w:r>
    </w:p>
    <w:p w14:paraId="37D39866" w14:textId="77777777" w:rsidR="006F056D" w:rsidRPr="0038423E" w:rsidRDefault="006F056D" w:rsidP="006F056D">
      <w:pPr>
        <w:tabs>
          <w:tab w:val="left" w:pos="450"/>
        </w:tabs>
        <w:jc w:val="center"/>
        <w:rPr>
          <w:rFonts w:ascii="Calibri" w:eastAsia="Calibri" w:hAnsi="Calibri" w:cs="Times New Roman"/>
          <w:b/>
          <w:sz w:val="24"/>
          <w:szCs w:val="24"/>
        </w:rPr>
      </w:pPr>
      <w:r w:rsidRPr="0038423E">
        <w:rPr>
          <w:rFonts w:ascii="Calibri" w:eastAsia="Calibri" w:hAnsi="Calibri" w:cs="Times New Roman"/>
          <w:b/>
          <w:sz w:val="24"/>
          <w:szCs w:val="24"/>
        </w:rPr>
        <w:t>Figure 1. NGS QC Checkpoints for Illumina Workflows</w:t>
      </w:r>
    </w:p>
    <w:p w14:paraId="2B7EB9AD" w14:textId="77777777" w:rsidR="0038423E" w:rsidRPr="0038423E" w:rsidRDefault="0038423E" w:rsidP="0038423E">
      <w:pPr>
        <w:pStyle w:val="ListParagraph"/>
        <w:numPr>
          <w:ilvl w:val="0"/>
          <w:numId w:val="9"/>
        </w:numPr>
        <w:spacing w:after="0" w:line="240" w:lineRule="auto"/>
        <w:contextualSpacing w:val="0"/>
        <w:rPr>
          <w:b/>
          <w:vanish/>
        </w:rPr>
      </w:pPr>
    </w:p>
    <w:p w14:paraId="3E6FBBE4" w14:textId="2F88BB1B" w:rsidR="006F056D" w:rsidRPr="00090CC4" w:rsidRDefault="006F056D" w:rsidP="00B77465">
      <w:pPr>
        <w:pStyle w:val="ListParagraph"/>
        <w:numPr>
          <w:ilvl w:val="1"/>
          <w:numId w:val="9"/>
        </w:numPr>
        <w:spacing w:after="0" w:line="240" w:lineRule="auto"/>
        <w:contextualSpacing w:val="0"/>
        <w:rPr>
          <w:rFonts w:cstheme="minorHAnsi"/>
          <w:b/>
          <w:sz w:val="24"/>
          <w:szCs w:val="24"/>
        </w:rPr>
      </w:pPr>
      <w:r w:rsidRPr="00090CC4">
        <w:rPr>
          <w:rFonts w:cstheme="minorHAnsi"/>
          <w:b/>
          <w:sz w:val="24"/>
          <w:szCs w:val="24"/>
        </w:rPr>
        <w:t>Nucleic Acid Extraction</w:t>
      </w:r>
      <w:r w:rsidR="000961F8" w:rsidRPr="00090CC4">
        <w:rPr>
          <w:rFonts w:cstheme="minorHAnsi"/>
          <w:b/>
          <w:sz w:val="24"/>
          <w:szCs w:val="24"/>
        </w:rPr>
        <w:t>:</w:t>
      </w:r>
    </w:p>
    <w:p w14:paraId="5F87F5D7" w14:textId="77777777" w:rsidR="006F056D" w:rsidRPr="00090CC4" w:rsidRDefault="006F056D" w:rsidP="00B77465">
      <w:pPr>
        <w:pStyle w:val="ListParagraph"/>
        <w:numPr>
          <w:ilvl w:val="2"/>
          <w:numId w:val="10"/>
        </w:numPr>
        <w:tabs>
          <w:tab w:val="clear" w:pos="1170"/>
        </w:tabs>
        <w:spacing w:after="0"/>
        <w:ind w:left="1152" w:hanging="288"/>
        <w:rPr>
          <w:rFonts w:cstheme="minorHAnsi"/>
          <w:bCs/>
          <w:sz w:val="24"/>
          <w:szCs w:val="24"/>
        </w:rPr>
      </w:pPr>
      <w:r w:rsidRPr="00090CC4">
        <w:rPr>
          <w:rFonts w:cstheme="minorHAnsi"/>
          <w:bCs/>
          <w:sz w:val="24"/>
          <w:szCs w:val="24"/>
        </w:rPr>
        <w:t>The Illumina sequencing workflows utilize either DNA or RNA as starting material. High quality nucleic acid purification is essential for obtaining accurate NGS data. The extraction method depends greatly on the sample type and matrices involved.</w:t>
      </w:r>
    </w:p>
    <w:p w14:paraId="58071BF7" w14:textId="3494EA46" w:rsidR="006F056D" w:rsidRPr="00090CC4" w:rsidRDefault="006F056D" w:rsidP="00B77465">
      <w:pPr>
        <w:pStyle w:val="ListParagraph"/>
        <w:numPr>
          <w:ilvl w:val="1"/>
          <w:numId w:val="9"/>
        </w:numPr>
        <w:spacing w:after="0" w:line="240" w:lineRule="auto"/>
        <w:contextualSpacing w:val="0"/>
        <w:rPr>
          <w:rFonts w:cstheme="minorHAnsi"/>
          <w:b/>
          <w:sz w:val="24"/>
          <w:szCs w:val="24"/>
        </w:rPr>
      </w:pPr>
      <w:r w:rsidRPr="00090CC4">
        <w:rPr>
          <w:rFonts w:cstheme="minorHAnsi"/>
          <w:b/>
          <w:sz w:val="24"/>
          <w:szCs w:val="24"/>
        </w:rPr>
        <w:t>Post-Extraction Nucleic Acid QC Checkpoint</w:t>
      </w:r>
      <w:r w:rsidR="000961F8" w:rsidRPr="00090CC4">
        <w:rPr>
          <w:rFonts w:cstheme="minorHAnsi"/>
          <w:b/>
          <w:sz w:val="24"/>
          <w:szCs w:val="24"/>
        </w:rPr>
        <w:t>:</w:t>
      </w:r>
    </w:p>
    <w:p w14:paraId="23C8ABF9" w14:textId="55F09BB8" w:rsidR="006F056D" w:rsidRPr="00090CC4" w:rsidRDefault="006F056D" w:rsidP="00B77465">
      <w:pPr>
        <w:pStyle w:val="ListParagraph"/>
        <w:numPr>
          <w:ilvl w:val="2"/>
          <w:numId w:val="12"/>
        </w:numPr>
        <w:tabs>
          <w:tab w:val="clear" w:pos="1170"/>
        </w:tabs>
        <w:spacing w:after="0"/>
        <w:ind w:left="1224"/>
        <w:rPr>
          <w:rFonts w:cstheme="minorHAnsi"/>
          <w:sz w:val="24"/>
          <w:szCs w:val="24"/>
        </w:rPr>
      </w:pPr>
      <w:r w:rsidRPr="00090CC4">
        <w:rPr>
          <w:rFonts w:cstheme="minorHAnsi"/>
          <w:sz w:val="24"/>
          <w:szCs w:val="24"/>
        </w:rPr>
        <w:t xml:space="preserve">Nucleic acid purity and concentration should be quantitated after extraction to ensure that preparation is primarily the nucleic acid that the user is analyzing (dsDNA, RNA, or </w:t>
      </w:r>
      <w:r w:rsidRPr="00090CC4">
        <w:rPr>
          <w:rFonts w:cstheme="minorHAnsi"/>
          <w:sz w:val="24"/>
          <w:szCs w:val="24"/>
        </w:rPr>
        <w:lastRenderedPageBreak/>
        <w:t>cDNA). It is to also ensure that the sample is mostly free of contamination. Quantitation of purity and concentration is highly recommended for all applications.</w:t>
      </w:r>
    </w:p>
    <w:p w14:paraId="15BCDB0D" w14:textId="3F39FFC1" w:rsidR="006F056D" w:rsidRPr="00090CC4" w:rsidRDefault="006F056D" w:rsidP="00B77465">
      <w:pPr>
        <w:pStyle w:val="ListParagraph"/>
        <w:numPr>
          <w:ilvl w:val="2"/>
          <w:numId w:val="12"/>
        </w:numPr>
        <w:tabs>
          <w:tab w:val="clear" w:pos="1170"/>
        </w:tabs>
        <w:spacing w:after="0"/>
        <w:ind w:left="1224"/>
        <w:rPr>
          <w:rFonts w:cstheme="minorHAnsi"/>
          <w:bCs/>
          <w:sz w:val="24"/>
          <w:szCs w:val="24"/>
        </w:rPr>
      </w:pPr>
      <w:r w:rsidRPr="00090CC4">
        <w:rPr>
          <w:rFonts w:cstheme="minorHAnsi"/>
          <w:bCs/>
          <w:sz w:val="24"/>
          <w:szCs w:val="24"/>
        </w:rPr>
        <w:t xml:space="preserve">Purity is measured spectrophotometrically as the ratio of absorbance measurements </w:t>
      </w:r>
      <w:r w:rsidR="00D3420C" w:rsidRPr="00090CC4">
        <w:rPr>
          <w:rFonts w:cstheme="minorHAnsi"/>
          <w:bCs/>
          <w:sz w:val="24"/>
          <w:szCs w:val="24"/>
        </w:rPr>
        <w:t xml:space="preserve">is </w:t>
      </w:r>
      <w:r w:rsidRPr="00090CC4">
        <w:rPr>
          <w:rFonts w:cstheme="minorHAnsi"/>
          <w:bCs/>
          <w:sz w:val="24"/>
          <w:szCs w:val="24"/>
        </w:rPr>
        <w:t xml:space="preserve">at 280 nm and 260 nm. The </w:t>
      </w:r>
      <w:r w:rsidR="00F9452A" w:rsidRPr="00090CC4">
        <w:rPr>
          <w:rFonts w:cstheme="minorHAnsi"/>
          <w:bCs/>
          <w:sz w:val="24"/>
          <w:szCs w:val="24"/>
        </w:rPr>
        <w:t>Nano</w:t>
      </w:r>
      <w:r w:rsidR="00B77465">
        <w:rPr>
          <w:rFonts w:cstheme="minorHAnsi"/>
          <w:bCs/>
          <w:sz w:val="24"/>
          <w:szCs w:val="24"/>
        </w:rPr>
        <w:t>D</w:t>
      </w:r>
      <w:r w:rsidR="00F9452A" w:rsidRPr="00090CC4">
        <w:rPr>
          <w:rFonts w:cstheme="minorHAnsi"/>
          <w:bCs/>
          <w:sz w:val="24"/>
          <w:szCs w:val="24"/>
        </w:rPr>
        <w:t>rop</w:t>
      </w:r>
      <w:r w:rsidRPr="00090CC4">
        <w:rPr>
          <w:rFonts w:cstheme="minorHAnsi"/>
          <w:bCs/>
          <w:sz w:val="24"/>
          <w:szCs w:val="24"/>
        </w:rPr>
        <w:t xml:space="preserve"> instruments and procedures are commonly used to measure absorbance of nucleic acid samples and to quantitate purity. For accurate quantitation of nucleic acid, fluorescent dyes are used to complex with select forms of nucleic acid (dsDNA and RNA) and their concentration is measured at a particular fluorometric emission and excitation wavelength.</w:t>
      </w:r>
    </w:p>
    <w:p w14:paraId="092C3F18" w14:textId="77777777" w:rsidR="006F056D" w:rsidRPr="00090CC4" w:rsidRDefault="006F056D" w:rsidP="00B77465">
      <w:pPr>
        <w:pStyle w:val="ListParagraph"/>
        <w:numPr>
          <w:ilvl w:val="2"/>
          <w:numId w:val="12"/>
        </w:numPr>
        <w:tabs>
          <w:tab w:val="clear" w:pos="1170"/>
        </w:tabs>
        <w:spacing w:after="0"/>
        <w:ind w:left="1224"/>
        <w:rPr>
          <w:rFonts w:cstheme="minorHAnsi"/>
          <w:bCs/>
          <w:sz w:val="24"/>
          <w:szCs w:val="24"/>
        </w:rPr>
      </w:pPr>
      <w:r w:rsidRPr="00090CC4">
        <w:rPr>
          <w:rFonts w:cstheme="minorHAnsi"/>
          <w:bCs/>
          <w:sz w:val="24"/>
          <w:szCs w:val="24"/>
        </w:rPr>
        <w:t>Quantitation of dsDNA and RNA concentration are commonly completed with fluorometric instruments and methods such as Qubit or Quant-iT. In addition, real-time or quantitative PCR (qPCR) can also be used for very sensitive quantitation of dsDNA (e.g., KAPA qPCR). This is much more time consuming than fluorometric analysis described above and is usually not used until after library preparations are made, where very sensitive quantitation of pooled samples at low concentrations is crucial for successful sequencing.</w:t>
      </w:r>
    </w:p>
    <w:p w14:paraId="017D2622" w14:textId="59048C94" w:rsidR="006F056D" w:rsidRPr="00090CC4" w:rsidRDefault="006F056D" w:rsidP="00B77465">
      <w:pPr>
        <w:pStyle w:val="ListParagraph"/>
        <w:numPr>
          <w:ilvl w:val="2"/>
          <w:numId w:val="12"/>
        </w:numPr>
        <w:tabs>
          <w:tab w:val="clear" w:pos="1170"/>
        </w:tabs>
        <w:spacing w:after="0"/>
        <w:ind w:left="1224"/>
        <w:rPr>
          <w:rFonts w:cstheme="minorHAnsi"/>
          <w:sz w:val="24"/>
          <w:szCs w:val="24"/>
        </w:rPr>
      </w:pPr>
      <w:r w:rsidRPr="00090CC4">
        <w:rPr>
          <w:rFonts w:cstheme="minorHAnsi"/>
          <w:sz w:val="24"/>
          <w:szCs w:val="24"/>
        </w:rPr>
        <w:t xml:space="preserve">In some cases, instruments that perform complete electrophoretic separation of nucleic acid such as the TapeStation, Bioanalyzer, or BluePippin can also measure absorbance and fluorescence of the electrophoretically separated nucleic acid. Hence, these instruments can measure nucleic acid purity and concentration, and can be used in lieu of the </w:t>
      </w:r>
      <w:r w:rsidR="005023ED" w:rsidRPr="00090CC4">
        <w:rPr>
          <w:rFonts w:cstheme="minorHAnsi"/>
          <w:sz w:val="24"/>
          <w:szCs w:val="24"/>
        </w:rPr>
        <w:t>Nano</w:t>
      </w:r>
      <w:r w:rsidR="00F830DA">
        <w:rPr>
          <w:rFonts w:cstheme="minorHAnsi"/>
          <w:sz w:val="24"/>
          <w:szCs w:val="24"/>
        </w:rPr>
        <w:t>D</w:t>
      </w:r>
      <w:r w:rsidR="005023ED" w:rsidRPr="00090CC4">
        <w:rPr>
          <w:rFonts w:cstheme="minorHAnsi"/>
          <w:sz w:val="24"/>
          <w:szCs w:val="24"/>
        </w:rPr>
        <w:t>rop</w:t>
      </w:r>
      <w:r w:rsidRPr="00090CC4">
        <w:rPr>
          <w:rFonts w:cstheme="minorHAnsi"/>
          <w:sz w:val="24"/>
          <w:szCs w:val="24"/>
        </w:rPr>
        <w:t xml:space="preserve"> and Qubit or Quant-</w:t>
      </w:r>
      <w:r w:rsidR="00E71F86" w:rsidRPr="00090CC4">
        <w:rPr>
          <w:rFonts w:cstheme="minorHAnsi"/>
          <w:sz w:val="24"/>
          <w:szCs w:val="24"/>
        </w:rPr>
        <w:t>iT but</w:t>
      </w:r>
      <w:r w:rsidRPr="00090CC4">
        <w:rPr>
          <w:rFonts w:cstheme="minorHAnsi"/>
          <w:sz w:val="24"/>
          <w:szCs w:val="24"/>
        </w:rPr>
        <w:t xml:space="preserve"> are more costly and time-consuming to perform. This is not recommended for QC checks where qPCR is recommended. In addition, these instruments provide assessments of nucleic acid integrity by visualizing the abundance and size range of fragments. This additional information can assist the user in understanding DNA sample integrity as well as provide insight into any issues identified during extraction. Conventional gel electrophoresis may also be used to assess nucleic acid integrity and sample </w:t>
      </w:r>
      <w:r w:rsidR="00E71F86" w:rsidRPr="00090CC4">
        <w:rPr>
          <w:rFonts w:cstheme="minorHAnsi"/>
          <w:sz w:val="24"/>
          <w:szCs w:val="24"/>
        </w:rPr>
        <w:t>quality but</w:t>
      </w:r>
      <w:r w:rsidRPr="00090CC4">
        <w:rPr>
          <w:rFonts w:cstheme="minorHAnsi"/>
          <w:sz w:val="24"/>
          <w:szCs w:val="24"/>
        </w:rPr>
        <w:t xml:space="preserve"> does not quantitatively measure purity and concentration.</w:t>
      </w:r>
    </w:p>
    <w:p w14:paraId="392C927C" w14:textId="2932D16D" w:rsidR="006F056D" w:rsidRPr="00090CC4" w:rsidRDefault="006F056D" w:rsidP="00B77465">
      <w:pPr>
        <w:numPr>
          <w:ilvl w:val="2"/>
          <w:numId w:val="12"/>
        </w:numPr>
        <w:spacing w:after="0" w:line="240" w:lineRule="auto"/>
        <w:ind w:left="1224"/>
        <w:rPr>
          <w:rFonts w:cstheme="minorHAnsi"/>
          <w:bCs/>
          <w:sz w:val="24"/>
          <w:szCs w:val="24"/>
        </w:rPr>
      </w:pPr>
      <w:r w:rsidRPr="00090CC4">
        <w:rPr>
          <w:rFonts w:cstheme="minorHAnsi"/>
          <w:bCs/>
          <w:sz w:val="24"/>
          <w:szCs w:val="24"/>
        </w:rPr>
        <w:t>DNA Quality Check</w:t>
      </w:r>
      <w:r w:rsidR="000961F8" w:rsidRPr="00090CC4">
        <w:rPr>
          <w:rFonts w:cstheme="minorHAnsi"/>
          <w:bCs/>
          <w:sz w:val="24"/>
          <w:szCs w:val="24"/>
        </w:rPr>
        <w:t>:</w:t>
      </w:r>
    </w:p>
    <w:p w14:paraId="7DFC785C" w14:textId="31E41F56" w:rsidR="006F056D" w:rsidRPr="00090CC4" w:rsidRDefault="006F056D" w:rsidP="00B77465">
      <w:pPr>
        <w:pStyle w:val="ListParagraph"/>
        <w:numPr>
          <w:ilvl w:val="3"/>
          <w:numId w:val="12"/>
        </w:numPr>
        <w:spacing w:after="0" w:line="240" w:lineRule="auto"/>
        <w:ind w:left="1350"/>
        <w:rPr>
          <w:rFonts w:cstheme="minorHAnsi"/>
          <w:b/>
          <w:bCs/>
          <w:sz w:val="24"/>
          <w:szCs w:val="24"/>
        </w:rPr>
      </w:pPr>
      <w:r w:rsidRPr="00090CC4">
        <w:rPr>
          <w:rFonts w:cstheme="minorHAnsi"/>
          <w:sz w:val="24"/>
          <w:szCs w:val="24"/>
        </w:rPr>
        <w:t>Purity and concentration of the isolated dsDNA should be quantitated immediately after extraction to ensure a successful extraction.</w:t>
      </w:r>
    </w:p>
    <w:p w14:paraId="59A25A81" w14:textId="4B3133D5" w:rsidR="006F056D" w:rsidRPr="00090CC4" w:rsidRDefault="006F056D" w:rsidP="00B77465">
      <w:pPr>
        <w:pStyle w:val="ListParagraph"/>
        <w:numPr>
          <w:ilvl w:val="3"/>
          <w:numId w:val="12"/>
        </w:numPr>
        <w:spacing w:after="0" w:line="240" w:lineRule="auto"/>
        <w:ind w:left="1350"/>
        <w:rPr>
          <w:rFonts w:cstheme="minorHAnsi"/>
          <w:sz w:val="24"/>
          <w:szCs w:val="24"/>
        </w:rPr>
      </w:pPr>
      <w:r w:rsidRPr="00090CC4">
        <w:rPr>
          <w:rFonts w:cstheme="minorHAnsi"/>
          <w:sz w:val="24"/>
          <w:szCs w:val="24"/>
        </w:rPr>
        <w:t xml:space="preserve">dsDNA Purity: Spectrophotometric measurement of absorbance ratio (A260/A280) should be used to quantitate purity of the DNA sample (e.g., </w:t>
      </w:r>
      <w:r w:rsidR="005023ED" w:rsidRPr="00090CC4">
        <w:rPr>
          <w:rFonts w:cstheme="minorHAnsi"/>
          <w:sz w:val="24"/>
          <w:szCs w:val="24"/>
        </w:rPr>
        <w:t>Nano</w:t>
      </w:r>
      <w:r w:rsidR="00F830DA">
        <w:rPr>
          <w:rFonts w:cstheme="minorHAnsi"/>
          <w:sz w:val="24"/>
          <w:szCs w:val="24"/>
        </w:rPr>
        <w:t>D</w:t>
      </w:r>
      <w:r w:rsidR="005023ED" w:rsidRPr="00090CC4">
        <w:rPr>
          <w:rFonts w:cstheme="minorHAnsi"/>
          <w:sz w:val="24"/>
          <w:szCs w:val="24"/>
        </w:rPr>
        <w:t>rop</w:t>
      </w:r>
      <w:r w:rsidRPr="00090CC4">
        <w:rPr>
          <w:rFonts w:cstheme="minorHAnsi"/>
          <w:sz w:val="24"/>
          <w:szCs w:val="24"/>
        </w:rPr>
        <w:t xml:space="preserve">). Although these methods also </w:t>
      </w:r>
      <w:r w:rsidR="00E71F86" w:rsidRPr="00090CC4">
        <w:rPr>
          <w:rFonts w:cstheme="minorHAnsi"/>
          <w:sz w:val="24"/>
          <w:szCs w:val="24"/>
        </w:rPr>
        <w:t>can</w:t>
      </w:r>
      <w:r w:rsidRPr="00090CC4">
        <w:rPr>
          <w:rFonts w:cstheme="minorHAnsi"/>
          <w:sz w:val="24"/>
          <w:szCs w:val="24"/>
        </w:rPr>
        <w:t xml:space="preserve"> quantitate DNA, the measurements are frequently affected by any present RNA or other biomolecules absorbing in the UV range and should not be used as quantitation for NGS library preparation. The Thermo</w:t>
      </w:r>
      <w:r w:rsidR="002453C0" w:rsidRPr="00090CC4">
        <w:rPr>
          <w:rFonts w:cstheme="minorHAnsi"/>
          <w:sz w:val="24"/>
          <w:szCs w:val="24"/>
        </w:rPr>
        <w:t>Fisher</w:t>
      </w:r>
      <w:r w:rsidRPr="00090CC4">
        <w:rPr>
          <w:rFonts w:cstheme="minorHAnsi"/>
          <w:sz w:val="24"/>
          <w:szCs w:val="24"/>
        </w:rPr>
        <w:t xml:space="preserve"> Scientific T009-Technical Bulletin on 260/280 and 260/230 ratios contains additional information on purity analysis.</w:t>
      </w:r>
    </w:p>
    <w:p w14:paraId="4476F515" w14:textId="77777777" w:rsidR="006F056D" w:rsidRPr="00090CC4" w:rsidRDefault="006F056D" w:rsidP="00B77465">
      <w:pPr>
        <w:pStyle w:val="ListParagraph"/>
        <w:numPr>
          <w:ilvl w:val="4"/>
          <w:numId w:val="12"/>
        </w:numPr>
        <w:spacing w:after="0" w:line="240" w:lineRule="auto"/>
        <w:ind w:left="1908"/>
        <w:contextualSpacing w:val="0"/>
        <w:rPr>
          <w:rFonts w:cstheme="minorHAnsi"/>
          <w:b/>
          <w:sz w:val="24"/>
          <w:szCs w:val="24"/>
        </w:rPr>
      </w:pPr>
      <w:r w:rsidRPr="00090CC4">
        <w:rPr>
          <w:rFonts w:cstheme="minorHAnsi"/>
          <w:bCs/>
          <w:sz w:val="24"/>
          <w:szCs w:val="24"/>
        </w:rPr>
        <w:t>Expected Results:</w:t>
      </w:r>
      <w:r w:rsidRPr="00090CC4">
        <w:rPr>
          <w:rFonts w:cstheme="minorHAnsi"/>
          <w:sz w:val="24"/>
          <w:szCs w:val="24"/>
        </w:rPr>
        <w:t xml:space="preserve"> A</w:t>
      </w:r>
      <w:r w:rsidRPr="00090CC4">
        <w:rPr>
          <w:rFonts w:cstheme="minorHAnsi"/>
          <w:sz w:val="24"/>
          <w:szCs w:val="24"/>
          <w:vertAlign w:val="subscript"/>
        </w:rPr>
        <w:t>260</w:t>
      </w:r>
      <w:r w:rsidRPr="00090CC4">
        <w:rPr>
          <w:rFonts w:cstheme="minorHAnsi"/>
          <w:sz w:val="24"/>
          <w:szCs w:val="24"/>
        </w:rPr>
        <w:t>/A</w:t>
      </w:r>
      <w:r w:rsidRPr="00090CC4">
        <w:rPr>
          <w:rFonts w:cstheme="minorHAnsi"/>
          <w:sz w:val="24"/>
          <w:szCs w:val="24"/>
          <w:vertAlign w:val="subscript"/>
        </w:rPr>
        <w:t>280</w:t>
      </w:r>
      <w:r w:rsidRPr="00090CC4">
        <w:rPr>
          <w:rFonts w:cstheme="minorHAnsi"/>
          <w:sz w:val="24"/>
          <w:szCs w:val="24"/>
        </w:rPr>
        <w:t xml:space="preserve"> = 1.8-2.0; a ratio of ~1.8 is generally accepted as “pure” for DNA.</w:t>
      </w:r>
    </w:p>
    <w:p w14:paraId="22A507E3" w14:textId="77777777" w:rsidR="006F056D" w:rsidRPr="00090CC4" w:rsidRDefault="006F056D" w:rsidP="00B77465">
      <w:pPr>
        <w:pStyle w:val="ListParagraph"/>
        <w:numPr>
          <w:ilvl w:val="4"/>
          <w:numId w:val="12"/>
        </w:numPr>
        <w:spacing w:after="0" w:line="240" w:lineRule="auto"/>
        <w:ind w:left="1908"/>
        <w:contextualSpacing w:val="0"/>
        <w:rPr>
          <w:rFonts w:cstheme="minorHAnsi"/>
          <w:bCs/>
          <w:sz w:val="24"/>
          <w:szCs w:val="24"/>
        </w:rPr>
      </w:pPr>
      <w:r w:rsidRPr="00090CC4">
        <w:rPr>
          <w:rFonts w:cstheme="minorHAnsi"/>
          <w:bCs/>
          <w:sz w:val="24"/>
          <w:szCs w:val="24"/>
        </w:rPr>
        <w:lastRenderedPageBreak/>
        <w:t>If the ratio is appreciably lower, it may indicate the presence of protein, aromatic chemicals such as phenol, or other contaminants that absorb strongly at or near 280 nm.</w:t>
      </w:r>
    </w:p>
    <w:p w14:paraId="302C6077" w14:textId="44E86FCE" w:rsidR="006F056D" w:rsidRPr="00090CC4" w:rsidRDefault="006F056D" w:rsidP="00B77465">
      <w:pPr>
        <w:pStyle w:val="ListParagraph"/>
        <w:numPr>
          <w:ilvl w:val="3"/>
          <w:numId w:val="12"/>
        </w:numPr>
        <w:spacing w:after="0" w:line="240" w:lineRule="auto"/>
        <w:ind w:left="1350"/>
        <w:rPr>
          <w:rFonts w:cstheme="minorHAnsi"/>
          <w:sz w:val="24"/>
          <w:szCs w:val="24"/>
        </w:rPr>
      </w:pPr>
      <w:r w:rsidRPr="00090CC4">
        <w:rPr>
          <w:rFonts w:cstheme="minorHAnsi"/>
          <w:sz w:val="24"/>
          <w:szCs w:val="24"/>
        </w:rPr>
        <w:t xml:space="preserve">dsDNA Concentration: Fluorescent measurements using a particular fluorescent dye and fluorimeter should be used to measure dsDNA. These methods, such as Qubit and Quant-iT, </w:t>
      </w:r>
      <w:r w:rsidR="00DC23B0" w:rsidRPr="00090CC4">
        <w:rPr>
          <w:rFonts w:cstheme="minorHAnsi"/>
          <w:sz w:val="24"/>
          <w:szCs w:val="24"/>
        </w:rPr>
        <w:t>can</w:t>
      </w:r>
      <w:r w:rsidRPr="00090CC4">
        <w:rPr>
          <w:rFonts w:cstheme="minorHAnsi"/>
          <w:sz w:val="24"/>
          <w:szCs w:val="24"/>
        </w:rPr>
        <w:t xml:space="preserve"> quantitate dsDNA exclusively, even in the presence of contaminating RNA and other single-stranded DNA. </w:t>
      </w:r>
    </w:p>
    <w:p w14:paraId="317D7645" w14:textId="77777777" w:rsidR="006F056D" w:rsidRPr="00090CC4" w:rsidRDefault="006F056D" w:rsidP="00B77465">
      <w:pPr>
        <w:pStyle w:val="ListParagraph"/>
        <w:numPr>
          <w:ilvl w:val="4"/>
          <w:numId w:val="12"/>
        </w:numPr>
        <w:spacing w:after="0" w:line="240" w:lineRule="auto"/>
        <w:ind w:left="1908"/>
        <w:contextualSpacing w:val="0"/>
        <w:rPr>
          <w:rFonts w:cstheme="minorHAnsi"/>
          <w:bCs/>
          <w:sz w:val="24"/>
          <w:szCs w:val="24"/>
        </w:rPr>
      </w:pPr>
      <w:r w:rsidRPr="00090CC4">
        <w:rPr>
          <w:rFonts w:cstheme="minorHAnsi"/>
          <w:bCs/>
          <w:sz w:val="24"/>
          <w:szCs w:val="24"/>
        </w:rPr>
        <w:t>Expected Results: Concentration of preparation should be &gt; 500 ng in a 20 -100 µL sample.</w:t>
      </w:r>
    </w:p>
    <w:p w14:paraId="2CD63FD4" w14:textId="77777777" w:rsidR="006F056D" w:rsidRPr="00090CC4" w:rsidRDefault="006F056D" w:rsidP="00B77465">
      <w:pPr>
        <w:pStyle w:val="ListParagraph"/>
        <w:numPr>
          <w:ilvl w:val="4"/>
          <w:numId w:val="12"/>
        </w:numPr>
        <w:spacing w:after="0" w:line="240" w:lineRule="auto"/>
        <w:ind w:left="1908"/>
        <w:contextualSpacing w:val="0"/>
        <w:rPr>
          <w:rFonts w:cstheme="minorHAnsi"/>
          <w:bCs/>
          <w:sz w:val="24"/>
          <w:szCs w:val="24"/>
        </w:rPr>
      </w:pPr>
      <w:r w:rsidRPr="00090CC4">
        <w:rPr>
          <w:rFonts w:cstheme="minorHAnsi"/>
          <w:bCs/>
          <w:sz w:val="24"/>
          <w:szCs w:val="24"/>
        </w:rPr>
        <w:t>Be aware that if any contaminating DNA or other reagents are present that also generates a signal at the same emission/excitation wavelengths of the fluorometric assay, this will result in a false positive reading.</w:t>
      </w:r>
    </w:p>
    <w:p w14:paraId="325B8228" w14:textId="757330BE" w:rsidR="006F056D" w:rsidRPr="00090CC4" w:rsidRDefault="006F056D" w:rsidP="00B77465">
      <w:pPr>
        <w:pStyle w:val="ListParagraph"/>
        <w:numPr>
          <w:ilvl w:val="3"/>
          <w:numId w:val="12"/>
        </w:numPr>
        <w:spacing w:after="0" w:line="240" w:lineRule="auto"/>
        <w:ind w:left="1350"/>
        <w:rPr>
          <w:rFonts w:cstheme="minorHAnsi"/>
          <w:sz w:val="24"/>
          <w:szCs w:val="24"/>
        </w:rPr>
      </w:pPr>
      <w:r w:rsidRPr="00090CC4">
        <w:rPr>
          <w:rFonts w:cstheme="minorHAnsi"/>
          <w:sz w:val="24"/>
          <w:szCs w:val="24"/>
        </w:rPr>
        <w:t>Alternative methods for quantitating purity, concentration, and assessing dsDNA quality: Electrophoretic instruments designed for NGS (</w:t>
      </w:r>
      <w:r w:rsidR="00DC23B0" w:rsidRPr="00090CC4">
        <w:rPr>
          <w:rFonts w:cstheme="minorHAnsi"/>
          <w:sz w:val="24"/>
          <w:szCs w:val="24"/>
        </w:rPr>
        <w:t>e.g.,</w:t>
      </w:r>
      <w:r w:rsidRPr="00090CC4">
        <w:rPr>
          <w:rFonts w:cstheme="minorHAnsi"/>
          <w:sz w:val="24"/>
          <w:szCs w:val="24"/>
        </w:rPr>
        <w:t xml:space="preserve"> TapeStation, Bioanalyzer, BluePippin) in some cases can be used to quantitate purity and concentration of DNA (read vendor instructions) and can be used in lieu of methods described in 2.2.5.b and 2.2.5.c. In addition, this type of analysis can also provide qualitative analysis on DNA sample integrity (DNA quality). Conventional gel electrophoresis can only be used to visually assess DNA quality and does not quantitate purity and concentration.</w:t>
      </w:r>
    </w:p>
    <w:p w14:paraId="7B9CFFB6" w14:textId="4207DAC9" w:rsidR="006F056D" w:rsidRPr="00090CC4" w:rsidRDefault="006F056D" w:rsidP="00B77465">
      <w:pPr>
        <w:numPr>
          <w:ilvl w:val="2"/>
          <w:numId w:val="12"/>
        </w:numPr>
        <w:spacing w:after="0" w:line="240" w:lineRule="auto"/>
        <w:ind w:left="1224"/>
        <w:rPr>
          <w:rFonts w:cstheme="minorHAnsi"/>
          <w:bCs/>
          <w:sz w:val="24"/>
          <w:szCs w:val="24"/>
        </w:rPr>
      </w:pPr>
      <w:r w:rsidRPr="00090CC4">
        <w:rPr>
          <w:rFonts w:cstheme="minorHAnsi"/>
          <w:bCs/>
          <w:sz w:val="24"/>
          <w:szCs w:val="24"/>
        </w:rPr>
        <w:t>RNA Quality Check</w:t>
      </w:r>
      <w:r w:rsidR="00992FF4" w:rsidRPr="00090CC4">
        <w:rPr>
          <w:rFonts w:cstheme="minorHAnsi"/>
          <w:bCs/>
          <w:sz w:val="24"/>
          <w:szCs w:val="24"/>
        </w:rPr>
        <w:t>:</w:t>
      </w:r>
    </w:p>
    <w:p w14:paraId="510AD863" w14:textId="77777777" w:rsidR="006F056D" w:rsidRPr="00090CC4" w:rsidRDefault="006F056D" w:rsidP="00B77465">
      <w:pPr>
        <w:pStyle w:val="ListParagraph"/>
        <w:numPr>
          <w:ilvl w:val="3"/>
          <w:numId w:val="12"/>
        </w:numPr>
        <w:spacing w:after="0" w:line="240" w:lineRule="auto"/>
        <w:ind w:left="1350"/>
        <w:rPr>
          <w:rFonts w:cstheme="minorHAnsi"/>
          <w:sz w:val="24"/>
          <w:szCs w:val="24"/>
        </w:rPr>
      </w:pPr>
      <w:r w:rsidRPr="00090CC4">
        <w:rPr>
          <w:rFonts w:cstheme="minorHAnsi"/>
          <w:sz w:val="24"/>
          <w:szCs w:val="24"/>
        </w:rPr>
        <w:t xml:space="preserve">Purity and concentration of the isolated RNA should be quantitated after extraction to ensure successful extraction, as well as prior to use if not used immediately. </w:t>
      </w:r>
    </w:p>
    <w:p w14:paraId="281C1DC4" w14:textId="77777777" w:rsidR="006F056D" w:rsidRPr="00090CC4" w:rsidRDefault="006F056D" w:rsidP="00B77465">
      <w:pPr>
        <w:pStyle w:val="ListParagraph"/>
        <w:numPr>
          <w:ilvl w:val="3"/>
          <w:numId w:val="12"/>
        </w:numPr>
        <w:spacing w:after="0" w:line="240" w:lineRule="auto"/>
        <w:ind w:left="1350"/>
        <w:rPr>
          <w:rFonts w:cstheme="minorHAnsi"/>
          <w:sz w:val="24"/>
          <w:szCs w:val="24"/>
        </w:rPr>
      </w:pPr>
      <w:r w:rsidRPr="00090CC4">
        <w:rPr>
          <w:rFonts w:cstheme="minorHAnsi"/>
          <w:sz w:val="24"/>
          <w:szCs w:val="24"/>
        </w:rPr>
        <w:t>RNA Purity: see 2.2.5.b, which also applies to RNA, except a ratio of ~2.0 is generally accepted as “pure” for RNA.</w:t>
      </w:r>
    </w:p>
    <w:p w14:paraId="59AEACD6" w14:textId="77777777" w:rsidR="006F056D" w:rsidRPr="00090CC4" w:rsidRDefault="006F056D" w:rsidP="00B77465">
      <w:pPr>
        <w:pStyle w:val="ListParagraph"/>
        <w:numPr>
          <w:ilvl w:val="3"/>
          <w:numId w:val="12"/>
        </w:numPr>
        <w:spacing w:after="0" w:line="240" w:lineRule="auto"/>
        <w:ind w:left="1350"/>
        <w:rPr>
          <w:rFonts w:cstheme="minorHAnsi"/>
          <w:sz w:val="24"/>
          <w:szCs w:val="24"/>
        </w:rPr>
      </w:pPr>
      <w:r w:rsidRPr="00090CC4">
        <w:rPr>
          <w:rFonts w:cstheme="minorHAnsi"/>
          <w:sz w:val="24"/>
          <w:szCs w:val="24"/>
        </w:rPr>
        <w:t>RNA Concentration: Fluorescent measurements using a particular fluorescent dye and fluorimeter should be used to measure RNA. Fluorescent dyes that are selective for RNA can be used, such as Ribogreen.</w:t>
      </w:r>
    </w:p>
    <w:p w14:paraId="1D297645" w14:textId="77777777" w:rsidR="006F056D" w:rsidRPr="00090CC4" w:rsidRDefault="006F056D" w:rsidP="00B77465">
      <w:pPr>
        <w:pStyle w:val="ListParagraph"/>
        <w:numPr>
          <w:ilvl w:val="4"/>
          <w:numId w:val="12"/>
        </w:numPr>
        <w:spacing w:after="0" w:line="240" w:lineRule="auto"/>
        <w:ind w:left="1908"/>
        <w:contextualSpacing w:val="0"/>
        <w:rPr>
          <w:rFonts w:cstheme="minorHAnsi"/>
          <w:sz w:val="24"/>
          <w:szCs w:val="24"/>
        </w:rPr>
      </w:pPr>
      <w:r w:rsidRPr="00090CC4">
        <w:rPr>
          <w:rFonts w:cstheme="minorHAnsi"/>
          <w:sz w:val="24"/>
          <w:szCs w:val="24"/>
        </w:rPr>
        <w:t>Expected Results: Concentration of preparation should be &gt; 500 ng in a 20-100 µL sample.</w:t>
      </w:r>
    </w:p>
    <w:p w14:paraId="5AAAF774" w14:textId="77777777" w:rsidR="006F056D" w:rsidRPr="00090CC4" w:rsidRDefault="006F056D" w:rsidP="00B77465">
      <w:pPr>
        <w:pStyle w:val="ListParagraph"/>
        <w:numPr>
          <w:ilvl w:val="4"/>
          <w:numId w:val="12"/>
        </w:numPr>
        <w:spacing w:after="0" w:line="240" w:lineRule="auto"/>
        <w:ind w:left="1908"/>
        <w:contextualSpacing w:val="0"/>
        <w:rPr>
          <w:rFonts w:cstheme="minorHAnsi"/>
          <w:bCs/>
          <w:sz w:val="24"/>
          <w:szCs w:val="24"/>
        </w:rPr>
      </w:pPr>
      <w:r w:rsidRPr="00090CC4">
        <w:rPr>
          <w:rFonts w:cstheme="minorHAnsi"/>
          <w:bCs/>
          <w:sz w:val="24"/>
          <w:szCs w:val="24"/>
        </w:rPr>
        <w:t>Be aware that if any contaminating RNA or other reagents are present that also generates a signal at the same emission/excitation wavelengths of the fluorometric assay, this will result in a false positive reading.</w:t>
      </w:r>
    </w:p>
    <w:p w14:paraId="6BE3F46E" w14:textId="29079079" w:rsidR="006F056D" w:rsidRPr="00090CC4" w:rsidRDefault="006F056D" w:rsidP="00B77465">
      <w:pPr>
        <w:pStyle w:val="ListParagraph"/>
        <w:numPr>
          <w:ilvl w:val="3"/>
          <w:numId w:val="12"/>
        </w:numPr>
        <w:spacing w:after="0" w:line="240" w:lineRule="auto"/>
        <w:ind w:left="1350"/>
        <w:rPr>
          <w:rFonts w:cstheme="minorHAnsi"/>
          <w:sz w:val="24"/>
          <w:szCs w:val="24"/>
        </w:rPr>
      </w:pPr>
      <w:r w:rsidRPr="00090CC4">
        <w:rPr>
          <w:rFonts w:cstheme="minorHAnsi"/>
          <w:sz w:val="24"/>
          <w:szCs w:val="24"/>
        </w:rPr>
        <w:t>Alternative Methods for quantitating purity, concentration, and assessing RNA Quality: Electrophoretic instruments designed for NGS (</w:t>
      </w:r>
      <w:r w:rsidR="00DC23B0" w:rsidRPr="00090CC4">
        <w:rPr>
          <w:rFonts w:cstheme="minorHAnsi"/>
          <w:sz w:val="24"/>
          <w:szCs w:val="24"/>
        </w:rPr>
        <w:t>e.g.,</w:t>
      </w:r>
      <w:r w:rsidRPr="00090CC4">
        <w:rPr>
          <w:rFonts w:cstheme="minorHAnsi"/>
          <w:sz w:val="24"/>
          <w:szCs w:val="24"/>
        </w:rPr>
        <w:t xml:space="preserve"> TapeStation, Bioanalyzer, BluePippin) in some cases can be used to quantitate purity and concentration of RNA (read vendor instructions) can be used in lieu of methods described in 2.2.6.b and 2.2.6.c. Conventional gel electrophoresis can only be used to visually assess RNA quality and not quantitate purity and concentration.</w:t>
      </w:r>
    </w:p>
    <w:p w14:paraId="23251141" w14:textId="3D428912" w:rsidR="006F056D" w:rsidRPr="00090CC4" w:rsidRDefault="006F056D" w:rsidP="00B77465">
      <w:pPr>
        <w:pStyle w:val="ListParagraph"/>
        <w:numPr>
          <w:ilvl w:val="1"/>
          <w:numId w:val="9"/>
        </w:numPr>
        <w:spacing w:after="0" w:line="240" w:lineRule="auto"/>
        <w:contextualSpacing w:val="0"/>
        <w:rPr>
          <w:rFonts w:cstheme="minorHAnsi"/>
          <w:b/>
          <w:sz w:val="24"/>
          <w:szCs w:val="24"/>
        </w:rPr>
      </w:pPr>
      <w:r w:rsidRPr="00090CC4">
        <w:rPr>
          <w:rFonts w:cstheme="minorHAnsi"/>
          <w:b/>
          <w:sz w:val="24"/>
          <w:szCs w:val="24"/>
        </w:rPr>
        <w:t>Fragmentation and Size Selection</w:t>
      </w:r>
      <w:r w:rsidR="00992FF4" w:rsidRPr="00090CC4">
        <w:rPr>
          <w:rFonts w:cstheme="minorHAnsi"/>
          <w:b/>
          <w:sz w:val="24"/>
          <w:szCs w:val="24"/>
        </w:rPr>
        <w:t>:</w:t>
      </w:r>
    </w:p>
    <w:p w14:paraId="6013B6AA" w14:textId="75588DED" w:rsidR="006F056D" w:rsidRPr="00090CC4" w:rsidRDefault="006F056D" w:rsidP="00B77465">
      <w:pPr>
        <w:numPr>
          <w:ilvl w:val="2"/>
          <w:numId w:val="13"/>
        </w:numPr>
        <w:spacing w:after="0" w:line="240" w:lineRule="auto"/>
        <w:ind w:left="1224"/>
        <w:rPr>
          <w:rFonts w:cstheme="minorHAnsi"/>
          <w:bCs/>
          <w:sz w:val="24"/>
          <w:szCs w:val="24"/>
        </w:rPr>
      </w:pPr>
      <w:r w:rsidRPr="00090CC4">
        <w:rPr>
          <w:rFonts w:cstheme="minorHAnsi"/>
          <w:bCs/>
          <w:sz w:val="24"/>
          <w:szCs w:val="24"/>
        </w:rPr>
        <w:t>The fragmentation process shears the gDNA using one of three general techniques, depending on the downstream application: mechanical (</w:t>
      </w:r>
      <w:r w:rsidR="00DC23B0" w:rsidRPr="00090CC4">
        <w:rPr>
          <w:rFonts w:cstheme="minorHAnsi"/>
          <w:bCs/>
          <w:sz w:val="24"/>
          <w:szCs w:val="24"/>
        </w:rPr>
        <w:t>e.g.,</w:t>
      </w:r>
      <w:r w:rsidRPr="00090CC4">
        <w:rPr>
          <w:rFonts w:cstheme="minorHAnsi"/>
          <w:bCs/>
          <w:sz w:val="24"/>
          <w:szCs w:val="24"/>
        </w:rPr>
        <w:t xml:space="preserve"> Covaris), nebulization, or enzymatic (</w:t>
      </w:r>
      <w:r w:rsidR="00DC23B0" w:rsidRPr="00090CC4">
        <w:rPr>
          <w:rFonts w:cstheme="minorHAnsi"/>
          <w:bCs/>
          <w:sz w:val="24"/>
          <w:szCs w:val="24"/>
        </w:rPr>
        <w:t>e.g.,</w:t>
      </w:r>
      <w:r w:rsidRPr="00090CC4">
        <w:rPr>
          <w:rFonts w:cstheme="minorHAnsi"/>
          <w:bCs/>
          <w:sz w:val="24"/>
          <w:szCs w:val="24"/>
        </w:rPr>
        <w:t xml:space="preserve"> NEB Fragmentase, tagmentation). </w:t>
      </w:r>
    </w:p>
    <w:p w14:paraId="520CAFA6" w14:textId="77777777" w:rsidR="00A979E2" w:rsidRDefault="00A979E2" w:rsidP="00B77465">
      <w:pPr>
        <w:spacing w:after="160" w:line="259" w:lineRule="auto"/>
        <w:rPr>
          <w:rFonts w:cstheme="minorHAnsi"/>
          <w:b/>
          <w:sz w:val="24"/>
          <w:szCs w:val="24"/>
        </w:rPr>
      </w:pPr>
      <w:r>
        <w:rPr>
          <w:rFonts w:cstheme="minorHAnsi"/>
          <w:b/>
          <w:sz w:val="24"/>
          <w:szCs w:val="24"/>
        </w:rPr>
        <w:br w:type="page"/>
      </w:r>
    </w:p>
    <w:p w14:paraId="6F537F9B" w14:textId="4543B893" w:rsidR="006F056D" w:rsidRPr="00090CC4" w:rsidRDefault="006F056D" w:rsidP="00B77465">
      <w:pPr>
        <w:pStyle w:val="ListParagraph"/>
        <w:numPr>
          <w:ilvl w:val="1"/>
          <w:numId w:val="9"/>
        </w:numPr>
        <w:spacing w:after="0" w:line="240" w:lineRule="auto"/>
        <w:contextualSpacing w:val="0"/>
        <w:rPr>
          <w:rFonts w:cstheme="minorHAnsi"/>
          <w:b/>
          <w:sz w:val="24"/>
          <w:szCs w:val="24"/>
        </w:rPr>
      </w:pPr>
      <w:r w:rsidRPr="00090CC4">
        <w:rPr>
          <w:rFonts w:cstheme="minorHAnsi"/>
          <w:b/>
          <w:sz w:val="24"/>
          <w:szCs w:val="24"/>
        </w:rPr>
        <w:lastRenderedPageBreak/>
        <w:t>Fragmentation and Size Selection QC Checkpoint</w:t>
      </w:r>
      <w:r w:rsidR="00992FF4" w:rsidRPr="00090CC4">
        <w:rPr>
          <w:rFonts w:cstheme="minorHAnsi"/>
          <w:b/>
          <w:sz w:val="24"/>
          <w:szCs w:val="24"/>
        </w:rPr>
        <w:t>:</w:t>
      </w:r>
    </w:p>
    <w:p w14:paraId="71535411" w14:textId="77777777" w:rsidR="006F056D" w:rsidRPr="00090CC4" w:rsidRDefault="006F056D" w:rsidP="00B77465">
      <w:pPr>
        <w:numPr>
          <w:ilvl w:val="2"/>
          <w:numId w:val="14"/>
        </w:numPr>
        <w:spacing w:after="0" w:line="240" w:lineRule="auto"/>
        <w:ind w:left="1224"/>
        <w:rPr>
          <w:rFonts w:cstheme="minorHAnsi"/>
          <w:bCs/>
          <w:sz w:val="24"/>
          <w:szCs w:val="24"/>
        </w:rPr>
      </w:pPr>
      <w:r w:rsidRPr="00090CC4">
        <w:rPr>
          <w:rFonts w:cstheme="minorHAnsi"/>
          <w:bCs/>
          <w:sz w:val="24"/>
          <w:szCs w:val="24"/>
        </w:rPr>
        <w:t>The success of fragmentation and size selection is best confirmed using an electrophoretic instrument designed for NGS. These instruments provide gel images and electropherograms, which are important qualitative and quantitative measurements of median fragment size and distributions of fragments sizes within the sample. The results provide important information on quality of fragmentation, especially during method development or processing novel and unknown sample types. Conventional gel electrophoresis can be used to qualitatively assess fragmentation and size selection, but does not provide comprehensive and quantitative analysis, such as electropherograms.</w:t>
      </w:r>
    </w:p>
    <w:p w14:paraId="252BAF71" w14:textId="77777777" w:rsidR="006F056D" w:rsidRPr="00090CC4" w:rsidRDefault="006F056D" w:rsidP="00B77465">
      <w:pPr>
        <w:pStyle w:val="ListParagraph"/>
        <w:numPr>
          <w:ilvl w:val="3"/>
          <w:numId w:val="15"/>
        </w:numPr>
        <w:spacing w:after="0" w:line="240" w:lineRule="auto"/>
        <w:ind w:left="1350"/>
        <w:rPr>
          <w:rFonts w:cstheme="minorHAnsi"/>
          <w:sz w:val="24"/>
          <w:szCs w:val="24"/>
        </w:rPr>
      </w:pPr>
      <w:r w:rsidRPr="00090CC4">
        <w:rPr>
          <w:rFonts w:cstheme="minorHAnsi"/>
          <w:sz w:val="24"/>
          <w:szCs w:val="24"/>
        </w:rPr>
        <w:t>Expected Results: The electropherogram/gel band should reveal a single peak/band of desired size with no tailing and excessive broadening per laboratory specifications.</w:t>
      </w:r>
    </w:p>
    <w:p w14:paraId="17F64EB5" w14:textId="77777777" w:rsidR="006F056D" w:rsidRPr="00090CC4" w:rsidRDefault="006F056D" w:rsidP="00B77465">
      <w:pPr>
        <w:pStyle w:val="ListParagraph"/>
        <w:numPr>
          <w:ilvl w:val="3"/>
          <w:numId w:val="15"/>
        </w:numPr>
        <w:spacing w:after="0" w:line="240" w:lineRule="auto"/>
        <w:ind w:left="1350"/>
        <w:rPr>
          <w:rFonts w:cstheme="minorHAnsi"/>
          <w:sz w:val="24"/>
          <w:szCs w:val="24"/>
        </w:rPr>
      </w:pPr>
      <w:r w:rsidRPr="00090CC4">
        <w:rPr>
          <w:rFonts w:cstheme="minorHAnsi"/>
          <w:sz w:val="24"/>
          <w:szCs w:val="24"/>
        </w:rPr>
        <w:t xml:space="preserve">Several documents from the electrophoretic instrument vendor manual give examples on good and poorly fragmented samples and provide insight into the root cause of inconsistencies and errors. </w:t>
      </w:r>
    </w:p>
    <w:p w14:paraId="5F362242" w14:textId="3C21AB05" w:rsidR="006F056D" w:rsidRPr="00090CC4" w:rsidRDefault="006F056D" w:rsidP="00B77465">
      <w:pPr>
        <w:pStyle w:val="ListParagraph"/>
        <w:numPr>
          <w:ilvl w:val="1"/>
          <w:numId w:val="9"/>
        </w:numPr>
        <w:spacing w:after="0" w:line="240" w:lineRule="auto"/>
        <w:contextualSpacing w:val="0"/>
        <w:rPr>
          <w:rFonts w:cstheme="minorHAnsi"/>
          <w:b/>
          <w:sz w:val="24"/>
          <w:szCs w:val="24"/>
        </w:rPr>
      </w:pPr>
      <w:r w:rsidRPr="00090CC4">
        <w:rPr>
          <w:rFonts w:cstheme="minorHAnsi"/>
          <w:b/>
          <w:sz w:val="24"/>
          <w:szCs w:val="24"/>
        </w:rPr>
        <w:t>Synthesis of cDNA from mRNA in a total RNA preparation</w:t>
      </w:r>
      <w:r w:rsidR="00992FF4" w:rsidRPr="00090CC4">
        <w:rPr>
          <w:rFonts w:cstheme="minorHAnsi"/>
          <w:b/>
          <w:sz w:val="24"/>
          <w:szCs w:val="24"/>
        </w:rPr>
        <w:t>:</w:t>
      </w:r>
    </w:p>
    <w:p w14:paraId="3ACD3A22" w14:textId="77777777" w:rsidR="006F056D" w:rsidRPr="00090CC4" w:rsidRDefault="006F056D" w:rsidP="00B77465">
      <w:pPr>
        <w:numPr>
          <w:ilvl w:val="2"/>
          <w:numId w:val="16"/>
        </w:numPr>
        <w:spacing w:after="0" w:line="240" w:lineRule="auto"/>
        <w:ind w:left="1224"/>
        <w:rPr>
          <w:rFonts w:cstheme="minorHAnsi"/>
          <w:bCs/>
          <w:sz w:val="24"/>
          <w:szCs w:val="24"/>
        </w:rPr>
      </w:pPr>
      <w:r w:rsidRPr="00090CC4">
        <w:rPr>
          <w:rFonts w:cstheme="minorHAnsi"/>
          <w:bCs/>
          <w:sz w:val="24"/>
          <w:szCs w:val="24"/>
        </w:rPr>
        <w:t xml:space="preserve">After extraction, target RNA may be enriched from total RNA, fragmented (optional), and then converted to complementary DNA (cDNA) before library preparation. This is to increase stability of the sample as well as allow amplification. RNA to cDNA conversion is done using reverse transcriptase PCR. </w:t>
      </w:r>
    </w:p>
    <w:p w14:paraId="6E3C035D" w14:textId="513DDD01" w:rsidR="006F056D" w:rsidRPr="00090CC4" w:rsidRDefault="006F056D" w:rsidP="00B77465">
      <w:pPr>
        <w:pStyle w:val="ListParagraph"/>
        <w:numPr>
          <w:ilvl w:val="1"/>
          <w:numId w:val="9"/>
        </w:numPr>
        <w:spacing w:after="0" w:line="240" w:lineRule="auto"/>
        <w:contextualSpacing w:val="0"/>
        <w:rPr>
          <w:rFonts w:cstheme="minorHAnsi"/>
          <w:b/>
          <w:sz w:val="24"/>
          <w:szCs w:val="24"/>
        </w:rPr>
      </w:pPr>
      <w:r w:rsidRPr="00090CC4">
        <w:rPr>
          <w:rFonts w:cstheme="minorHAnsi"/>
          <w:b/>
          <w:sz w:val="24"/>
          <w:szCs w:val="24"/>
        </w:rPr>
        <w:t>cDNA Synthesis QC Checkpoint</w:t>
      </w:r>
      <w:r w:rsidR="009A52E7" w:rsidRPr="00090CC4">
        <w:rPr>
          <w:rFonts w:cstheme="minorHAnsi"/>
          <w:b/>
          <w:sz w:val="24"/>
          <w:szCs w:val="24"/>
        </w:rPr>
        <w:t>:</w:t>
      </w:r>
    </w:p>
    <w:p w14:paraId="0F59FEE6" w14:textId="77777777" w:rsidR="006F056D" w:rsidRPr="00090CC4" w:rsidRDefault="006F056D" w:rsidP="00B77465">
      <w:pPr>
        <w:numPr>
          <w:ilvl w:val="2"/>
          <w:numId w:val="17"/>
        </w:numPr>
        <w:spacing w:after="0" w:line="240" w:lineRule="auto"/>
        <w:ind w:left="1224"/>
        <w:rPr>
          <w:rFonts w:cstheme="minorHAnsi"/>
          <w:bCs/>
          <w:sz w:val="24"/>
          <w:szCs w:val="24"/>
        </w:rPr>
      </w:pPr>
      <w:r w:rsidRPr="00090CC4">
        <w:rPr>
          <w:rFonts w:cstheme="minorHAnsi"/>
          <w:bCs/>
          <w:sz w:val="24"/>
          <w:szCs w:val="24"/>
        </w:rPr>
        <w:t>Refer to 2.2 for quantitation of purity and concentration.</w:t>
      </w:r>
    </w:p>
    <w:p w14:paraId="61CA5ED9" w14:textId="75BC9C5E" w:rsidR="00C458F2" w:rsidRPr="00A979E2" w:rsidRDefault="006F056D" w:rsidP="00B77465">
      <w:pPr>
        <w:pStyle w:val="ListParagraph"/>
        <w:numPr>
          <w:ilvl w:val="4"/>
          <w:numId w:val="12"/>
        </w:numPr>
        <w:spacing w:after="0" w:line="240" w:lineRule="auto"/>
        <w:ind w:left="1908"/>
        <w:contextualSpacing w:val="0"/>
        <w:rPr>
          <w:rFonts w:cstheme="minorHAnsi"/>
          <w:bCs/>
          <w:sz w:val="24"/>
          <w:szCs w:val="24"/>
        </w:rPr>
      </w:pPr>
      <w:r w:rsidRPr="00090CC4">
        <w:rPr>
          <w:rFonts w:cstheme="minorHAnsi"/>
          <w:bCs/>
          <w:sz w:val="24"/>
          <w:szCs w:val="24"/>
        </w:rPr>
        <w:t>Library Preparation</w:t>
      </w:r>
      <w:r w:rsidR="009A52E7" w:rsidRPr="00090CC4">
        <w:rPr>
          <w:rFonts w:cstheme="minorHAnsi"/>
          <w:bCs/>
          <w:sz w:val="24"/>
          <w:szCs w:val="24"/>
        </w:rPr>
        <w:t>:</w:t>
      </w:r>
    </w:p>
    <w:p w14:paraId="7CBE0632" w14:textId="77777777" w:rsidR="006F056D" w:rsidRPr="00090CC4" w:rsidRDefault="006F056D" w:rsidP="00B77465">
      <w:pPr>
        <w:numPr>
          <w:ilvl w:val="2"/>
          <w:numId w:val="18"/>
        </w:numPr>
        <w:tabs>
          <w:tab w:val="left" w:pos="450"/>
        </w:tabs>
        <w:spacing w:after="0" w:line="240" w:lineRule="auto"/>
        <w:ind w:left="2376"/>
        <w:rPr>
          <w:rFonts w:cstheme="minorHAnsi"/>
          <w:sz w:val="24"/>
          <w:szCs w:val="24"/>
        </w:rPr>
      </w:pPr>
      <w:r w:rsidRPr="00090CC4">
        <w:rPr>
          <w:rFonts w:cstheme="minorHAnsi"/>
          <w:sz w:val="24"/>
          <w:szCs w:val="24"/>
        </w:rPr>
        <w:t xml:space="preserve">There are many library preparation kits available specific to the kind of sequencing and downstream application. Generally, the fragments of nucleic acid become fused with adaptors recognized by the sequencing chip followed by PCR amplification. </w:t>
      </w:r>
    </w:p>
    <w:p w14:paraId="21009A89" w14:textId="33C566D1" w:rsidR="006F056D" w:rsidRPr="00090CC4" w:rsidRDefault="006F056D" w:rsidP="00B77465">
      <w:pPr>
        <w:pStyle w:val="ListParagraph"/>
        <w:numPr>
          <w:ilvl w:val="4"/>
          <w:numId w:val="12"/>
        </w:numPr>
        <w:spacing w:after="0" w:line="240" w:lineRule="auto"/>
        <w:ind w:left="1908"/>
        <w:contextualSpacing w:val="0"/>
        <w:rPr>
          <w:rFonts w:cstheme="minorHAnsi"/>
          <w:bCs/>
          <w:sz w:val="24"/>
          <w:szCs w:val="24"/>
        </w:rPr>
      </w:pPr>
      <w:r w:rsidRPr="00090CC4">
        <w:rPr>
          <w:rFonts w:cstheme="minorHAnsi"/>
          <w:bCs/>
          <w:sz w:val="24"/>
          <w:szCs w:val="24"/>
        </w:rPr>
        <w:t>Library Preparation QC Checkpoint</w:t>
      </w:r>
      <w:r w:rsidR="009A52E7" w:rsidRPr="00090CC4">
        <w:rPr>
          <w:rFonts w:cstheme="minorHAnsi"/>
          <w:bCs/>
          <w:sz w:val="24"/>
          <w:szCs w:val="24"/>
        </w:rPr>
        <w:t>:</w:t>
      </w:r>
    </w:p>
    <w:p w14:paraId="2F3542AD" w14:textId="1FAD08C6" w:rsidR="006F056D" w:rsidRPr="00090CC4" w:rsidRDefault="006F056D" w:rsidP="00B77465">
      <w:pPr>
        <w:numPr>
          <w:ilvl w:val="2"/>
          <w:numId w:val="18"/>
        </w:numPr>
        <w:tabs>
          <w:tab w:val="left" w:pos="450"/>
        </w:tabs>
        <w:spacing w:after="0" w:line="240" w:lineRule="auto"/>
        <w:ind w:left="2376"/>
        <w:rPr>
          <w:rFonts w:cstheme="minorHAnsi"/>
          <w:sz w:val="24"/>
          <w:szCs w:val="24"/>
        </w:rPr>
      </w:pPr>
      <w:r w:rsidRPr="00090CC4">
        <w:rPr>
          <w:rFonts w:cstheme="minorHAnsi"/>
          <w:sz w:val="24"/>
          <w:szCs w:val="24"/>
        </w:rPr>
        <w:t>It is recommended that libraries are quantified prior to pooling and loading into the sequencer to ensure optimum cluster densities across every lane of every flow cell are achieved. Libraries can be quantified using a fluorometric measurement or by real-time PCR (e.g., KAPA qPCR). In addition, it is recommended to verify the size of</w:t>
      </w:r>
      <w:r w:rsidR="00B77465">
        <w:rPr>
          <w:rFonts w:cstheme="minorHAnsi"/>
          <w:sz w:val="24"/>
          <w:szCs w:val="24"/>
        </w:rPr>
        <w:t xml:space="preserve"> </w:t>
      </w:r>
      <w:r w:rsidRPr="00090CC4">
        <w:rPr>
          <w:rFonts w:cstheme="minorHAnsi"/>
          <w:sz w:val="24"/>
          <w:szCs w:val="24"/>
        </w:rPr>
        <w:t xml:space="preserve">fragments and check for template size distribution through electrophoretic instrument analysis optimized for NGS. Conventional gel electrophoresis can also be used as a qualitative visualization of fragment size, distribution, and purity. </w:t>
      </w:r>
    </w:p>
    <w:p w14:paraId="294BB693" w14:textId="77777777" w:rsidR="006F056D" w:rsidRPr="00090CC4" w:rsidRDefault="006F056D" w:rsidP="00B77465">
      <w:pPr>
        <w:numPr>
          <w:ilvl w:val="2"/>
          <w:numId w:val="18"/>
        </w:numPr>
        <w:tabs>
          <w:tab w:val="left" w:pos="450"/>
        </w:tabs>
        <w:spacing w:after="0" w:line="240" w:lineRule="auto"/>
        <w:ind w:left="2376"/>
        <w:rPr>
          <w:rFonts w:cstheme="minorHAnsi"/>
          <w:sz w:val="24"/>
          <w:szCs w:val="24"/>
        </w:rPr>
      </w:pPr>
      <w:r w:rsidRPr="00090CC4">
        <w:rPr>
          <w:rFonts w:cstheme="minorHAnsi"/>
          <w:sz w:val="24"/>
          <w:szCs w:val="24"/>
        </w:rPr>
        <w:t xml:space="preserve">Expected Results: Library concentration &gt; 1mM. The electropherogram/gel band analysis should reveal a single peak/band of desired size with no tailing and excessive broadening per laboratory specifications. </w:t>
      </w:r>
    </w:p>
    <w:p w14:paraId="31CEF5BA" w14:textId="77777777" w:rsidR="00A979E2" w:rsidRDefault="00A979E2" w:rsidP="00B77465">
      <w:pPr>
        <w:spacing w:after="160" w:line="259" w:lineRule="auto"/>
        <w:rPr>
          <w:rFonts w:cstheme="minorHAnsi"/>
          <w:b/>
          <w:sz w:val="24"/>
          <w:szCs w:val="24"/>
        </w:rPr>
      </w:pPr>
      <w:r>
        <w:rPr>
          <w:rFonts w:cstheme="minorHAnsi"/>
          <w:b/>
          <w:sz w:val="24"/>
          <w:szCs w:val="24"/>
        </w:rPr>
        <w:br w:type="page"/>
      </w:r>
    </w:p>
    <w:p w14:paraId="45DE460C" w14:textId="67869A01" w:rsidR="009A52E7" w:rsidRPr="00A979E2" w:rsidRDefault="006F056D" w:rsidP="00B77465">
      <w:pPr>
        <w:pStyle w:val="Heading1"/>
        <w:spacing w:before="0"/>
        <w:ind w:left="648"/>
        <w:rPr>
          <w:rFonts w:asciiTheme="minorHAnsi" w:hAnsiTheme="minorHAnsi" w:cstheme="minorHAnsi"/>
          <w:b/>
          <w:bCs/>
        </w:rPr>
      </w:pPr>
      <w:r w:rsidRPr="00A979E2">
        <w:rPr>
          <w:rFonts w:asciiTheme="minorHAnsi" w:hAnsiTheme="minorHAnsi" w:cstheme="minorHAnsi"/>
          <w:b/>
          <w:bCs/>
        </w:rPr>
        <w:lastRenderedPageBreak/>
        <w:t>Related Documents</w:t>
      </w:r>
    </w:p>
    <w:p w14:paraId="7C381AF4" w14:textId="301C03E5" w:rsidR="006F056D" w:rsidRPr="00F879A5" w:rsidRDefault="006F056D" w:rsidP="00B77465">
      <w:pPr>
        <w:pStyle w:val="ListParagraph"/>
        <w:spacing w:after="0"/>
        <w:ind w:left="648"/>
        <w:rPr>
          <w:rFonts w:cstheme="minorHAnsi"/>
          <w:b/>
          <w:color w:val="0071BC"/>
          <w:sz w:val="24"/>
          <w:szCs w:val="24"/>
        </w:rPr>
      </w:pPr>
      <w:r w:rsidRPr="00F879A5">
        <w:rPr>
          <w:rFonts w:eastAsia="Calibri" w:cstheme="minorHAnsi"/>
          <w:i/>
          <w:iCs/>
          <w:color w:val="0071BC"/>
          <w:sz w:val="24"/>
          <w:szCs w:val="24"/>
        </w:rPr>
        <w:t xml:space="preserve">NOTE: </w:t>
      </w:r>
      <w:r w:rsidRPr="00F879A5">
        <w:rPr>
          <w:rFonts w:eastAsia="Calibri" w:cstheme="minorHAnsi"/>
          <w:color w:val="0071BC"/>
          <w:sz w:val="24"/>
          <w:szCs w:val="24"/>
        </w:rPr>
        <w:t xml:space="preserve">Always check the </w:t>
      </w:r>
      <w:r w:rsidR="00B409CC" w:rsidRPr="00F879A5">
        <w:rPr>
          <w:rFonts w:eastAsia="Calibri" w:cstheme="minorHAnsi"/>
          <w:color w:val="0071BC"/>
          <w:sz w:val="24"/>
          <w:szCs w:val="24"/>
        </w:rPr>
        <w:t xml:space="preserve">manufacturer’s </w:t>
      </w:r>
      <w:r w:rsidRPr="00F879A5">
        <w:rPr>
          <w:rFonts w:eastAsia="Calibri" w:cstheme="minorHAnsi"/>
          <w:color w:val="0071BC"/>
          <w:sz w:val="24"/>
          <w:szCs w:val="24"/>
        </w:rPr>
        <w:t>website for updates and recent versions of guides.</w:t>
      </w:r>
    </w:p>
    <w:tbl>
      <w:tblPr>
        <w:tblW w:w="4375"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lated Documents"/>
        <w:tblDescription w:val="Table displaying document title, document number with instructional language for  laboratories to fill-in."/>
      </w:tblPr>
      <w:tblGrid>
        <w:gridCol w:w="5557"/>
        <w:gridCol w:w="3254"/>
      </w:tblGrid>
      <w:tr w:rsidR="006F056D" w:rsidRPr="00090CC4" w14:paraId="18EDAB3E" w14:textId="77777777" w:rsidTr="021C06B5">
        <w:trPr>
          <w:tblHeader/>
        </w:trPr>
        <w:tc>
          <w:tcPr>
            <w:tcW w:w="5708" w:type="dxa"/>
            <w:shd w:val="clear" w:color="auto" w:fill="DEEAF6" w:themeFill="accent1" w:themeFillTint="33"/>
          </w:tcPr>
          <w:p w14:paraId="10B1D620" w14:textId="77777777" w:rsidR="006F056D" w:rsidRPr="00090CC4" w:rsidRDefault="006F056D" w:rsidP="00B77465">
            <w:pPr>
              <w:spacing w:after="0" w:line="240" w:lineRule="auto"/>
              <w:rPr>
                <w:rFonts w:eastAsia="Calibri" w:cstheme="minorHAnsi"/>
                <w:b/>
                <w:sz w:val="24"/>
                <w:szCs w:val="24"/>
              </w:rPr>
            </w:pPr>
            <w:r w:rsidRPr="00090CC4">
              <w:rPr>
                <w:rFonts w:eastAsia="Calibri" w:cstheme="minorHAnsi"/>
                <w:b/>
                <w:sz w:val="24"/>
                <w:szCs w:val="24"/>
              </w:rPr>
              <w:t>Document Title</w:t>
            </w:r>
          </w:p>
        </w:tc>
        <w:tc>
          <w:tcPr>
            <w:tcW w:w="3330" w:type="dxa"/>
            <w:shd w:val="clear" w:color="auto" w:fill="DEEAF6" w:themeFill="accent1" w:themeFillTint="33"/>
          </w:tcPr>
          <w:p w14:paraId="117036A9" w14:textId="77777777" w:rsidR="006F056D" w:rsidRPr="00090CC4" w:rsidRDefault="006F056D" w:rsidP="00B77465">
            <w:pPr>
              <w:spacing w:after="0" w:line="240" w:lineRule="auto"/>
              <w:rPr>
                <w:rFonts w:eastAsia="Calibri" w:cstheme="minorHAnsi"/>
                <w:b/>
                <w:sz w:val="24"/>
                <w:szCs w:val="24"/>
              </w:rPr>
            </w:pPr>
            <w:r w:rsidRPr="00090CC4">
              <w:rPr>
                <w:rFonts w:eastAsia="Calibri" w:cstheme="minorHAnsi"/>
                <w:b/>
                <w:sz w:val="24"/>
                <w:szCs w:val="24"/>
              </w:rPr>
              <w:t>Document No.</w:t>
            </w:r>
          </w:p>
        </w:tc>
      </w:tr>
      <w:tr w:rsidR="006F056D" w:rsidRPr="00090CC4" w14:paraId="6BC34D57" w14:textId="77777777" w:rsidTr="021C06B5">
        <w:tc>
          <w:tcPr>
            <w:tcW w:w="5708" w:type="dxa"/>
          </w:tcPr>
          <w:p w14:paraId="70CF25B0"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Agilent 2200 TapeStation Assay</w:t>
            </w:r>
          </w:p>
        </w:tc>
        <w:tc>
          <w:tcPr>
            <w:tcW w:w="3330" w:type="dxa"/>
          </w:tcPr>
          <w:p w14:paraId="55E5CBAB" w14:textId="307E3A54" w:rsidR="006F056D" w:rsidRPr="00F879A5" w:rsidRDefault="007532EE"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r w:rsidRPr="00F879A5" w:rsidDel="00150A92">
              <w:rPr>
                <w:rFonts w:eastAsia="Calibri" w:cstheme="minorHAnsi"/>
                <w:i/>
                <w:iCs/>
                <w:color w:val="0071BC"/>
                <w:sz w:val="24"/>
                <w:szCs w:val="24"/>
              </w:rPr>
              <w:t xml:space="preserve"> </w:t>
            </w:r>
          </w:p>
        </w:tc>
      </w:tr>
      <w:tr w:rsidR="006F056D" w:rsidRPr="00090CC4" w14:paraId="715A7F4C" w14:textId="77777777" w:rsidTr="021C06B5">
        <w:tc>
          <w:tcPr>
            <w:tcW w:w="5708" w:type="dxa"/>
          </w:tcPr>
          <w:p w14:paraId="3E7AE3DD"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Bioanalyzer DNA 7500 and DNA 12000 Assay</w:t>
            </w:r>
          </w:p>
        </w:tc>
        <w:tc>
          <w:tcPr>
            <w:tcW w:w="3330" w:type="dxa"/>
          </w:tcPr>
          <w:p w14:paraId="0B846670" w14:textId="1E9EC1B9" w:rsidR="006F056D" w:rsidRPr="00F879A5" w:rsidRDefault="00F422B1"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r w:rsidRPr="00F879A5" w:rsidDel="00150A92">
              <w:rPr>
                <w:rFonts w:eastAsia="Calibri" w:cstheme="minorHAnsi"/>
                <w:i/>
                <w:iCs/>
                <w:color w:val="0071BC"/>
                <w:sz w:val="24"/>
                <w:szCs w:val="24"/>
              </w:rPr>
              <w:t xml:space="preserve"> </w:t>
            </w:r>
          </w:p>
        </w:tc>
      </w:tr>
      <w:tr w:rsidR="006F056D" w:rsidRPr="00090CC4" w14:paraId="434A30E4" w14:textId="77777777" w:rsidTr="021C06B5">
        <w:tc>
          <w:tcPr>
            <w:tcW w:w="5708" w:type="dxa"/>
          </w:tcPr>
          <w:p w14:paraId="37D271AF"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BluePippin DNA Size Selection System</w:t>
            </w:r>
          </w:p>
        </w:tc>
        <w:tc>
          <w:tcPr>
            <w:tcW w:w="3330" w:type="dxa"/>
          </w:tcPr>
          <w:p w14:paraId="1F600FC8" w14:textId="70117E9B" w:rsidR="006F056D" w:rsidRPr="00F879A5" w:rsidRDefault="00F422B1"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r w:rsidRPr="00F879A5" w:rsidDel="00150A92">
              <w:rPr>
                <w:rFonts w:eastAsia="Calibri" w:cstheme="minorHAnsi"/>
                <w:i/>
                <w:iCs/>
                <w:color w:val="0071BC"/>
                <w:sz w:val="24"/>
                <w:szCs w:val="24"/>
              </w:rPr>
              <w:t xml:space="preserve"> </w:t>
            </w:r>
          </w:p>
        </w:tc>
      </w:tr>
      <w:tr w:rsidR="006F056D" w:rsidRPr="00090CC4" w14:paraId="5D9EA752" w14:textId="77777777" w:rsidTr="021C06B5">
        <w:tc>
          <w:tcPr>
            <w:tcW w:w="5708" w:type="dxa"/>
          </w:tcPr>
          <w:p w14:paraId="10426E60"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Fragment Analyzer Assay</w:t>
            </w:r>
          </w:p>
        </w:tc>
        <w:tc>
          <w:tcPr>
            <w:tcW w:w="3330" w:type="dxa"/>
          </w:tcPr>
          <w:p w14:paraId="5F9120A8" w14:textId="79669D39" w:rsidR="006F056D" w:rsidRPr="00F879A5" w:rsidRDefault="00F422B1"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r w:rsidRPr="00F879A5" w:rsidDel="00150A92">
              <w:rPr>
                <w:rFonts w:eastAsia="Calibri" w:cstheme="minorHAnsi"/>
                <w:i/>
                <w:iCs/>
                <w:color w:val="0071BC"/>
                <w:sz w:val="24"/>
                <w:szCs w:val="24"/>
              </w:rPr>
              <w:t xml:space="preserve"> </w:t>
            </w:r>
          </w:p>
        </w:tc>
      </w:tr>
      <w:tr w:rsidR="006F056D" w:rsidRPr="00090CC4" w14:paraId="2E3B972C" w14:textId="77777777" w:rsidTr="021C06B5">
        <w:tc>
          <w:tcPr>
            <w:tcW w:w="5708" w:type="dxa"/>
          </w:tcPr>
          <w:p w14:paraId="2A85C9E9" w14:textId="77777777" w:rsidR="006F056D" w:rsidRPr="00F879A5" w:rsidRDefault="006F056D" w:rsidP="00B77465">
            <w:pPr>
              <w:spacing w:after="0" w:line="240" w:lineRule="auto"/>
              <w:rPr>
                <w:rFonts w:eastAsia="Calibri" w:cstheme="minorHAnsi"/>
                <w:color w:val="6D6D6D"/>
                <w:sz w:val="24"/>
                <w:szCs w:val="24"/>
                <w:highlight w:val="yellow"/>
              </w:rPr>
            </w:pPr>
            <w:r w:rsidRPr="00F879A5">
              <w:rPr>
                <w:rFonts w:eastAsia="Calibri" w:cstheme="minorHAnsi"/>
                <w:color w:val="6D6D6D"/>
                <w:sz w:val="24"/>
                <w:szCs w:val="24"/>
              </w:rPr>
              <w:t>KAPA Library Quantification for Illumina Platforms</w:t>
            </w:r>
          </w:p>
        </w:tc>
        <w:tc>
          <w:tcPr>
            <w:tcW w:w="3330" w:type="dxa"/>
          </w:tcPr>
          <w:p w14:paraId="699FB04E" w14:textId="7C0B13D7" w:rsidR="006F056D" w:rsidRPr="00F879A5" w:rsidRDefault="00F422B1"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r w:rsidRPr="00F879A5" w:rsidDel="00150A92">
              <w:rPr>
                <w:rFonts w:eastAsia="Calibri" w:cstheme="minorHAnsi"/>
                <w:i/>
                <w:iCs/>
                <w:color w:val="0071BC"/>
                <w:sz w:val="24"/>
                <w:szCs w:val="24"/>
              </w:rPr>
              <w:t xml:space="preserve"> </w:t>
            </w:r>
          </w:p>
        </w:tc>
      </w:tr>
      <w:tr w:rsidR="006F056D" w:rsidRPr="00090CC4" w14:paraId="003E04F4" w14:textId="77777777" w:rsidTr="021C06B5">
        <w:tc>
          <w:tcPr>
            <w:tcW w:w="5708" w:type="dxa"/>
          </w:tcPr>
          <w:p w14:paraId="3F234FF9"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KAPA Library Quantification for Ion Torrent Platforms</w:t>
            </w:r>
          </w:p>
        </w:tc>
        <w:tc>
          <w:tcPr>
            <w:tcW w:w="3330" w:type="dxa"/>
          </w:tcPr>
          <w:p w14:paraId="48BFC6E4" w14:textId="28DD4872" w:rsidR="006F056D" w:rsidRPr="00F879A5" w:rsidRDefault="00F422B1"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r w:rsidRPr="00F879A5" w:rsidDel="00150A92">
              <w:rPr>
                <w:rFonts w:eastAsia="Calibri" w:cstheme="minorHAnsi"/>
                <w:i/>
                <w:iCs/>
                <w:color w:val="0071BC"/>
                <w:sz w:val="24"/>
                <w:szCs w:val="24"/>
              </w:rPr>
              <w:t xml:space="preserve"> </w:t>
            </w:r>
          </w:p>
        </w:tc>
      </w:tr>
      <w:tr w:rsidR="006F056D" w:rsidRPr="00090CC4" w14:paraId="68A610CD" w14:textId="77777777" w:rsidTr="021C06B5">
        <w:tc>
          <w:tcPr>
            <w:tcW w:w="5708" w:type="dxa"/>
          </w:tcPr>
          <w:p w14:paraId="6650BC3C"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NanoDrop Nucleic Acid Quantitation Assay</w:t>
            </w:r>
          </w:p>
        </w:tc>
        <w:tc>
          <w:tcPr>
            <w:tcW w:w="3330" w:type="dxa"/>
          </w:tcPr>
          <w:p w14:paraId="42524176" w14:textId="77777777" w:rsidR="006F056D" w:rsidRPr="00F879A5" w:rsidRDefault="006F056D"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p>
        </w:tc>
      </w:tr>
      <w:tr w:rsidR="006F056D" w:rsidRPr="00090CC4" w14:paraId="26E4F791" w14:textId="77777777" w:rsidTr="021C06B5">
        <w:tc>
          <w:tcPr>
            <w:tcW w:w="5708" w:type="dxa"/>
          </w:tcPr>
          <w:p w14:paraId="45DF6682"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Quant-it Nucleic Acid Quantitation Assay</w:t>
            </w:r>
          </w:p>
        </w:tc>
        <w:tc>
          <w:tcPr>
            <w:tcW w:w="3330" w:type="dxa"/>
          </w:tcPr>
          <w:p w14:paraId="266C617E" w14:textId="77777777" w:rsidR="006F056D" w:rsidRPr="00F879A5" w:rsidRDefault="006F056D"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p>
        </w:tc>
      </w:tr>
      <w:tr w:rsidR="006F056D" w:rsidRPr="00090CC4" w14:paraId="121B5BD5" w14:textId="77777777" w:rsidTr="021C06B5">
        <w:tc>
          <w:tcPr>
            <w:tcW w:w="5708" w:type="dxa"/>
          </w:tcPr>
          <w:p w14:paraId="38FA3285"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Qubit dsDNA Quantitation Assay</w:t>
            </w:r>
          </w:p>
        </w:tc>
        <w:tc>
          <w:tcPr>
            <w:tcW w:w="3330" w:type="dxa"/>
          </w:tcPr>
          <w:p w14:paraId="7170DEAC" w14:textId="77777777" w:rsidR="006F056D" w:rsidRPr="00F879A5" w:rsidRDefault="006F056D"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p>
        </w:tc>
      </w:tr>
      <w:tr w:rsidR="006F056D" w:rsidRPr="00090CC4" w14:paraId="692A3132" w14:textId="77777777" w:rsidTr="021C06B5">
        <w:tc>
          <w:tcPr>
            <w:tcW w:w="5708" w:type="dxa"/>
          </w:tcPr>
          <w:p w14:paraId="3E9EAADC" w14:textId="77777777"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Qubit RNA Quantitation Assay</w:t>
            </w:r>
          </w:p>
        </w:tc>
        <w:tc>
          <w:tcPr>
            <w:tcW w:w="3330" w:type="dxa"/>
          </w:tcPr>
          <w:p w14:paraId="680D8167" w14:textId="77777777" w:rsidR="006F056D" w:rsidRPr="00F879A5" w:rsidRDefault="006F056D"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p>
        </w:tc>
      </w:tr>
      <w:tr w:rsidR="006F056D" w:rsidRPr="00090CC4" w14:paraId="53CF487E" w14:textId="77777777" w:rsidTr="021C06B5">
        <w:tc>
          <w:tcPr>
            <w:tcW w:w="5708" w:type="dxa"/>
          </w:tcPr>
          <w:p w14:paraId="12AE30C5" w14:textId="21793FC9" w:rsidR="006F056D" w:rsidRPr="00F879A5" w:rsidRDefault="006F056D" w:rsidP="00B77465">
            <w:pPr>
              <w:spacing w:after="0" w:line="240" w:lineRule="auto"/>
              <w:rPr>
                <w:rFonts w:eastAsia="Calibri" w:cstheme="minorHAnsi"/>
                <w:color w:val="6D6D6D"/>
                <w:sz w:val="24"/>
                <w:szCs w:val="24"/>
              </w:rPr>
            </w:pPr>
            <w:r w:rsidRPr="00F879A5">
              <w:rPr>
                <w:rFonts w:eastAsia="Calibri" w:cstheme="minorHAnsi"/>
                <w:color w:val="6D6D6D"/>
                <w:sz w:val="24"/>
                <w:szCs w:val="24"/>
              </w:rPr>
              <w:t>Thermo</w:t>
            </w:r>
            <w:r w:rsidR="007C4A67" w:rsidRPr="00F879A5">
              <w:rPr>
                <w:rFonts w:eastAsia="Calibri" w:cstheme="minorHAnsi"/>
                <w:color w:val="6D6D6D"/>
                <w:sz w:val="24"/>
                <w:szCs w:val="24"/>
              </w:rPr>
              <w:t xml:space="preserve">Fisher </w:t>
            </w:r>
            <w:r w:rsidRPr="00F879A5">
              <w:rPr>
                <w:rFonts w:eastAsia="Calibri" w:cstheme="minorHAnsi"/>
                <w:color w:val="6D6D6D"/>
                <w:sz w:val="24"/>
                <w:szCs w:val="24"/>
              </w:rPr>
              <w:t>Scientific T009-Technical Bulletin</w:t>
            </w:r>
          </w:p>
        </w:tc>
        <w:tc>
          <w:tcPr>
            <w:tcW w:w="3330" w:type="dxa"/>
          </w:tcPr>
          <w:p w14:paraId="3F91B4BB" w14:textId="77777777" w:rsidR="006F056D" w:rsidRPr="00F879A5" w:rsidRDefault="006F056D" w:rsidP="00B77465">
            <w:pPr>
              <w:spacing w:after="0" w:line="240" w:lineRule="auto"/>
              <w:rPr>
                <w:rFonts w:eastAsia="Calibri" w:cstheme="minorHAnsi"/>
                <w:i/>
                <w:iCs/>
                <w:color w:val="0071BC"/>
                <w:sz w:val="24"/>
                <w:szCs w:val="24"/>
              </w:rPr>
            </w:pPr>
            <w:r w:rsidRPr="00F879A5">
              <w:rPr>
                <w:rFonts w:eastAsia="Calibri" w:cstheme="minorHAnsi"/>
                <w:i/>
                <w:iCs/>
                <w:color w:val="0071BC"/>
                <w:sz w:val="24"/>
                <w:szCs w:val="24"/>
              </w:rPr>
              <w:t>Specify number</w:t>
            </w:r>
          </w:p>
        </w:tc>
      </w:tr>
    </w:tbl>
    <w:p w14:paraId="2742A75D" w14:textId="4C59FF3F" w:rsidR="006F056D" w:rsidRPr="00090CC4" w:rsidRDefault="006F056D" w:rsidP="00B77465">
      <w:pPr>
        <w:pStyle w:val="ListParagraph"/>
        <w:spacing w:before="120" w:after="120"/>
        <w:ind w:left="432"/>
        <w:rPr>
          <w:rFonts w:cstheme="minorHAnsi"/>
          <w:b/>
          <w:sz w:val="24"/>
          <w:szCs w:val="24"/>
        </w:rPr>
      </w:pPr>
    </w:p>
    <w:p w14:paraId="19482345" w14:textId="348CFF94" w:rsidR="00F9657D" w:rsidRPr="00F879A5" w:rsidRDefault="00F9657D" w:rsidP="00B77465">
      <w:pPr>
        <w:pStyle w:val="Heading1"/>
        <w:spacing w:before="0"/>
        <w:ind w:left="648"/>
        <w:rPr>
          <w:rFonts w:asciiTheme="minorHAnsi" w:hAnsiTheme="minorHAnsi" w:cstheme="minorHAnsi"/>
          <w:b/>
          <w:bCs/>
        </w:rPr>
      </w:pPr>
      <w:r w:rsidRPr="00F879A5">
        <w:rPr>
          <w:rFonts w:asciiTheme="minorHAnsi" w:hAnsiTheme="minorHAnsi" w:cstheme="minorHAnsi"/>
          <w:b/>
          <w:bCs/>
        </w:rPr>
        <w:t>References:</w:t>
      </w:r>
    </w:p>
    <w:p w14:paraId="3E9F741B" w14:textId="77777777" w:rsidR="00112C4F" w:rsidRPr="008F26D0" w:rsidRDefault="00112C4F" w:rsidP="00B77465">
      <w:pPr>
        <w:pStyle w:val="ListParagraph"/>
        <w:numPr>
          <w:ilvl w:val="0"/>
          <w:numId w:val="21"/>
        </w:numPr>
        <w:ind w:left="792"/>
        <w:rPr>
          <w:rStyle w:val="Hyperlink"/>
          <w:rFonts w:cstheme="minorHAnsi"/>
          <w:color w:val="0071BC"/>
          <w:sz w:val="24"/>
          <w:szCs w:val="24"/>
          <w:u w:val="none"/>
        </w:rPr>
      </w:pPr>
      <w:r w:rsidRPr="00090CC4">
        <w:rPr>
          <w:rFonts w:cstheme="minorHAnsi"/>
          <w:sz w:val="24"/>
          <w:szCs w:val="24"/>
        </w:rPr>
        <w:t xml:space="preserve">Agilent Technologies. (2015). Agilent 2200 TapeStation System User Manual. </w:t>
      </w:r>
      <w:hyperlink r:id="rId16" w:history="1">
        <w:r w:rsidRPr="008F26D0">
          <w:rPr>
            <w:rStyle w:val="Hyperlink"/>
            <w:rFonts w:cstheme="minorHAnsi"/>
            <w:color w:val="0071BC"/>
            <w:sz w:val="24"/>
            <w:szCs w:val="24"/>
          </w:rPr>
          <w:t>https://www.agilent.com/cs/library/usermanuals/public/G2964-90000_TapeStation_USR_ENU.pdf</w:t>
        </w:r>
      </w:hyperlink>
    </w:p>
    <w:p w14:paraId="509CCDA4" w14:textId="77777777" w:rsidR="00D3002C" w:rsidRPr="008F26D0" w:rsidRDefault="00D3002C" w:rsidP="00B77465">
      <w:pPr>
        <w:pStyle w:val="ListParagraph"/>
        <w:numPr>
          <w:ilvl w:val="0"/>
          <w:numId w:val="21"/>
        </w:numPr>
        <w:ind w:left="792"/>
        <w:rPr>
          <w:rStyle w:val="Hyperlink"/>
          <w:rFonts w:cstheme="minorHAnsi"/>
          <w:color w:val="0071BC"/>
          <w:sz w:val="24"/>
          <w:szCs w:val="24"/>
          <w:u w:val="none"/>
        </w:rPr>
      </w:pPr>
      <w:r w:rsidRPr="00090CC4">
        <w:rPr>
          <w:rFonts w:cstheme="minorHAnsi"/>
          <w:sz w:val="24"/>
          <w:szCs w:val="24"/>
        </w:rPr>
        <w:t xml:space="preserve">Agilent Technologies. (2019). Automated Nucleic Acid Sample Quality Control in NGS Workflows. </w:t>
      </w:r>
      <w:hyperlink r:id="rId17" w:history="1">
        <w:r w:rsidRPr="008F26D0">
          <w:rPr>
            <w:rStyle w:val="Hyperlink"/>
            <w:rFonts w:cstheme="minorHAnsi"/>
            <w:color w:val="0071BC"/>
            <w:sz w:val="24"/>
            <w:szCs w:val="24"/>
          </w:rPr>
          <w:t>https://www.agilent.com/cs/library/applications/appcompendium-ngs-sample-control-tapestation-5994-1591en-agilent.pdf</w:t>
        </w:r>
      </w:hyperlink>
    </w:p>
    <w:p w14:paraId="450569FA" w14:textId="77777777" w:rsidR="00D3002C" w:rsidRPr="008F26D0" w:rsidRDefault="00D3002C" w:rsidP="00B77465">
      <w:pPr>
        <w:pStyle w:val="ListParagraph"/>
        <w:numPr>
          <w:ilvl w:val="0"/>
          <w:numId w:val="21"/>
        </w:numPr>
        <w:ind w:left="792"/>
        <w:rPr>
          <w:rStyle w:val="Hyperlink"/>
          <w:rFonts w:cstheme="minorHAnsi"/>
          <w:color w:val="0071BC"/>
          <w:sz w:val="24"/>
          <w:szCs w:val="24"/>
          <w:u w:val="none"/>
        </w:rPr>
      </w:pPr>
      <w:r w:rsidRPr="00090CC4">
        <w:rPr>
          <w:rFonts w:cstheme="minorHAnsi"/>
          <w:sz w:val="24"/>
          <w:szCs w:val="24"/>
        </w:rPr>
        <w:t>Agilent Technologies. (2022). NGS Sample Quality Control.</w:t>
      </w:r>
      <w:r w:rsidRPr="00090CC4">
        <w:rPr>
          <w:rStyle w:val="Hyperlink"/>
          <w:rFonts w:cstheme="minorHAnsi"/>
          <w:color w:val="auto"/>
          <w:sz w:val="24"/>
          <w:szCs w:val="24"/>
          <w:u w:val="none"/>
        </w:rPr>
        <w:t xml:space="preserve"> </w:t>
      </w:r>
      <w:hyperlink r:id="rId18" w:history="1">
        <w:r w:rsidRPr="008F26D0">
          <w:rPr>
            <w:rStyle w:val="Hyperlink"/>
            <w:rFonts w:cstheme="minorHAnsi"/>
            <w:color w:val="0071BC"/>
            <w:sz w:val="24"/>
            <w:szCs w:val="24"/>
          </w:rPr>
          <w:t>https://www.agilent.com/en/solutions/genomics-applications-solutions/sample-QC/ngs</w:t>
        </w:r>
      </w:hyperlink>
    </w:p>
    <w:p w14:paraId="2530221E" w14:textId="77777777" w:rsidR="003155DD" w:rsidRPr="00090CC4" w:rsidRDefault="003155DD" w:rsidP="00B77465">
      <w:pPr>
        <w:pStyle w:val="ListParagraph"/>
        <w:numPr>
          <w:ilvl w:val="0"/>
          <w:numId w:val="21"/>
        </w:numPr>
        <w:ind w:left="792"/>
        <w:rPr>
          <w:rStyle w:val="Hyperlink"/>
          <w:rFonts w:cstheme="minorHAnsi"/>
          <w:color w:val="auto"/>
          <w:sz w:val="24"/>
          <w:szCs w:val="24"/>
          <w:u w:val="none"/>
        </w:rPr>
      </w:pPr>
      <w:r w:rsidRPr="00090CC4">
        <w:rPr>
          <w:rFonts w:cstheme="minorHAnsi"/>
          <w:sz w:val="24"/>
          <w:szCs w:val="24"/>
        </w:rPr>
        <w:t>Endrullat et al. (2016). Standardization and quality management in next-generation sequencing</w:t>
      </w:r>
      <w:r w:rsidRPr="008F26D0">
        <w:rPr>
          <w:rFonts w:cstheme="minorHAnsi"/>
          <w:color w:val="0071BC"/>
          <w:sz w:val="24"/>
          <w:szCs w:val="24"/>
        </w:rPr>
        <w:t xml:space="preserve">. </w:t>
      </w:r>
      <w:hyperlink r:id="rId19" w:history="1">
        <w:r w:rsidRPr="008F26D0">
          <w:rPr>
            <w:rStyle w:val="Hyperlink"/>
            <w:rFonts w:cstheme="minorHAnsi"/>
            <w:color w:val="0071BC"/>
            <w:sz w:val="24"/>
            <w:szCs w:val="24"/>
          </w:rPr>
          <w:t>https://www.sciencedirect.com/science/article/pii/S2212066116300230</w:t>
        </w:r>
      </w:hyperlink>
    </w:p>
    <w:p w14:paraId="2A6AD086" w14:textId="77777777" w:rsidR="003155DD" w:rsidRPr="008F26D0" w:rsidRDefault="003155DD" w:rsidP="00B77465">
      <w:pPr>
        <w:pStyle w:val="ListParagraph"/>
        <w:numPr>
          <w:ilvl w:val="0"/>
          <w:numId w:val="21"/>
        </w:numPr>
        <w:ind w:left="792"/>
        <w:rPr>
          <w:rStyle w:val="Hyperlink"/>
          <w:rFonts w:cstheme="minorHAnsi"/>
          <w:color w:val="0071BC"/>
          <w:sz w:val="24"/>
          <w:szCs w:val="24"/>
          <w:u w:val="none"/>
        </w:rPr>
      </w:pPr>
      <w:r w:rsidRPr="00090CC4">
        <w:rPr>
          <w:rStyle w:val="Hyperlink"/>
          <w:rFonts w:cstheme="minorHAnsi"/>
          <w:color w:val="auto"/>
          <w:sz w:val="24"/>
          <w:szCs w:val="24"/>
          <w:u w:val="none"/>
        </w:rPr>
        <w:t xml:space="preserve">Hussing et al. (2015). Comparison of techniques for quantification of next-generation sequencing libraries. </w:t>
      </w:r>
      <w:hyperlink r:id="rId20" w:history="1">
        <w:r w:rsidRPr="008F26D0">
          <w:rPr>
            <w:rStyle w:val="Hyperlink"/>
            <w:rFonts w:cstheme="minorHAnsi"/>
            <w:color w:val="0071BC"/>
            <w:sz w:val="24"/>
            <w:szCs w:val="24"/>
          </w:rPr>
          <w:t>https://retsmedicin.ku.dk/english/research-in-forensic-medicine/research-in-forensic-genetics/?pure=en%2Fpublications%2Fcomparison-of-techniques-for-quantification-of-nextgeneration-sequencing-libraries(14a897a6-cb15-4923-9eb3-b1b4273641da).html</w:t>
        </w:r>
      </w:hyperlink>
    </w:p>
    <w:p w14:paraId="268573E8" w14:textId="62C27F7A" w:rsidR="00912E3E" w:rsidRPr="008F26D0" w:rsidRDefault="00286112" w:rsidP="00B77465">
      <w:pPr>
        <w:pStyle w:val="ListParagraph"/>
        <w:numPr>
          <w:ilvl w:val="0"/>
          <w:numId w:val="21"/>
        </w:numPr>
        <w:ind w:left="792"/>
        <w:rPr>
          <w:rFonts w:cstheme="minorHAnsi"/>
          <w:bCs/>
          <w:color w:val="0071BC"/>
          <w:sz w:val="24"/>
          <w:szCs w:val="24"/>
        </w:rPr>
      </w:pPr>
      <w:r w:rsidRPr="00090CC4">
        <w:rPr>
          <w:rFonts w:cstheme="minorHAnsi"/>
          <w:sz w:val="24"/>
          <w:szCs w:val="24"/>
        </w:rPr>
        <w:t>Illumina</w:t>
      </w:r>
      <w:r w:rsidR="000F4B83" w:rsidRPr="00090CC4">
        <w:rPr>
          <w:rFonts w:cstheme="minorHAnsi"/>
          <w:sz w:val="24"/>
          <w:szCs w:val="24"/>
        </w:rPr>
        <w:t>. (2022).</w:t>
      </w:r>
      <w:r w:rsidR="006377C5" w:rsidRPr="00090CC4">
        <w:rPr>
          <w:rFonts w:cstheme="minorHAnsi"/>
          <w:sz w:val="24"/>
          <w:szCs w:val="24"/>
        </w:rPr>
        <w:t xml:space="preserve"> Understanding </w:t>
      </w:r>
      <w:r w:rsidR="00720CA2" w:rsidRPr="00090CC4">
        <w:rPr>
          <w:rFonts w:cstheme="minorHAnsi"/>
          <w:sz w:val="24"/>
          <w:szCs w:val="24"/>
        </w:rPr>
        <w:t>the NGS workflow</w:t>
      </w:r>
      <w:r w:rsidR="006B66D8" w:rsidRPr="00090CC4">
        <w:rPr>
          <w:rFonts w:cstheme="minorHAnsi"/>
          <w:sz w:val="24"/>
          <w:szCs w:val="24"/>
        </w:rPr>
        <w:t>.</w:t>
      </w:r>
      <w:r w:rsidR="00690B42" w:rsidRPr="00090CC4">
        <w:rPr>
          <w:rStyle w:val="Hyperlink"/>
          <w:rFonts w:cstheme="minorHAnsi"/>
          <w:color w:val="auto"/>
          <w:sz w:val="24"/>
          <w:szCs w:val="24"/>
          <w:u w:val="none"/>
        </w:rPr>
        <w:t xml:space="preserve"> </w:t>
      </w:r>
      <w:hyperlink r:id="rId21" w:history="1">
        <w:r w:rsidR="00690B42" w:rsidRPr="008F26D0">
          <w:rPr>
            <w:rStyle w:val="Hyperlink"/>
            <w:rFonts w:cstheme="minorHAnsi"/>
            <w:color w:val="0071BC"/>
            <w:sz w:val="24"/>
            <w:szCs w:val="24"/>
          </w:rPr>
          <w:t>https://www.illumina.com/science/technology/next-generation-sequencing/beginners/ngs-workflow.html</w:t>
        </w:r>
      </w:hyperlink>
    </w:p>
    <w:p w14:paraId="408C2BB6" w14:textId="0171794D" w:rsidR="009A351C" w:rsidRPr="00090CC4" w:rsidRDefault="00A069C9" w:rsidP="00B77465">
      <w:pPr>
        <w:pStyle w:val="ListParagraph"/>
        <w:numPr>
          <w:ilvl w:val="0"/>
          <w:numId w:val="21"/>
        </w:numPr>
        <w:ind w:left="792"/>
        <w:rPr>
          <w:rStyle w:val="Hyperlink"/>
          <w:rFonts w:cstheme="minorHAnsi"/>
          <w:color w:val="auto"/>
          <w:sz w:val="24"/>
          <w:szCs w:val="24"/>
          <w:u w:val="none"/>
        </w:rPr>
      </w:pPr>
      <w:r w:rsidRPr="00090CC4">
        <w:rPr>
          <w:rFonts w:cstheme="minorHAnsi"/>
          <w:sz w:val="24"/>
          <w:szCs w:val="24"/>
        </w:rPr>
        <w:t xml:space="preserve">Illumina. (2022). </w:t>
      </w:r>
      <w:r w:rsidR="009A351C" w:rsidRPr="00090CC4">
        <w:rPr>
          <w:rFonts w:cstheme="minorHAnsi"/>
          <w:sz w:val="24"/>
          <w:szCs w:val="24"/>
        </w:rPr>
        <w:t>Recommended quality control of FFPE samples for Illumina FFPE-supported library preparation kits</w:t>
      </w:r>
      <w:r w:rsidR="00750B87" w:rsidRPr="008F26D0">
        <w:rPr>
          <w:rFonts w:cstheme="minorHAnsi"/>
          <w:color w:val="0071BC"/>
          <w:sz w:val="24"/>
          <w:szCs w:val="24"/>
        </w:rPr>
        <w:t xml:space="preserve">. </w:t>
      </w:r>
      <w:hyperlink r:id="rId22" w:history="1">
        <w:r w:rsidR="00750B87" w:rsidRPr="008F26D0">
          <w:rPr>
            <w:rStyle w:val="Hyperlink"/>
            <w:rFonts w:cstheme="minorHAnsi"/>
            <w:color w:val="0071BC"/>
            <w:sz w:val="24"/>
            <w:szCs w:val="24"/>
          </w:rPr>
          <w:t>https://support.illumina.com/bulletins/2017/03/recommended-quality-control-of-ffpe-samples-for-illumina-ffpe-su.html</w:t>
        </w:r>
      </w:hyperlink>
    </w:p>
    <w:p w14:paraId="43B6E6D0" w14:textId="3082E746" w:rsidR="00F9657D" w:rsidRPr="008F26D0" w:rsidRDefault="008C1420" w:rsidP="00B77465">
      <w:pPr>
        <w:pStyle w:val="ListParagraph"/>
        <w:numPr>
          <w:ilvl w:val="0"/>
          <w:numId w:val="21"/>
        </w:numPr>
        <w:ind w:left="792"/>
        <w:rPr>
          <w:rStyle w:val="Hyperlink"/>
          <w:rFonts w:cstheme="minorHAnsi"/>
          <w:color w:val="0071BC"/>
          <w:sz w:val="24"/>
          <w:szCs w:val="24"/>
          <w:u w:val="none"/>
        </w:rPr>
      </w:pPr>
      <w:r w:rsidRPr="00090CC4">
        <w:rPr>
          <w:rFonts w:cstheme="minorHAnsi"/>
          <w:sz w:val="24"/>
          <w:szCs w:val="24"/>
        </w:rPr>
        <w:lastRenderedPageBreak/>
        <w:t xml:space="preserve">Illumina. </w:t>
      </w:r>
      <w:r w:rsidR="00601302" w:rsidRPr="00090CC4">
        <w:rPr>
          <w:rFonts w:cstheme="minorHAnsi"/>
          <w:sz w:val="24"/>
          <w:szCs w:val="24"/>
        </w:rPr>
        <w:t>(</w:t>
      </w:r>
      <w:r w:rsidR="00476B84" w:rsidRPr="00090CC4">
        <w:rPr>
          <w:rFonts w:cstheme="minorHAnsi"/>
          <w:sz w:val="24"/>
          <w:szCs w:val="24"/>
        </w:rPr>
        <w:t xml:space="preserve">2016). </w:t>
      </w:r>
      <w:r w:rsidR="00280505" w:rsidRPr="00090CC4">
        <w:rPr>
          <w:rFonts w:cstheme="minorHAnsi"/>
          <w:sz w:val="24"/>
          <w:szCs w:val="24"/>
        </w:rPr>
        <w:t>Evaluating RNA Quality from FFPE Samples</w:t>
      </w:r>
      <w:r w:rsidR="00476B84" w:rsidRPr="00090CC4">
        <w:rPr>
          <w:rFonts w:cstheme="minorHAnsi"/>
          <w:sz w:val="24"/>
          <w:szCs w:val="24"/>
        </w:rPr>
        <w:t xml:space="preserve">. </w:t>
      </w:r>
      <w:hyperlink r:id="rId23" w:history="1">
        <w:r w:rsidR="00A61C7F" w:rsidRPr="008F26D0">
          <w:rPr>
            <w:rStyle w:val="Hyperlink"/>
            <w:rFonts w:cstheme="minorHAnsi"/>
            <w:color w:val="0071BC"/>
            <w:sz w:val="24"/>
            <w:szCs w:val="24"/>
          </w:rPr>
          <w:t>https://www.illumina.com/content/dam/illumina-marketing/documents/products/technotes/evaluating-rna-quality-from-ffpe-samples-technical-note-470-2014-001.pdf</w:t>
        </w:r>
      </w:hyperlink>
    </w:p>
    <w:p w14:paraId="5D2B7E07" w14:textId="2E805BEB" w:rsidR="002C564E" w:rsidRPr="008F26D0" w:rsidRDefault="00EE64F4" w:rsidP="00B77465">
      <w:pPr>
        <w:pStyle w:val="ListParagraph"/>
        <w:numPr>
          <w:ilvl w:val="0"/>
          <w:numId w:val="21"/>
        </w:numPr>
        <w:ind w:left="792"/>
        <w:rPr>
          <w:rStyle w:val="Hyperlink"/>
          <w:rFonts w:cstheme="minorHAnsi"/>
          <w:color w:val="0071BC"/>
          <w:sz w:val="24"/>
          <w:szCs w:val="24"/>
          <w:u w:val="none"/>
        </w:rPr>
      </w:pPr>
      <w:r w:rsidRPr="00090CC4">
        <w:rPr>
          <w:rFonts w:cstheme="minorHAnsi"/>
          <w:sz w:val="24"/>
          <w:szCs w:val="24"/>
        </w:rPr>
        <w:t>N</w:t>
      </w:r>
      <w:r w:rsidR="003267F0" w:rsidRPr="00090CC4">
        <w:rPr>
          <w:rFonts w:cstheme="minorHAnsi"/>
          <w:sz w:val="24"/>
          <w:szCs w:val="24"/>
        </w:rPr>
        <w:t>V</w:t>
      </w:r>
      <w:r w:rsidRPr="00090CC4">
        <w:rPr>
          <w:rFonts w:cstheme="minorHAnsi"/>
          <w:sz w:val="24"/>
          <w:szCs w:val="24"/>
        </w:rPr>
        <w:t>iGEN</w:t>
      </w:r>
      <w:r w:rsidR="003267F0" w:rsidRPr="00090CC4">
        <w:rPr>
          <w:rFonts w:cstheme="minorHAnsi"/>
          <w:sz w:val="24"/>
          <w:szCs w:val="24"/>
        </w:rPr>
        <w:t xml:space="preserve"> Personalized Medicine. (2022). </w:t>
      </w:r>
      <w:r w:rsidR="00833CB4" w:rsidRPr="00090CC4">
        <w:rPr>
          <w:rFonts w:cstheme="minorHAnsi"/>
          <w:sz w:val="24"/>
          <w:szCs w:val="24"/>
        </w:rPr>
        <w:t xml:space="preserve">DNA </w:t>
      </w:r>
      <w:r w:rsidR="00EC19B2" w:rsidRPr="00090CC4">
        <w:rPr>
          <w:rFonts w:cstheme="minorHAnsi"/>
          <w:sz w:val="24"/>
          <w:szCs w:val="24"/>
        </w:rPr>
        <w:t xml:space="preserve">Size Selection: Basics &amp; Development. </w:t>
      </w:r>
      <w:hyperlink r:id="rId24" w:history="1">
        <w:r w:rsidR="002F460C" w:rsidRPr="008F26D0">
          <w:rPr>
            <w:rStyle w:val="Hyperlink"/>
            <w:rFonts w:cstheme="minorHAnsi"/>
            <w:color w:val="0071BC"/>
            <w:sz w:val="24"/>
            <w:szCs w:val="24"/>
          </w:rPr>
          <w:t>https://www.nvigen.com/dna-size-selection-tutorial/</w:t>
        </w:r>
      </w:hyperlink>
    </w:p>
    <w:p w14:paraId="0029279C" w14:textId="168CEFCA" w:rsidR="00357957" w:rsidRPr="008F26D0" w:rsidRDefault="008F34AD" w:rsidP="00B77465">
      <w:pPr>
        <w:pStyle w:val="ListParagraph"/>
        <w:numPr>
          <w:ilvl w:val="0"/>
          <w:numId w:val="21"/>
        </w:numPr>
        <w:spacing w:after="120"/>
        <w:ind w:left="792"/>
        <w:rPr>
          <w:rStyle w:val="Hyperlink"/>
          <w:rFonts w:cstheme="minorHAnsi"/>
          <w:color w:val="0071BC"/>
          <w:sz w:val="24"/>
          <w:szCs w:val="24"/>
          <w:u w:val="none"/>
        </w:rPr>
      </w:pPr>
      <w:r w:rsidRPr="00090CC4">
        <w:rPr>
          <w:rFonts w:cstheme="minorHAnsi"/>
          <w:sz w:val="24"/>
          <w:szCs w:val="24"/>
        </w:rPr>
        <w:t xml:space="preserve">ThermoFisher </w:t>
      </w:r>
      <w:r w:rsidR="00B90AEA" w:rsidRPr="00090CC4">
        <w:rPr>
          <w:rFonts w:cstheme="minorHAnsi"/>
          <w:sz w:val="24"/>
          <w:szCs w:val="24"/>
        </w:rPr>
        <w:t xml:space="preserve">Scientific. (2015). </w:t>
      </w:r>
      <w:hyperlink r:id="rId25" w:history="1">
        <w:r w:rsidR="00357957" w:rsidRPr="00090CC4">
          <w:rPr>
            <w:rFonts w:cstheme="minorHAnsi"/>
            <w:sz w:val="24"/>
            <w:szCs w:val="24"/>
          </w:rPr>
          <w:t>Assessment of Nucleic Acid Purity</w:t>
        </w:r>
        <w:r w:rsidR="00773F60" w:rsidRPr="00090CC4">
          <w:rPr>
            <w:rFonts w:cstheme="minorHAnsi"/>
            <w:sz w:val="24"/>
            <w:szCs w:val="24"/>
          </w:rPr>
          <w:t>.</w:t>
        </w:r>
      </w:hyperlink>
      <w:r w:rsidR="00773F60" w:rsidRPr="00090CC4">
        <w:rPr>
          <w:rStyle w:val="Hyperlink"/>
          <w:rFonts w:cstheme="minorHAnsi"/>
          <w:color w:val="auto"/>
          <w:sz w:val="24"/>
          <w:szCs w:val="24"/>
          <w:u w:val="none"/>
        </w:rPr>
        <w:t xml:space="preserve"> </w:t>
      </w:r>
      <w:hyperlink r:id="rId26" w:history="1">
        <w:r w:rsidR="00015447" w:rsidRPr="008F26D0">
          <w:rPr>
            <w:rStyle w:val="Hyperlink"/>
            <w:rFonts w:cstheme="minorHAnsi"/>
            <w:color w:val="0071BC"/>
            <w:sz w:val="24"/>
            <w:szCs w:val="24"/>
          </w:rPr>
          <w:t>https://assets.thermofisher.com/TFS-Assets/CAD/Product-Bulletins/TN52646-E-0215M-NucleicAcid.pdf</w:t>
        </w:r>
      </w:hyperlink>
    </w:p>
    <w:p w14:paraId="17D2226C" w14:textId="77777777" w:rsidR="00844E68" w:rsidRPr="008F26D0" w:rsidRDefault="00844E68" w:rsidP="00B77465">
      <w:pPr>
        <w:pStyle w:val="Heading1"/>
        <w:spacing w:before="0"/>
        <w:ind w:left="648"/>
        <w:rPr>
          <w:rFonts w:asciiTheme="minorHAnsi" w:hAnsiTheme="minorHAnsi" w:cstheme="minorHAnsi"/>
          <w:b/>
          <w:bCs/>
        </w:rPr>
      </w:pPr>
      <w:r w:rsidRPr="008F26D0">
        <w:rPr>
          <w:rFonts w:asciiTheme="minorHAnsi" w:hAnsiTheme="minorHAnsi" w:cstheme="minorHAnsi"/>
          <w:b/>
          <w:bCs/>
        </w:rPr>
        <w:t>Appendices:</w:t>
      </w:r>
    </w:p>
    <w:p w14:paraId="07910128" w14:textId="77777777" w:rsidR="005D256E" w:rsidRPr="005D256E" w:rsidRDefault="005D256E" w:rsidP="00B77465">
      <w:pPr>
        <w:pStyle w:val="ListParagraph"/>
        <w:numPr>
          <w:ilvl w:val="0"/>
          <w:numId w:val="9"/>
        </w:numPr>
        <w:spacing w:after="0" w:line="240" w:lineRule="auto"/>
        <w:contextualSpacing w:val="0"/>
        <w:rPr>
          <w:rFonts w:cstheme="minorHAnsi"/>
          <w:bCs/>
          <w:vanish/>
          <w:sz w:val="24"/>
          <w:szCs w:val="24"/>
        </w:rPr>
      </w:pPr>
    </w:p>
    <w:p w14:paraId="730BC638" w14:textId="77777777" w:rsidR="005D256E" w:rsidRPr="005D256E" w:rsidRDefault="005D256E" w:rsidP="00B77465">
      <w:pPr>
        <w:pStyle w:val="ListParagraph"/>
        <w:numPr>
          <w:ilvl w:val="0"/>
          <w:numId w:val="9"/>
        </w:numPr>
        <w:spacing w:after="0" w:line="240" w:lineRule="auto"/>
        <w:contextualSpacing w:val="0"/>
        <w:rPr>
          <w:rFonts w:cstheme="minorHAnsi"/>
          <w:bCs/>
          <w:vanish/>
          <w:sz w:val="24"/>
          <w:szCs w:val="24"/>
        </w:rPr>
      </w:pPr>
    </w:p>
    <w:p w14:paraId="5A0CA5FE" w14:textId="77777777" w:rsidR="005D256E" w:rsidRPr="005D256E" w:rsidRDefault="005D256E" w:rsidP="00B77465">
      <w:pPr>
        <w:pStyle w:val="ListParagraph"/>
        <w:numPr>
          <w:ilvl w:val="0"/>
          <w:numId w:val="9"/>
        </w:numPr>
        <w:spacing w:after="0" w:line="240" w:lineRule="auto"/>
        <w:contextualSpacing w:val="0"/>
        <w:rPr>
          <w:rFonts w:cstheme="minorHAnsi"/>
          <w:bCs/>
          <w:vanish/>
          <w:sz w:val="24"/>
          <w:szCs w:val="24"/>
        </w:rPr>
      </w:pPr>
    </w:p>
    <w:p w14:paraId="737F45A0" w14:textId="25C0370D" w:rsidR="00844E68" w:rsidRPr="00090CC4" w:rsidRDefault="00844E68" w:rsidP="00B77465">
      <w:pPr>
        <w:pStyle w:val="ListParagraph"/>
        <w:numPr>
          <w:ilvl w:val="1"/>
          <w:numId w:val="9"/>
        </w:numPr>
        <w:spacing w:after="0" w:line="240" w:lineRule="auto"/>
        <w:contextualSpacing w:val="0"/>
        <w:rPr>
          <w:rFonts w:cstheme="minorHAnsi"/>
          <w:bCs/>
          <w:sz w:val="24"/>
          <w:szCs w:val="24"/>
        </w:rPr>
      </w:pPr>
      <w:r w:rsidRPr="00090CC4">
        <w:rPr>
          <w:rFonts w:cstheme="minorHAnsi"/>
          <w:bCs/>
          <w:sz w:val="24"/>
          <w:szCs w:val="24"/>
        </w:rPr>
        <w:t>Appendix A – Illumina NGS QC Checkpoints Process Map</w:t>
      </w:r>
    </w:p>
    <w:p w14:paraId="749EF465" w14:textId="77777777" w:rsidR="00844E68" w:rsidRPr="00090CC4" w:rsidRDefault="00844E68" w:rsidP="00B77465">
      <w:pPr>
        <w:pStyle w:val="ListParagraph"/>
        <w:numPr>
          <w:ilvl w:val="1"/>
          <w:numId w:val="9"/>
        </w:numPr>
        <w:spacing w:after="0" w:line="240" w:lineRule="auto"/>
        <w:contextualSpacing w:val="0"/>
        <w:rPr>
          <w:rFonts w:eastAsia="Calibri" w:cstheme="minorHAnsi"/>
          <w:sz w:val="24"/>
          <w:szCs w:val="24"/>
        </w:rPr>
      </w:pPr>
      <w:r w:rsidRPr="00090CC4">
        <w:rPr>
          <w:rFonts w:eastAsia="Calibri" w:cstheme="minorHAnsi"/>
          <w:sz w:val="24"/>
          <w:szCs w:val="24"/>
        </w:rPr>
        <w:t>Appendix B – Illumina NGS QC Checklist</w:t>
      </w:r>
    </w:p>
    <w:p w14:paraId="035A189C" w14:textId="77777777" w:rsidR="00784C6D" w:rsidRDefault="00784C6D" w:rsidP="00B77465">
      <w:pPr>
        <w:pStyle w:val="Heading1"/>
        <w:spacing w:before="120" w:after="120"/>
        <w:ind w:left="648"/>
        <w:rPr>
          <w:rFonts w:asciiTheme="minorHAnsi" w:hAnsiTheme="minorHAnsi" w:cstheme="minorHAnsi"/>
          <w:b/>
          <w:bCs/>
        </w:rPr>
      </w:pPr>
      <w:r w:rsidRPr="008F6F92">
        <w:rPr>
          <w:rFonts w:asciiTheme="minorHAnsi" w:hAnsiTheme="minorHAnsi" w:cstheme="minorHAnsi"/>
          <w:b/>
          <w:bCs/>
        </w:rPr>
        <w:t>NGS QI document review cycle</w:t>
      </w:r>
    </w:p>
    <w:tbl>
      <w:tblPr>
        <w:tblStyle w:val="GridTable4-Accent5"/>
        <w:tblW w:w="4375"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GS QI document review cycle"/>
        <w:tblDescription w:val="Table displaying revision number, document control number, change summary, and date of revision with instructional language for laboratories to fill-in."/>
      </w:tblPr>
      <w:tblGrid>
        <w:gridCol w:w="2295"/>
        <w:gridCol w:w="2595"/>
        <w:gridCol w:w="2117"/>
        <w:gridCol w:w="1804"/>
      </w:tblGrid>
      <w:tr w:rsidR="00784C6D" w:rsidRPr="004D2DFF" w14:paraId="09FEA5EE" w14:textId="77777777" w:rsidTr="004A6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6ED930" w14:textId="77777777" w:rsidR="00784C6D" w:rsidRPr="004D2DFF" w:rsidRDefault="00784C6D" w:rsidP="00B77465">
            <w:pPr>
              <w:spacing w:after="0" w:line="240" w:lineRule="auto"/>
              <w:rPr>
                <w:rFonts w:cstheme="minorHAnsi"/>
                <w:bCs w:val="0"/>
                <w:color w:val="000000" w:themeColor="text1"/>
                <w:sz w:val="24"/>
                <w:szCs w:val="24"/>
              </w:rPr>
            </w:pPr>
            <w:r w:rsidRPr="004D2DFF">
              <w:rPr>
                <w:rFonts w:cstheme="minorHAnsi"/>
                <w:bCs w:val="0"/>
                <w:color w:val="000000" w:themeColor="text1"/>
                <w:sz w:val="24"/>
                <w:szCs w:val="24"/>
              </w:rPr>
              <w:t>Rev #</w:t>
            </w:r>
          </w:p>
        </w:tc>
        <w:tc>
          <w:tcPr>
            <w:tcW w:w="27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8EC8F9" w14:textId="77777777" w:rsidR="00784C6D" w:rsidRPr="004D2DFF" w:rsidRDefault="00784C6D" w:rsidP="00B7746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4"/>
                <w:szCs w:val="24"/>
              </w:rPr>
            </w:pPr>
            <w:r w:rsidRPr="004D2DFF">
              <w:rPr>
                <w:rFonts w:cstheme="minorHAnsi"/>
                <w:bCs w:val="0"/>
                <w:color w:val="000000" w:themeColor="text1"/>
                <w:sz w:val="24"/>
                <w:szCs w:val="24"/>
              </w:rPr>
              <w:t xml:space="preserve">DCR # </w:t>
            </w:r>
          </w:p>
        </w:tc>
        <w:tc>
          <w:tcPr>
            <w:tcW w:w="229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C0DDB0" w14:textId="77777777" w:rsidR="00784C6D" w:rsidRPr="004D2DFF" w:rsidRDefault="00784C6D" w:rsidP="00B7746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4"/>
                <w:szCs w:val="24"/>
              </w:rPr>
            </w:pPr>
            <w:r w:rsidRPr="004D2DFF">
              <w:rPr>
                <w:rFonts w:cstheme="minorHAnsi"/>
                <w:bCs w:val="0"/>
                <w:color w:val="000000" w:themeColor="text1"/>
                <w:sz w:val="24"/>
                <w:szCs w:val="24"/>
              </w:rPr>
              <w:t>Change Summary</w:t>
            </w:r>
          </w:p>
        </w:tc>
        <w:tc>
          <w:tcPr>
            <w:tcW w:w="19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056BA0" w14:textId="77777777" w:rsidR="00784C6D" w:rsidRPr="004D2DFF" w:rsidRDefault="00784C6D" w:rsidP="00B77465">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4"/>
                <w:szCs w:val="24"/>
              </w:rPr>
            </w:pPr>
            <w:r w:rsidRPr="004D2DFF">
              <w:rPr>
                <w:rFonts w:cstheme="minorHAnsi"/>
                <w:bCs w:val="0"/>
                <w:color w:val="000000" w:themeColor="text1"/>
                <w:sz w:val="24"/>
                <w:szCs w:val="24"/>
              </w:rPr>
              <w:t>Date</w:t>
            </w:r>
          </w:p>
        </w:tc>
      </w:tr>
      <w:tr w:rsidR="00784C6D" w:rsidRPr="00EA5E58" w14:paraId="4EF58DF4" w14:textId="77777777" w:rsidTr="004A6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top w:val="single" w:sz="4" w:space="0" w:color="auto"/>
            </w:tcBorders>
            <w:shd w:val="clear" w:color="auto" w:fill="FFFFFF" w:themeFill="background1"/>
          </w:tcPr>
          <w:p w14:paraId="093055E9" w14:textId="77777777" w:rsidR="00784C6D" w:rsidRPr="004F23AC" w:rsidRDefault="00784C6D" w:rsidP="00B77465">
            <w:pPr>
              <w:spacing w:after="0" w:line="240" w:lineRule="auto"/>
              <w:rPr>
                <w:rFonts w:cstheme="minorHAnsi"/>
                <w:b w:val="0"/>
                <w:bCs w:val="0"/>
                <w:sz w:val="24"/>
                <w:szCs w:val="24"/>
              </w:rPr>
            </w:pPr>
            <w:r w:rsidRPr="004D2DFF">
              <w:rPr>
                <w:rFonts w:eastAsia="Calibri" w:cstheme="minorHAnsi"/>
                <w:b w:val="0"/>
                <w:bCs w:val="0"/>
                <w:i/>
                <w:iCs/>
                <w:color w:val="0071BC"/>
                <w:sz w:val="24"/>
                <w:szCs w:val="24"/>
              </w:rPr>
              <w:t>[insert laboratory specific revision number here</w:t>
            </w:r>
            <w:r w:rsidRPr="003A3AFA">
              <w:rPr>
                <w:rFonts w:eastAsia="Calibri" w:cstheme="minorHAnsi"/>
                <w:b w:val="0"/>
                <w:bCs w:val="0"/>
                <w:i/>
                <w:iCs/>
                <w:color w:val="0071BC"/>
                <w:sz w:val="24"/>
                <w:szCs w:val="24"/>
              </w:rPr>
              <w:t>]</w:t>
            </w:r>
          </w:p>
        </w:tc>
        <w:tc>
          <w:tcPr>
            <w:tcW w:w="2782" w:type="dxa"/>
            <w:tcBorders>
              <w:top w:val="single" w:sz="4" w:space="0" w:color="auto"/>
            </w:tcBorders>
            <w:shd w:val="clear" w:color="auto" w:fill="FFFFFF" w:themeFill="background1"/>
          </w:tcPr>
          <w:p w14:paraId="1E5C72D6" w14:textId="77777777" w:rsidR="00784C6D" w:rsidRPr="004F23AC" w:rsidRDefault="00784C6D" w:rsidP="00B7746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3AFA">
              <w:rPr>
                <w:rFonts w:eastAsia="Calibri" w:cstheme="minorHAnsi"/>
                <w:i/>
                <w:iCs/>
                <w:color w:val="0071BC"/>
                <w:sz w:val="24"/>
                <w:szCs w:val="24"/>
              </w:rPr>
              <w:t xml:space="preserve">[insert laboratory specific corresponding document </w:t>
            </w:r>
            <w:r>
              <w:rPr>
                <w:rFonts w:eastAsia="Calibri" w:cstheme="minorHAnsi"/>
                <w:i/>
                <w:iCs/>
                <w:color w:val="0071BC"/>
                <w:sz w:val="24"/>
                <w:szCs w:val="24"/>
              </w:rPr>
              <w:t>control number</w:t>
            </w:r>
            <w:r w:rsidRPr="003A3AFA">
              <w:rPr>
                <w:rFonts w:eastAsia="Calibri" w:cstheme="minorHAnsi"/>
                <w:i/>
                <w:iCs/>
                <w:color w:val="0071BC"/>
                <w:sz w:val="24"/>
                <w:szCs w:val="24"/>
              </w:rPr>
              <w:t xml:space="preserve"> here]</w:t>
            </w:r>
          </w:p>
        </w:tc>
        <w:tc>
          <w:tcPr>
            <w:tcW w:w="2297" w:type="dxa"/>
            <w:tcBorders>
              <w:top w:val="single" w:sz="4" w:space="0" w:color="auto"/>
            </w:tcBorders>
            <w:shd w:val="clear" w:color="auto" w:fill="FFFFFF" w:themeFill="background1"/>
          </w:tcPr>
          <w:p w14:paraId="5BAE2F24" w14:textId="77777777" w:rsidR="00784C6D" w:rsidRPr="003A3AFA" w:rsidRDefault="00784C6D" w:rsidP="00B77465">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heme="minorHAnsi"/>
                <w:i/>
                <w:iCs/>
                <w:color w:val="0071BC"/>
                <w:sz w:val="24"/>
                <w:szCs w:val="24"/>
              </w:rPr>
            </w:pPr>
            <w:r w:rsidRPr="004D2DFF">
              <w:rPr>
                <w:rFonts w:eastAsia="Calibri" w:cstheme="minorHAnsi"/>
                <w:i/>
                <w:iCs/>
                <w:color w:val="0071BC"/>
                <w:sz w:val="24"/>
                <w:szCs w:val="24"/>
              </w:rPr>
              <w:t>[insert change summary here]</w:t>
            </w:r>
          </w:p>
        </w:tc>
        <w:tc>
          <w:tcPr>
            <w:tcW w:w="1962" w:type="dxa"/>
            <w:tcBorders>
              <w:top w:val="single" w:sz="4" w:space="0" w:color="auto"/>
            </w:tcBorders>
            <w:shd w:val="clear" w:color="auto" w:fill="FFFFFF" w:themeFill="background1"/>
          </w:tcPr>
          <w:p w14:paraId="44536925" w14:textId="77777777" w:rsidR="00784C6D" w:rsidRPr="003A3AFA" w:rsidRDefault="00784C6D" w:rsidP="00B77465">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heme="minorHAnsi"/>
                <w:i/>
                <w:iCs/>
                <w:color w:val="0071BC"/>
                <w:sz w:val="24"/>
                <w:szCs w:val="24"/>
              </w:rPr>
            </w:pPr>
            <w:r w:rsidRPr="004D2DFF">
              <w:rPr>
                <w:rFonts w:eastAsia="Calibri" w:cstheme="minorHAnsi"/>
                <w:i/>
                <w:iCs/>
                <w:color w:val="0071BC"/>
                <w:sz w:val="24"/>
                <w:szCs w:val="24"/>
              </w:rPr>
              <w:t>[insert date of revision here]</w:t>
            </w:r>
          </w:p>
        </w:tc>
      </w:tr>
    </w:tbl>
    <w:p w14:paraId="12DAFCE6" w14:textId="2FB256F6" w:rsidR="006F056D" w:rsidRPr="009B2AC6" w:rsidRDefault="006F056D" w:rsidP="00B77465">
      <w:pPr>
        <w:pStyle w:val="Heading1"/>
        <w:spacing w:before="120" w:after="120"/>
        <w:ind w:left="648"/>
        <w:rPr>
          <w:rFonts w:asciiTheme="minorHAnsi" w:hAnsiTheme="minorHAnsi" w:cstheme="minorHAnsi"/>
          <w:b/>
          <w:bCs/>
        </w:rPr>
      </w:pPr>
      <w:r w:rsidRPr="009B2AC6">
        <w:rPr>
          <w:rFonts w:asciiTheme="minorHAnsi" w:hAnsiTheme="minorHAnsi" w:cstheme="minorHAnsi"/>
          <w:b/>
          <w:bCs/>
        </w:rPr>
        <w:t>Approval</w:t>
      </w:r>
      <w:r w:rsidR="008F2810" w:rsidRPr="009B2AC6">
        <w:rPr>
          <w:rFonts w:asciiTheme="minorHAnsi" w:hAnsiTheme="minorHAnsi" w:cstheme="minorHAnsi"/>
          <w:b/>
          <w:bCs/>
        </w:rPr>
        <w:t>:</w:t>
      </w:r>
    </w:p>
    <w:p w14:paraId="7624BA06" w14:textId="4754592D" w:rsidR="006F056D" w:rsidRPr="00090CC4" w:rsidRDefault="003149A8" w:rsidP="00B77465">
      <w:pPr>
        <w:tabs>
          <w:tab w:val="left" w:pos="450"/>
          <w:tab w:val="left" w:pos="1080"/>
        </w:tabs>
        <w:ind w:left="432"/>
        <w:contextualSpacing/>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1660288" behindDoc="0" locked="0" layoutInCell="1" allowOverlap="1" wp14:anchorId="554B7B5D" wp14:editId="410F58F7">
                <wp:simplePos x="0" y="0"/>
                <wp:positionH relativeFrom="column">
                  <wp:posOffset>2260600</wp:posOffset>
                </wp:positionH>
                <wp:positionV relativeFrom="paragraph">
                  <wp:posOffset>156210</wp:posOffset>
                </wp:positionV>
                <wp:extent cx="565150" cy="6350"/>
                <wp:effectExtent l="0" t="0" r="25400" b="317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FA04F2" id="Straight Connector 4"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8pt,12.3pt" to="22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" strokecolor="black [3200]" strokeweight=".5pt">
                <v:stroke joinstyle="miter"/>
              </v:line>
            </w:pict>
          </mc:Fallback>
        </mc:AlternateContent>
      </w:r>
      <w:r w:rsidR="00BA5D2C">
        <w:rPr>
          <w:rFonts w:eastAsia="Calibri" w:cstheme="minorHAnsi"/>
          <w:noProof/>
          <w:sz w:val="24"/>
          <w:szCs w:val="24"/>
        </w:rPr>
        <mc:AlternateContent>
          <mc:Choice Requires="wps">
            <w:drawing>
              <wp:anchor distT="0" distB="0" distL="114300" distR="114300" simplePos="0" relativeHeight="251659264" behindDoc="0" locked="0" layoutInCell="1" allowOverlap="1" wp14:anchorId="11686E87" wp14:editId="04D4CB9C">
                <wp:simplePos x="0" y="0"/>
                <wp:positionH relativeFrom="column">
                  <wp:posOffset>1162050</wp:posOffset>
                </wp:positionH>
                <wp:positionV relativeFrom="paragraph">
                  <wp:posOffset>156210</wp:posOffset>
                </wp:positionV>
                <wp:extent cx="609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489399" id="Straight Connector 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1.5pt,12.3pt" to="13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" strokecolor="black [3200]" strokeweight=".5pt">
                <v:stroke joinstyle="miter"/>
              </v:line>
            </w:pict>
          </mc:Fallback>
        </mc:AlternateContent>
      </w:r>
      <w:r w:rsidR="006F056D" w:rsidRPr="00090CC4">
        <w:rPr>
          <w:rFonts w:eastAsia="Calibri" w:cstheme="minorHAnsi"/>
          <w:sz w:val="24"/>
          <w:szCs w:val="24"/>
        </w:rPr>
        <w:t xml:space="preserve">Approved By: </w:t>
      </w:r>
      <w:r w:rsidR="00BA5D2C">
        <w:rPr>
          <w:rFonts w:eastAsia="Calibri" w:cstheme="minorHAnsi"/>
          <w:sz w:val="24"/>
          <w:szCs w:val="24"/>
        </w:rPr>
        <w:t xml:space="preserve">                    </w:t>
      </w:r>
      <w:r w:rsidR="006F056D" w:rsidRPr="00090CC4">
        <w:rPr>
          <w:rFonts w:eastAsia="Calibri" w:cstheme="minorHAnsi"/>
          <w:sz w:val="24"/>
          <w:szCs w:val="24"/>
        </w:rPr>
        <w:t xml:space="preserve">Date: </w:t>
      </w:r>
    </w:p>
    <w:p w14:paraId="7A017A67" w14:textId="77777777" w:rsidR="006F056D" w:rsidRPr="00090CC4" w:rsidRDefault="006F056D" w:rsidP="00B77465">
      <w:pPr>
        <w:tabs>
          <w:tab w:val="left" w:pos="450"/>
          <w:tab w:val="left" w:pos="1080"/>
        </w:tabs>
        <w:ind w:left="2160"/>
        <w:contextualSpacing/>
        <w:rPr>
          <w:rFonts w:eastAsia="Calibri" w:cstheme="minorHAnsi"/>
          <w:sz w:val="24"/>
          <w:szCs w:val="24"/>
        </w:rPr>
      </w:pPr>
      <w:r w:rsidRPr="00090CC4">
        <w:rPr>
          <w:rFonts w:eastAsia="Calibri" w:cstheme="minorHAnsi"/>
          <w:sz w:val="24"/>
          <w:szCs w:val="24"/>
        </w:rPr>
        <w:t>Author</w:t>
      </w:r>
    </w:p>
    <w:p w14:paraId="25C1B5EF" w14:textId="3DB869D5" w:rsidR="006F056D" w:rsidRPr="00090CC4" w:rsidRDefault="006F056D" w:rsidP="00B77465">
      <w:pPr>
        <w:tabs>
          <w:tab w:val="left" w:pos="720"/>
          <w:tab w:val="left" w:pos="1440"/>
        </w:tabs>
        <w:contextualSpacing/>
        <w:rPr>
          <w:rFonts w:eastAsia="Calibri" w:cstheme="minorHAnsi"/>
          <w:sz w:val="24"/>
          <w:szCs w:val="24"/>
        </w:rPr>
      </w:pPr>
    </w:p>
    <w:p w14:paraId="136D56B0" w14:textId="6E337648" w:rsidR="006F056D" w:rsidRPr="00090CC4" w:rsidRDefault="00CE63AF" w:rsidP="00B77465">
      <w:pPr>
        <w:tabs>
          <w:tab w:val="left" w:pos="720"/>
          <w:tab w:val="left" w:pos="1890"/>
        </w:tabs>
        <w:spacing w:after="0"/>
        <w:ind w:left="1440"/>
        <w:contextualSpacing/>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1662336" behindDoc="0" locked="0" layoutInCell="1" allowOverlap="1" wp14:anchorId="5B39B65A" wp14:editId="7293C4E9">
                <wp:simplePos x="0" y="0"/>
                <wp:positionH relativeFrom="column">
                  <wp:posOffset>1174750</wp:posOffset>
                </wp:positionH>
                <wp:positionV relativeFrom="paragraph">
                  <wp:posOffset>162560</wp:posOffset>
                </wp:positionV>
                <wp:extent cx="3886200" cy="6350"/>
                <wp:effectExtent l="0" t="0" r="19050" b="317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862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B6C33D" id="Straight Connector 6"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8pt" to="39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" strokecolor="windowText" strokeweight=".5pt">
                <v:stroke joinstyle="miter"/>
              </v:line>
            </w:pict>
          </mc:Fallback>
        </mc:AlternateContent>
      </w:r>
      <w:r w:rsidR="006F056D" w:rsidRPr="00090CC4">
        <w:rPr>
          <w:rFonts w:eastAsia="Calibri" w:cstheme="minorHAnsi"/>
          <w:sz w:val="24"/>
          <w:szCs w:val="24"/>
        </w:rPr>
        <w:t xml:space="preserve"> </w:t>
      </w:r>
    </w:p>
    <w:p w14:paraId="64A34EA4" w14:textId="7B535BA2" w:rsidR="006F056D" w:rsidRPr="00090CC4" w:rsidRDefault="006F056D" w:rsidP="00B77465">
      <w:pPr>
        <w:tabs>
          <w:tab w:val="left" w:pos="720"/>
          <w:tab w:val="left" w:pos="1440"/>
        </w:tabs>
        <w:spacing w:after="0"/>
        <w:ind w:left="1440"/>
        <w:contextualSpacing/>
        <w:rPr>
          <w:rFonts w:eastAsia="Calibri" w:cstheme="minorHAnsi"/>
          <w:sz w:val="24"/>
          <w:szCs w:val="24"/>
        </w:rPr>
      </w:pPr>
      <w:r w:rsidRPr="00090CC4">
        <w:rPr>
          <w:rFonts w:eastAsia="Calibri" w:cstheme="minorHAnsi"/>
          <w:sz w:val="24"/>
          <w:szCs w:val="24"/>
        </w:rPr>
        <w:tab/>
        <w:t>Print Name and Title</w:t>
      </w:r>
    </w:p>
    <w:p w14:paraId="309672C0" w14:textId="69F3B37F" w:rsidR="008F2810" w:rsidRPr="00090CC4" w:rsidRDefault="008F2810" w:rsidP="00B77465">
      <w:pPr>
        <w:tabs>
          <w:tab w:val="left" w:pos="720"/>
          <w:tab w:val="left" w:pos="1440"/>
        </w:tabs>
        <w:ind w:left="432"/>
        <w:contextualSpacing/>
        <w:rPr>
          <w:rFonts w:eastAsia="Calibri" w:cstheme="minorHAnsi"/>
          <w:sz w:val="24"/>
          <w:szCs w:val="24"/>
        </w:rPr>
      </w:pPr>
    </w:p>
    <w:p w14:paraId="4D136D25" w14:textId="3C01DA9E" w:rsidR="006F056D" w:rsidRPr="00090CC4" w:rsidRDefault="00F27E92" w:rsidP="00B77465">
      <w:pPr>
        <w:tabs>
          <w:tab w:val="left" w:pos="720"/>
          <w:tab w:val="left" w:pos="1440"/>
        </w:tabs>
        <w:ind w:left="432"/>
        <w:contextualSpacing/>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1664384" behindDoc="0" locked="0" layoutInCell="1" allowOverlap="1" wp14:anchorId="528AE396" wp14:editId="29F6030D">
                <wp:simplePos x="0" y="0"/>
                <wp:positionH relativeFrom="column">
                  <wp:posOffset>1155700</wp:posOffset>
                </wp:positionH>
                <wp:positionV relativeFrom="paragraph">
                  <wp:posOffset>171450</wp:posOffset>
                </wp:positionV>
                <wp:extent cx="609600"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909D9F" id="Straight Connector 7"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1pt,13.5pt" to="13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" strokecolor="windowText" strokeweight=".5pt">
                <v:stroke joinstyle="miter"/>
              </v:line>
            </w:pict>
          </mc:Fallback>
        </mc:AlternateContent>
      </w:r>
      <w:r>
        <w:rPr>
          <w:rFonts w:eastAsia="Calibri" w:cstheme="minorHAnsi"/>
          <w:noProof/>
          <w:sz w:val="24"/>
          <w:szCs w:val="24"/>
        </w:rPr>
        <mc:AlternateContent>
          <mc:Choice Requires="wps">
            <w:drawing>
              <wp:anchor distT="0" distB="0" distL="114300" distR="114300" simplePos="0" relativeHeight="251666432" behindDoc="0" locked="0" layoutInCell="1" allowOverlap="1" wp14:anchorId="0A31D49E" wp14:editId="5DDFCC7B">
                <wp:simplePos x="0" y="0"/>
                <wp:positionH relativeFrom="column">
                  <wp:posOffset>2190750</wp:posOffset>
                </wp:positionH>
                <wp:positionV relativeFrom="paragraph">
                  <wp:posOffset>158750</wp:posOffset>
                </wp:positionV>
                <wp:extent cx="6096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0C9199" id="Straight Connector 8"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2.5pt,12.5pt" to="22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" strokecolor="windowText" strokeweight=".5pt">
                <v:stroke joinstyle="miter"/>
              </v:line>
            </w:pict>
          </mc:Fallback>
        </mc:AlternateContent>
      </w:r>
      <w:r w:rsidR="006F056D" w:rsidRPr="00090CC4">
        <w:rPr>
          <w:rFonts w:eastAsia="Calibri" w:cstheme="minorHAnsi"/>
          <w:sz w:val="24"/>
          <w:szCs w:val="24"/>
        </w:rPr>
        <w:t>Approved By:</w:t>
      </w:r>
      <w:r w:rsidR="00A7551B">
        <w:rPr>
          <w:rFonts w:eastAsia="Calibri" w:cstheme="minorHAnsi"/>
          <w:sz w:val="24"/>
          <w:szCs w:val="24"/>
        </w:rPr>
        <w:t xml:space="preserve"> </w:t>
      </w:r>
      <w:r w:rsidR="006F056D" w:rsidRPr="00090CC4">
        <w:rPr>
          <w:rFonts w:eastAsia="Calibri" w:cstheme="minorHAnsi"/>
          <w:sz w:val="24"/>
          <w:szCs w:val="24"/>
        </w:rPr>
        <w:t xml:space="preserve"> </w:t>
      </w:r>
      <w:r>
        <w:rPr>
          <w:rFonts w:eastAsia="Calibri" w:cstheme="minorHAnsi"/>
          <w:sz w:val="24"/>
          <w:szCs w:val="24"/>
        </w:rPr>
        <w:t xml:space="preserve">                   </w:t>
      </w:r>
      <w:r w:rsidR="006F056D" w:rsidRPr="00090CC4">
        <w:rPr>
          <w:rFonts w:eastAsia="Calibri" w:cstheme="minorHAnsi"/>
          <w:sz w:val="24"/>
          <w:szCs w:val="24"/>
        </w:rPr>
        <w:t xml:space="preserve">Date: </w:t>
      </w:r>
    </w:p>
    <w:p w14:paraId="7D4F0B2A" w14:textId="2026F02E" w:rsidR="006F056D" w:rsidRPr="00090CC4" w:rsidRDefault="006F056D" w:rsidP="00B77465">
      <w:pPr>
        <w:tabs>
          <w:tab w:val="left" w:pos="720"/>
          <w:tab w:val="left" w:pos="1440"/>
        </w:tabs>
        <w:ind w:left="1440"/>
        <w:contextualSpacing/>
        <w:rPr>
          <w:rFonts w:eastAsia="Calibri" w:cstheme="minorHAnsi"/>
          <w:sz w:val="24"/>
          <w:szCs w:val="24"/>
        </w:rPr>
      </w:pPr>
      <w:r w:rsidRPr="00090CC4">
        <w:rPr>
          <w:rFonts w:eastAsia="Calibri" w:cstheme="minorHAnsi"/>
          <w:sz w:val="24"/>
          <w:szCs w:val="24"/>
        </w:rPr>
        <w:tab/>
        <w:t xml:space="preserve"> Supervisor</w:t>
      </w:r>
    </w:p>
    <w:p w14:paraId="0517CB58" w14:textId="46BAC2E5" w:rsidR="00F27E92" w:rsidRDefault="00A7551B" w:rsidP="00B77465">
      <w:pPr>
        <w:tabs>
          <w:tab w:val="left" w:pos="720"/>
          <w:tab w:val="left" w:pos="1440"/>
        </w:tabs>
        <w:ind w:left="2160"/>
        <w:contextualSpacing/>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1668480" behindDoc="0" locked="0" layoutInCell="1" allowOverlap="1" wp14:anchorId="09483AAB" wp14:editId="6DB484D0">
                <wp:simplePos x="0" y="0"/>
                <wp:positionH relativeFrom="column">
                  <wp:posOffset>1212850</wp:posOffset>
                </wp:positionH>
                <wp:positionV relativeFrom="paragraph">
                  <wp:posOffset>183515</wp:posOffset>
                </wp:positionV>
                <wp:extent cx="3886200" cy="6350"/>
                <wp:effectExtent l="0" t="0" r="19050" b="317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862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DC718" id="Straight Connector 9"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14.45pt" to="40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" strokecolor="windowText" strokeweight=".5pt">
                <v:stroke joinstyle="miter"/>
              </v:line>
            </w:pict>
          </mc:Fallback>
        </mc:AlternateContent>
      </w:r>
    </w:p>
    <w:p w14:paraId="419C80C0" w14:textId="6513E165" w:rsidR="006F056D" w:rsidRPr="00090CC4" w:rsidRDefault="006F056D" w:rsidP="00B77465">
      <w:pPr>
        <w:tabs>
          <w:tab w:val="left" w:pos="720"/>
          <w:tab w:val="left" w:pos="1440"/>
        </w:tabs>
        <w:ind w:left="2160"/>
        <w:contextualSpacing/>
        <w:rPr>
          <w:rFonts w:eastAsia="Calibri" w:cstheme="minorHAnsi"/>
          <w:sz w:val="24"/>
          <w:szCs w:val="24"/>
        </w:rPr>
      </w:pPr>
      <w:r w:rsidRPr="00090CC4">
        <w:rPr>
          <w:rFonts w:eastAsia="Calibri" w:cstheme="minorHAnsi"/>
          <w:sz w:val="24"/>
          <w:szCs w:val="24"/>
        </w:rPr>
        <w:t>Print Name and Title</w:t>
      </w:r>
    </w:p>
    <w:p w14:paraId="2C0415A0" w14:textId="77777777" w:rsidR="006F056D" w:rsidRPr="00090CC4" w:rsidRDefault="006F056D" w:rsidP="00B77465">
      <w:pPr>
        <w:tabs>
          <w:tab w:val="left" w:pos="720"/>
          <w:tab w:val="left" w:pos="1440"/>
        </w:tabs>
        <w:ind w:left="432"/>
        <w:contextualSpacing/>
        <w:rPr>
          <w:rFonts w:eastAsia="Calibri" w:cstheme="minorHAnsi"/>
          <w:sz w:val="24"/>
          <w:szCs w:val="24"/>
        </w:rPr>
      </w:pPr>
    </w:p>
    <w:p w14:paraId="33BE66BB" w14:textId="1629741D" w:rsidR="006F056D" w:rsidRPr="00090CC4" w:rsidRDefault="00575807" w:rsidP="00B77465">
      <w:pPr>
        <w:tabs>
          <w:tab w:val="left" w:pos="720"/>
          <w:tab w:val="left" w:pos="1440"/>
        </w:tabs>
        <w:ind w:left="432"/>
        <w:contextualSpacing/>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1670528" behindDoc="0" locked="0" layoutInCell="1" allowOverlap="1" wp14:anchorId="59526E35" wp14:editId="4158229D">
                <wp:simplePos x="0" y="0"/>
                <wp:positionH relativeFrom="column">
                  <wp:posOffset>1143000</wp:posOffset>
                </wp:positionH>
                <wp:positionV relativeFrom="paragraph">
                  <wp:posOffset>158115</wp:posOffset>
                </wp:positionV>
                <wp:extent cx="60960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45DFB7" id="Straight Connector 10" o:spid="_x0000_s1026" alt="&quot;&quot;"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0pt,12.45pt" to="13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" strokecolor="windowText" strokeweight=".5pt">
                <v:stroke joinstyle="miter"/>
              </v:line>
            </w:pict>
          </mc:Fallback>
        </mc:AlternateContent>
      </w:r>
      <w:r>
        <w:rPr>
          <w:rFonts w:eastAsia="Calibri" w:cstheme="minorHAnsi"/>
          <w:noProof/>
          <w:sz w:val="24"/>
          <w:szCs w:val="24"/>
        </w:rPr>
        <mc:AlternateContent>
          <mc:Choice Requires="wps">
            <w:drawing>
              <wp:anchor distT="0" distB="0" distL="114300" distR="114300" simplePos="0" relativeHeight="251672576" behindDoc="0" locked="0" layoutInCell="1" allowOverlap="1" wp14:anchorId="4DE7FE7F" wp14:editId="6D34AF08">
                <wp:simplePos x="0" y="0"/>
                <wp:positionH relativeFrom="column">
                  <wp:posOffset>2209800</wp:posOffset>
                </wp:positionH>
                <wp:positionV relativeFrom="paragraph">
                  <wp:posOffset>158115</wp:posOffset>
                </wp:positionV>
                <wp:extent cx="609600"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11E504" id="Straight Connector 11" o:spid="_x0000_s1026" alt="&quot;&quot;"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74pt,12.45pt" to="22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" strokecolor="windowText" strokeweight=".5pt">
                <v:stroke joinstyle="miter"/>
              </v:line>
            </w:pict>
          </mc:Fallback>
        </mc:AlternateContent>
      </w:r>
      <w:r w:rsidR="006F056D" w:rsidRPr="00090CC4">
        <w:rPr>
          <w:rFonts w:eastAsia="Calibri" w:cstheme="minorHAnsi"/>
          <w:sz w:val="24"/>
          <w:szCs w:val="24"/>
        </w:rPr>
        <w:t xml:space="preserve">Approved By: </w:t>
      </w:r>
      <w:r>
        <w:rPr>
          <w:rFonts w:eastAsia="Calibri" w:cstheme="minorHAnsi"/>
          <w:sz w:val="24"/>
          <w:szCs w:val="24"/>
        </w:rPr>
        <w:t xml:space="preserve">                    </w:t>
      </w:r>
      <w:r w:rsidR="006F056D" w:rsidRPr="00090CC4">
        <w:rPr>
          <w:rFonts w:eastAsia="Calibri" w:cstheme="minorHAnsi"/>
          <w:sz w:val="24"/>
          <w:szCs w:val="24"/>
        </w:rPr>
        <w:t xml:space="preserve">Date: </w:t>
      </w:r>
    </w:p>
    <w:p w14:paraId="2A77D1FA" w14:textId="77777777" w:rsidR="006F056D" w:rsidRPr="00090CC4" w:rsidRDefault="006F056D" w:rsidP="00B77465">
      <w:pPr>
        <w:tabs>
          <w:tab w:val="left" w:pos="720"/>
          <w:tab w:val="left" w:pos="1440"/>
        </w:tabs>
        <w:ind w:left="1440"/>
        <w:contextualSpacing/>
        <w:rPr>
          <w:rFonts w:eastAsia="Calibri" w:cstheme="minorHAnsi"/>
          <w:sz w:val="24"/>
          <w:szCs w:val="24"/>
        </w:rPr>
      </w:pPr>
      <w:r w:rsidRPr="00090CC4">
        <w:rPr>
          <w:rFonts w:eastAsia="Calibri" w:cstheme="minorHAnsi"/>
          <w:sz w:val="24"/>
          <w:szCs w:val="24"/>
        </w:rPr>
        <w:tab/>
        <w:t xml:space="preserve"> Quality Manager</w:t>
      </w:r>
    </w:p>
    <w:p w14:paraId="6982616D" w14:textId="08F78A52" w:rsidR="008F2810" w:rsidRPr="00090CC4" w:rsidRDefault="008F2810" w:rsidP="00B77465">
      <w:pPr>
        <w:tabs>
          <w:tab w:val="left" w:pos="720"/>
          <w:tab w:val="left" w:pos="1440"/>
        </w:tabs>
        <w:spacing w:after="0" w:line="240" w:lineRule="auto"/>
        <w:ind w:left="1440"/>
        <w:rPr>
          <w:rFonts w:eastAsia="Calibri" w:cstheme="minorHAnsi"/>
          <w:sz w:val="24"/>
          <w:szCs w:val="24"/>
        </w:rPr>
      </w:pPr>
    </w:p>
    <w:p w14:paraId="30450A80" w14:textId="1B821BF8" w:rsidR="008F2810" w:rsidRPr="00090CC4" w:rsidRDefault="0081735C" w:rsidP="00B77465">
      <w:pPr>
        <w:tabs>
          <w:tab w:val="left" w:pos="720"/>
          <w:tab w:val="left" w:pos="1440"/>
        </w:tabs>
        <w:spacing w:after="0" w:line="240" w:lineRule="auto"/>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1674624" behindDoc="0" locked="0" layoutInCell="1" allowOverlap="1" wp14:anchorId="541807A1" wp14:editId="192BC97C">
                <wp:simplePos x="0" y="0"/>
                <wp:positionH relativeFrom="column">
                  <wp:posOffset>1130300</wp:posOffset>
                </wp:positionH>
                <wp:positionV relativeFrom="paragraph">
                  <wp:posOffset>35560</wp:posOffset>
                </wp:positionV>
                <wp:extent cx="3886200" cy="6350"/>
                <wp:effectExtent l="0" t="0" r="19050" b="3175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862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45590B" id="Straight Connector 12" o:spid="_x0000_s1026" alt="&quot;&quot;"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2.8pt" to="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" strokecolor="windowText" strokeweight=".5pt">
                <v:stroke joinstyle="miter"/>
              </v:line>
            </w:pict>
          </mc:Fallback>
        </mc:AlternateContent>
      </w:r>
    </w:p>
    <w:p w14:paraId="58D21435" w14:textId="214B3023" w:rsidR="0081735C" w:rsidRPr="00090CC4" w:rsidRDefault="0081735C" w:rsidP="00B77465">
      <w:pPr>
        <w:tabs>
          <w:tab w:val="left" w:pos="720"/>
          <w:tab w:val="left" w:pos="1440"/>
        </w:tabs>
        <w:spacing w:after="0"/>
        <w:ind w:left="2160"/>
        <w:contextualSpacing/>
        <w:rPr>
          <w:rFonts w:eastAsia="Calibri" w:cstheme="minorHAnsi"/>
          <w:sz w:val="24"/>
          <w:szCs w:val="24"/>
        </w:rPr>
      </w:pPr>
      <w:r w:rsidRPr="00090CC4">
        <w:rPr>
          <w:rFonts w:eastAsia="Calibri" w:cstheme="minorHAnsi"/>
          <w:sz w:val="24"/>
          <w:szCs w:val="24"/>
        </w:rPr>
        <w:t>Print Name and Title</w:t>
      </w:r>
    </w:p>
    <w:p w14:paraId="25634BED" w14:textId="0E5E22E1" w:rsidR="00BA3F43" w:rsidRDefault="00BA3F43" w:rsidP="00B77465">
      <w:pPr>
        <w:spacing w:after="160" w:line="259" w:lineRule="auto"/>
        <w:rPr>
          <w:rFonts w:eastAsia="Calibri" w:cstheme="minorHAnsi"/>
          <w:b/>
          <w:sz w:val="24"/>
          <w:szCs w:val="24"/>
        </w:rPr>
      </w:pPr>
    </w:p>
    <w:p w14:paraId="296F2E2E" w14:textId="3FB888C2" w:rsidR="006F056D" w:rsidRPr="00090CC4" w:rsidRDefault="006F056D" w:rsidP="005A34B7">
      <w:pPr>
        <w:spacing w:after="160" w:line="259" w:lineRule="auto"/>
        <w:jc w:val="center"/>
        <w:rPr>
          <w:rFonts w:eastAsia="Calibri" w:cstheme="minorHAnsi"/>
          <w:b/>
          <w:sz w:val="24"/>
          <w:szCs w:val="24"/>
        </w:rPr>
      </w:pPr>
      <w:r w:rsidRPr="00090CC4">
        <w:rPr>
          <w:rFonts w:eastAsia="Calibri" w:cstheme="minorHAnsi"/>
          <w:b/>
          <w:sz w:val="24"/>
          <w:szCs w:val="24"/>
        </w:rPr>
        <w:lastRenderedPageBreak/>
        <w:t xml:space="preserve">Appendix A – </w:t>
      </w:r>
      <w:r w:rsidRPr="00090CC4">
        <w:rPr>
          <w:rFonts w:eastAsia="Calibri" w:cstheme="minorHAnsi"/>
          <w:bCs/>
          <w:sz w:val="24"/>
          <w:szCs w:val="24"/>
        </w:rPr>
        <w:t>Illumina NGS QC Checkpoints Process Map</w:t>
      </w:r>
    </w:p>
    <w:p w14:paraId="41087332" w14:textId="3CA0C175" w:rsidR="006F056D" w:rsidRPr="00090CC4" w:rsidRDefault="006F056D" w:rsidP="005A34B7">
      <w:pPr>
        <w:pStyle w:val="ListParagraph"/>
        <w:spacing w:before="200" w:after="0" w:line="240" w:lineRule="auto"/>
        <w:ind w:left="0"/>
        <w:rPr>
          <w:rStyle w:val="normaltextrun"/>
          <w:rFonts w:eastAsia="Times New Roman" w:cstheme="minorHAnsi"/>
          <w:sz w:val="24"/>
          <w:szCs w:val="24"/>
        </w:rPr>
      </w:pPr>
      <w:r w:rsidRPr="00090CC4">
        <w:rPr>
          <w:rFonts w:eastAsia="Calibri" w:cstheme="minorHAnsi"/>
          <w:b/>
          <w:noProof/>
          <w:sz w:val="24"/>
          <w:szCs w:val="24"/>
        </w:rPr>
        <w:drawing>
          <wp:inline distT="0" distB="0" distL="0" distR="0" wp14:anchorId="378857B6" wp14:editId="1B6A37CA">
            <wp:extent cx="6210886" cy="4325580"/>
            <wp:effectExtent l="0" t="0" r="0" b="0"/>
            <wp:docPr id="2" name="Picture 2" descr="Process Map&#10;&#10;This is the Illumina NGS Quality Control Checkpoints Process Map. It is divided horizontally into 3 sections as follows, process, SOPs and expected results from top to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cess Map&#10;&#10;This is the Illumina NGS Quality Control Checkpoints Process Map. It is divided horizontally into 3 sections as follows, process, SOPs and expected results from top to bott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4046" cy="4348674"/>
                    </a:xfrm>
                    <a:prstGeom prst="rect">
                      <a:avLst/>
                    </a:prstGeom>
                    <a:noFill/>
                  </pic:spPr>
                </pic:pic>
              </a:graphicData>
            </a:graphic>
          </wp:inline>
        </w:drawing>
      </w:r>
    </w:p>
    <w:p w14:paraId="7E2A6E7B" w14:textId="1AAE72A1" w:rsidR="006F056D" w:rsidRPr="00090CC4" w:rsidRDefault="006F056D" w:rsidP="006F056D">
      <w:pPr>
        <w:pStyle w:val="ListParagraph"/>
        <w:spacing w:before="200" w:after="0" w:line="240" w:lineRule="auto"/>
        <w:ind w:left="648"/>
        <w:rPr>
          <w:rStyle w:val="normaltextrun"/>
          <w:rFonts w:eastAsia="Times New Roman" w:cstheme="minorHAnsi"/>
          <w:sz w:val="24"/>
          <w:szCs w:val="24"/>
        </w:rPr>
      </w:pPr>
    </w:p>
    <w:p w14:paraId="31705A96" w14:textId="3E500D00"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200F910B" w14:textId="103C16E2"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6C46A54E" w14:textId="6D408CEE"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606B805E" w14:textId="1728845F"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086AEB69" w14:textId="08D5C5C8"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0C114AB3" w14:textId="0E6B5B9E"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47A684C7" w14:textId="5A40B1F7"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7EF82B3E" w14:textId="119FD38D"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3B837C99" w14:textId="3E4FD226"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173DCA1C" w14:textId="387F4088"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04DB6944" w14:textId="70621098"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7D238E93" w14:textId="5821AB3E"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1EB33D85" w14:textId="5D4BE28B"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433ED66C" w14:textId="5CB4C499"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1DE719D8" w14:textId="45D73B66"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6D0EA047" w14:textId="6527B708"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3FA595D5" w14:textId="4E71E3BF" w:rsidR="008F2810" w:rsidRPr="00090CC4" w:rsidRDefault="008F2810" w:rsidP="006F056D">
      <w:pPr>
        <w:pStyle w:val="ListParagraph"/>
        <w:spacing w:before="200" w:after="0" w:line="240" w:lineRule="auto"/>
        <w:ind w:left="648"/>
        <w:rPr>
          <w:rStyle w:val="normaltextrun"/>
          <w:rFonts w:eastAsia="Times New Roman" w:cstheme="minorHAnsi"/>
          <w:sz w:val="24"/>
          <w:szCs w:val="24"/>
        </w:rPr>
      </w:pPr>
    </w:p>
    <w:p w14:paraId="1B6DB959" w14:textId="2F22E607" w:rsidR="006F056D" w:rsidRPr="00090CC4" w:rsidRDefault="006F056D" w:rsidP="008F2810">
      <w:pPr>
        <w:tabs>
          <w:tab w:val="left" w:pos="450"/>
        </w:tabs>
        <w:jc w:val="center"/>
        <w:rPr>
          <w:rFonts w:eastAsia="Calibri" w:cstheme="minorHAnsi"/>
          <w:b/>
          <w:sz w:val="24"/>
          <w:szCs w:val="24"/>
        </w:rPr>
      </w:pPr>
      <w:r w:rsidRPr="00090CC4">
        <w:rPr>
          <w:rFonts w:eastAsia="Calibri" w:cstheme="minorHAnsi"/>
          <w:b/>
          <w:sz w:val="24"/>
          <w:szCs w:val="24"/>
        </w:rPr>
        <w:lastRenderedPageBreak/>
        <w:t xml:space="preserve">Appendix B – </w:t>
      </w:r>
      <w:r w:rsidRPr="00090CC4">
        <w:rPr>
          <w:rFonts w:eastAsia="Calibri" w:cstheme="minorHAnsi"/>
          <w:bCs/>
          <w:sz w:val="24"/>
          <w:szCs w:val="24"/>
        </w:rPr>
        <w:t>Illumina NGS QC Checklist</w:t>
      </w:r>
    </w:p>
    <w:tbl>
      <w:tblPr>
        <w:tblW w:w="4375"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llumina NGS QC Checklist"/>
        <w:tblDescription w:val="Table displaying QC checkpoint process step, method (SOPs), and expected results as guidance for laboratories to follow during Illumina NGS workflows."/>
      </w:tblPr>
      <w:tblGrid>
        <w:gridCol w:w="3003"/>
        <w:gridCol w:w="3442"/>
        <w:gridCol w:w="2366"/>
      </w:tblGrid>
      <w:tr w:rsidR="006F056D" w:rsidRPr="00090CC4" w14:paraId="2285A06A" w14:textId="77777777" w:rsidTr="008F2810">
        <w:trPr>
          <w:cantSplit/>
          <w:tblHeader/>
        </w:trPr>
        <w:tc>
          <w:tcPr>
            <w:tcW w:w="3531" w:type="dxa"/>
            <w:shd w:val="clear" w:color="auto" w:fill="DEEAF6" w:themeFill="accent1" w:themeFillTint="33"/>
          </w:tcPr>
          <w:p w14:paraId="304DBC96" w14:textId="77777777" w:rsidR="006F056D" w:rsidRPr="00E1510E" w:rsidRDefault="006F056D" w:rsidP="006F056D">
            <w:pPr>
              <w:spacing w:after="0" w:line="240" w:lineRule="auto"/>
              <w:rPr>
                <w:rFonts w:eastAsia="Calibri" w:cstheme="minorHAnsi"/>
                <w:b/>
                <w:bCs/>
                <w:sz w:val="24"/>
                <w:szCs w:val="24"/>
              </w:rPr>
            </w:pPr>
            <w:r w:rsidRPr="00E1510E">
              <w:rPr>
                <w:rFonts w:eastAsia="Calibri" w:cstheme="minorHAnsi"/>
                <w:b/>
                <w:bCs/>
                <w:sz w:val="24"/>
                <w:szCs w:val="24"/>
              </w:rPr>
              <w:t>QC Checkpoint (Process Step)</w:t>
            </w:r>
          </w:p>
        </w:tc>
        <w:tc>
          <w:tcPr>
            <w:tcW w:w="3911" w:type="dxa"/>
            <w:shd w:val="clear" w:color="auto" w:fill="DEEAF6" w:themeFill="accent1" w:themeFillTint="33"/>
          </w:tcPr>
          <w:p w14:paraId="3148850F" w14:textId="77777777" w:rsidR="006F056D" w:rsidRPr="00E1510E" w:rsidRDefault="006F056D" w:rsidP="006F056D">
            <w:pPr>
              <w:spacing w:after="0" w:line="240" w:lineRule="auto"/>
              <w:rPr>
                <w:rFonts w:eastAsia="Calibri" w:cstheme="minorHAnsi"/>
                <w:b/>
                <w:bCs/>
                <w:sz w:val="24"/>
                <w:szCs w:val="24"/>
              </w:rPr>
            </w:pPr>
            <w:r w:rsidRPr="00E1510E">
              <w:rPr>
                <w:rFonts w:eastAsia="Calibri" w:cstheme="minorHAnsi"/>
                <w:b/>
                <w:bCs/>
                <w:sz w:val="24"/>
                <w:szCs w:val="24"/>
              </w:rPr>
              <w:t>Method (SOPs)</w:t>
            </w:r>
          </w:p>
        </w:tc>
        <w:tc>
          <w:tcPr>
            <w:tcW w:w="2515" w:type="dxa"/>
            <w:shd w:val="clear" w:color="auto" w:fill="DEEAF6" w:themeFill="accent1" w:themeFillTint="33"/>
          </w:tcPr>
          <w:p w14:paraId="46255DA0" w14:textId="77777777" w:rsidR="006F056D" w:rsidRPr="00E1510E" w:rsidRDefault="006F056D" w:rsidP="006F056D">
            <w:pPr>
              <w:spacing w:after="0" w:line="240" w:lineRule="auto"/>
              <w:rPr>
                <w:rFonts w:eastAsia="Calibri" w:cstheme="minorHAnsi"/>
                <w:b/>
                <w:bCs/>
                <w:sz w:val="24"/>
                <w:szCs w:val="24"/>
              </w:rPr>
            </w:pPr>
            <w:r w:rsidRPr="00E1510E">
              <w:rPr>
                <w:rFonts w:eastAsia="Calibri" w:cstheme="minorHAnsi"/>
                <w:b/>
                <w:bCs/>
                <w:sz w:val="24"/>
                <w:szCs w:val="24"/>
              </w:rPr>
              <w:t>Expected Results*</w:t>
            </w:r>
          </w:p>
        </w:tc>
      </w:tr>
      <w:tr w:rsidR="006F056D" w:rsidRPr="00090CC4" w14:paraId="0B048804" w14:textId="77777777" w:rsidTr="008F2810">
        <w:trPr>
          <w:cantSplit/>
        </w:trPr>
        <w:tc>
          <w:tcPr>
            <w:tcW w:w="3531" w:type="dxa"/>
            <w:shd w:val="clear" w:color="auto" w:fill="FFFFFF"/>
          </w:tcPr>
          <w:p w14:paraId="7B67BB73"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Post-Extraction Nucleic Acid (2.2)</w:t>
            </w:r>
          </w:p>
          <w:p w14:paraId="558F2CC7"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Quantitate purity and concentration</w:t>
            </w:r>
          </w:p>
        </w:tc>
        <w:tc>
          <w:tcPr>
            <w:tcW w:w="3911" w:type="dxa"/>
            <w:shd w:val="clear" w:color="auto" w:fill="auto"/>
          </w:tcPr>
          <w:p w14:paraId="70B5ADD3"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Purity (choose one):</w:t>
            </w:r>
          </w:p>
          <w:p w14:paraId="04DA6833" w14:textId="50C8BCE9"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w:t>
            </w:r>
            <w:r w:rsidR="00F9452A" w:rsidRPr="00090CC4">
              <w:rPr>
                <w:rFonts w:eastAsia="Calibri" w:cstheme="minorHAnsi"/>
                <w:sz w:val="24"/>
                <w:szCs w:val="24"/>
              </w:rPr>
              <w:t>Nano</w:t>
            </w:r>
            <w:r w:rsidR="00F830DA">
              <w:rPr>
                <w:rFonts w:eastAsia="Calibri" w:cstheme="minorHAnsi"/>
                <w:sz w:val="24"/>
                <w:szCs w:val="24"/>
              </w:rPr>
              <w:t>D</w:t>
            </w:r>
            <w:r w:rsidR="00F9452A" w:rsidRPr="00090CC4">
              <w:rPr>
                <w:rFonts w:eastAsia="Calibri" w:cstheme="minorHAnsi"/>
                <w:sz w:val="24"/>
                <w:szCs w:val="24"/>
              </w:rPr>
              <w:t>rop</w:t>
            </w:r>
            <w:r w:rsidRPr="00090CC4">
              <w:rPr>
                <w:rFonts w:eastAsia="Calibri" w:cstheme="minorHAnsi"/>
                <w:sz w:val="24"/>
                <w:szCs w:val="24"/>
              </w:rPr>
              <w:t xml:space="preserve"> Nucleic Acid Quantitation Assay</w:t>
            </w:r>
          </w:p>
          <w:p w14:paraId="49DC1969"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_________________</w:t>
            </w:r>
          </w:p>
          <w:p w14:paraId="1BC7A36B" w14:textId="77777777" w:rsidR="006F056D" w:rsidRPr="00090CC4" w:rsidRDefault="006F056D" w:rsidP="00B77465">
            <w:pPr>
              <w:spacing w:after="0" w:line="240" w:lineRule="auto"/>
              <w:rPr>
                <w:rFonts w:eastAsia="Calibri" w:cstheme="minorHAnsi"/>
                <w:i/>
                <w:sz w:val="24"/>
                <w:szCs w:val="24"/>
              </w:rPr>
            </w:pPr>
            <w:r w:rsidRPr="00090CC4">
              <w:rPr>
                <w:rFonts w:eastAsia="Calibri" w:cstheme="minorHAnsi"/>
                <w:i/>
                <w:sz w:val="24"/>
                <w:szCs w:val="24"/>
              </w:rPr>
              <w:t>AND</w:t>
            </w:r>
          </w:p>
          <w:p w14:paraId="54D50448"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Concentration (choose one):</w:t>
            </w:r>
          </w:p>
          <w:p w14:paraId="0B1211C8"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Qubit dsDNA or RNA Quantitation Assay</w:t>
            </w:r>
          </w:p>
          <w:p w14:paraId="4F40CE0B"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Quant-iT Assay</w:t>
            </w:r>
          </w:p>
          <w:p w14:paraId="042D522B"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_________________</w:t>
            </w:r>
          </w:p>
          <w:p w14:paraId="59B5EAC0" w14:textId="77777777" w:rsidR="006F056D" w:rsidRPr="00090CC4" w:rsidRDefault="006F056D" w:rsidP="00B77465">
            <w:pPr>
              <w:spacing w:after="0" w:line="240" w:lineRule="auto"/>
              <w:rPr>
                <w:rFonts w:eastAsia="Calibri" w:cstheme="minorHAnsi"/>
                <w:i/>
                <w:sz w:val="24"/>
                <w:szCs w:val="24"/>
              </w:rPr>
            </w:pPr>
            <w:r w:rsidRPr="00090CC4">
              <w:rPr>
                <w:rFonts w:eastAsia="Calibri" w:cstheme="minorHAnsi"/>
                <w:i/>
                <w:sz w:val="24"/>
                <w:szCs w:val="24"/>
              </w:rPr>
              <w:t>OR</w:t>
            </w:r>
          </w:p>
          <w:p w14:paraId="32FBAB42"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Electrophoresis Instrument for NGS (choose one):</w:t>
            </w:r>
          </w:p>
          <w:p w14:paraId="7BE5BED7"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TapeStation Assay</w:t>
            </w:r>
          </w:p>
          <w:p w14:paraId="37D74354"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Bioanalyzer Assay</w:t>
            </w:r>
          </w:p>
          <w:p w14:paraId="583EC5DB"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BluePippin Assay</w:t>
            </w:r>
          </w:p>
          <w:p w14:paraId="7B394250"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_________________</w:t>
            </w:r>
          </w:p>
        </w:tc>
        <w:tc>
          <w:tcPr>
            <w:tcW w:w="2515" w:type="dxa"/>
            <w:shd w:val="clear" w:color="auto" w:fill="auto"/>
          </w:tcPr>
          <w:p w14:paraId="5EB1FC82"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Purity: A</w:t>
            </w:r>
            <w:r w:rsidRPr="00090CC4">
              <w:rPr>
                <w:rFonts w:eastAsia="Calibri" w:cstheme="minorHAnsi"/>
                <w:sz w:val="24"/>
                <w:szCs w:val="24"/>
                <w:vertAlign w:val="subscript"/>
              </w:rPr>
              <w:t>260</w:t>
            </w:r>
            <w:r w:rsidRPr="00090CC4">
              <w:rPr>
                <w:rFonts w:eastAsia="Calibri" w:cstheme="minorHAnsi"/>
                <w:sz w:val="24"/>
                <w:szCs w:val="24"/>
              </w:rPr>
              <w:t>/A</w:t>
            </w:r>
            <w:r w:rsidRPr="00090CC4">
              <w:rPr>
                <w:rFonts w:eastAsia="Calibri" w:cstheme="minorHAnsi"/>
                <w:sz w:val="24"/>
                <w:szCs w:val="24"/>
                <w:vertAlign w:val="subscript"/>
              </w:rPr>
              <w:t>280</w:t>
            </w:r>
            <w:r w:rsidRPr="00090CC4">
              <w:rPr>
                <w:rFonts w:eastAsia="Calibri" w:cstheme="minorHAnsi"/>
                <w:sz w:val="24"/>
                <w:szCs w:val="24"/>
              </w:rPr>
              <w:t xml:space="preserve"> = 1.8-2.0</w:t>
            </w:r>
          </w:p>
          <w:p w14:paraId="6D30F465" w14:textId="77777777" w:rsidR="006F056D" w:rsidRPr="00090CC4" w:rsidRDefault="006F056D" w:rsidP="00B77465">
            <w:pPr>
              <w:spacing w:after="0" w:line="240" w:lineRule="auto"/>
              <w:rPr>
                <w:rFonts w:eastAsia="Calibri" w:cstheme="minorHAnsi"/>
                <w:sz w:val="24"/>
                <w:szCs w:val="24"/>
              </w:rPr>
            </w:pPr>
          </w:p>
          <w:p w14:paraId="0A1CB97C"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Concentration: &gt; 500 ng in a 20-100 µL sample</w:t>
            </w:r>
          </w:p>
        </w:tc>
      </w:tr>
      <w:tr w:rsidR="006F056D" w:rsidRPr="00090CC4" w14:paraId="6645A5A8" w14:textId="77777777" w:rsidTr="008F2810">
        <w:trPr>
          <w:cantSplit/>
        </w:trPr>
        <w:tc>
          <w:tcPr>
            <w:tcW w:w="3531" w:type="dxa"/>
            <w:shd w:val="clear" w:color="auto" w:fill="FFFFFF"/>
          </w:tcPr>
          <w:p w14:paraId="47E2BD3F"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Fragmentation and Size Selection (2.4)</w:t>
            </w:r>
          </w:p>
          <w:p w14:paraId="6082F1C7"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Confirm size selection</w:t>
            </w:r>
          </w:p>
        </w:tc>
        <w:tc>
          <w:tcPr>
            <w:tcW w:w="3911" w:type="dxa"/>
            <w:shd w:val="clear" w:color="auto" w:fill="auto"/>
          </w:tcPr>
          <w:p w14:paraId="1A823B9B"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Electrophoresis Instrument for NGS (choose one):</w:t>
            </w:r>
          </w:p>
          <w:p w14:paraId="11357AC2"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TapeStation Assay</w:t>
            </w:r>
          </w:p>
          <w:p w14:paraId="4BB328F6"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Bioanalyzer Assay</w:t>
            </w:r>
          </w:p>
          <w:p w14:paraId="33373FF5"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BluePippin DNA Size Selection Assay</w:t>
            </w:r>
          </w:p>
          <w:p w14:paraId="699D64A1"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_________________</w:t>
            </w:r>
          </w:p>
        </w:tc>
        <w:tc>
          <w:tcPr>
            <w:tcW w:w="2515" w:type="dxa"/>
            <w:shd w:val="clear" w:color="auto" w:fill="auto"/>
          </w:tcPr>
          <w:p w14:paraId="562A7165"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Electropherogram results:</w:t>
            </w:r>
          </w:p>
          <w:p w14:paraId="354D01AA"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Single peak/band of desired size with no tailing and excessive broadening per lab specifications</w:t>
            </w:r>
          </w:p>
        </w:tc>
      </w:tr>
      <w:tr w:rsidR="006F056D" w:rsidRPr="00090CC4" w14:paraId="73BE0034" w14:textId="77777777" w:rsidTr="008F2810">
        <w:trPr>
          <w:cantSplit/>
        </w:trPr>
        <w:tc>
          <w:tcPr>
            <w:tcW w:w="3531" w:type="dxa"/>
            <w:shd w:val="clear" w:color="auto" w:fill="FFFFFF"/>
          </w:tcPr>
          <w:p w14:paraId="18F10223"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lastRenderedPageBreak/>
              <w:t>cDNA Synthesis* (2.6)</w:t>
            </w:r>
          </w:p>
          <w:p w14:paraId="70EBC5F7" w14:textId="3523A10D"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 xml:space="preserve">Quantitate purity and </w:t>
            </w:r>
            <w:r w:rsidR="00DE1696" w:rsidRPr="00090CC4">
              <w:rPr>
                <w:rFonts w:eastAsia="Calibri" w:cstheme="minorHAnsi"/>
                <w:sz w:val="24"/>
                <w:szCs w:val="24"/>
              </w:rPr>
              <w:t>concentration</w:t>
            </w:r>
          </w:p>
          <w:p w14:paraId="201678FD" w14:textId="77777777" w:rsidR="006F056D" w:rsidRPr="00090CC4" w:rsidRDefault="006F056D" w:rsidP="00B77465">
            <w:pPr>
              <w:spacing w:after="0" w:line="240" w:lineRule="auto"/>
              <w:rPr>
                <w:rFonts w:eastAsia="Calibri" w:cstheme="minorHAnsi"/>
                <w:sz w:val="24"/>
                <w:szCs w:val="24"/>
              </w:rPr>
            </w:pPr>
          </w:p>
          <w:p w14:paraId="192C36E3" w14:textId="77777777" w:rsidR="006F056D" w:rsidRPr="00090CC4" w:rsidRDefault="006F056D" w:rsidP="00B77465">
            <w:pPr>
              <w:spacing w:after="0" w:line="240" w:lineRule="auto"/>
              <w:rPr>
                <w:rFonts w:eastAsia="Calibri" w:cstheme="minorHAnsi"/>
                <w:sz w:val="24"/>
                <w:szCs w:val="24"/>
              </w:rPr>
            </w:pPr>
          </w:p>
          <w:p w14:paraId="5042660D" w14:textId="77777777" w:rsidR="006F056D" w:rsidRPr="00090CC4" w:rsidRDefault="006F056D" w:rsidP="00B77465">
            <w:pPr>
              <w:spacing w:after="0" w:line="240" w:lineRule="auto"/>
              <w:rPr>
                <w:rFonts w:eastAsia="Calibri" w:cstheme="minorHAnsi"/>
                <w:i/>
                <w:sz w:val="24"/>
                <w:szCs w:val="24"/>
              </w:rPr>
            </w:pPr>
          </w:p>
          <w:p w14:paraId="1E51D46C" w14:textId="77777777" w:rsidR="006F056D" w:rsidRPr="00090CC4" w:rsidRDefault="006F056D" w:rsidP="00B77465">
            <w:pPr>
              <w:spacing w:after="0" w:line="240" w:lineRule="auto"/>
              <w:rPr>
                <w:rFonts w:eastAsia="Calibri" w:cstheme="minorHAnsi"/>
                <w:i/>
                <w:sz w:val="24"/>
                <w:szCs w:val="24"/>
              </w:rPr>
            </w:pPr>
          </w:p>
          <w:p w14:paraId="444EE297" w14:textId="77777777" w:rsidR="006F056D" w:rsidRPr="00090CC4" w:rsidRDefault="006F056D" w:rsidP="00B77465">
            <w:pPr>
              <w:spacing w:after="0" w:line="240" w:lineRule="auto"/>
              <w:rPr>
                <w:rFonts w:eastAsia="Calibri" w:cstheme="minorHAnsi"/>
                <w:i/>
                <w:sz w:val="24"/>
                <w:szCs w:val="24"/>
              </w:rPr>
            </w:pPr>
          </w:p>
          <w:p w14:paraId="21578CE7" w14:textId="77777777" w:rsidR="006F056D" w:rsidRPr="00090CC4" w:rsidRDefault="006F056D" w:rsidP="00B77465">
            <w:pPr>
              <w:spacing w:after="0" w:line="240" w:lineRule="auto"/>
              <w:rPr>
                <w:rFonts w:eastAsia="Calibri" w:cstheme="minorHAnsi"/>
                <w:i/>
                <w:sz w:val="24"/>
                <w:szCs w:val="24"/>
              </w:rPr>
            </w:pPr>
          </w:p>
          <w:p w14:paraId="36C54FC9" w14:textId="77777777" w:rsidR="006F056D" w:rsidRPr="00090CC4" w:rsidRDefault="006F056D" w:rsidP="00B77465">
            <w:pPr>
              <w:spacing w:after="0" w:line="240" w:lineRule="auto"/>
              <w:rPr>
                <w:rFonts w:eastAsia="Calibri" w:cstheme="minorHAnsi"/>
                <w:i/>
                <w:sz w:val="24"/>
                <w:szCs w:val="24"/>
              </w:rPr>
            </w:pPr>
          </w:p>
          <w:p w14:paraId="4A92B201" w14:textId="77777777" w:rsidR="006F056D" w:rsidRPr="00090CC4" w:rsidRDefault="006F056D" w:rsidP="00B77465">
            <w:pPr>
              <w:spacing w:after="0" w:line="240" w:lineRule="auto"/>
              <w:rPr>
                <w:rFonts w:eastAsia="Calibri" w:cstheme="minorHAnsi"/>
                <w:i/>
                <w:sz w:val="24"/>
                <w:szCs w:val="24"/>
              </w:rPr>
            </w:pPr>
          </w:p>
          <w:p w14:paraId="78C39DFC" w14:textId="77777777" w:rsidR="006F056D" w:rsidRPr="00090CC4" w:rsidRDefault="006F056D" w:rsidP="00B77465">
            <w:pPr>
              <w:spacing w:after="0" w:line="240" w:lineRule="auto"/>
              <w:rPr>
                <w:rFonts w:eastAsia="Calibri" w:cstheme="minorHAnsi"/>
                <w:i/>
                <w:sz w:val="24"/>
                <w:szCs w:val="24"/>
              </w:rPr>
            </w:pPr>
          </w:p>
          <w:p w14:paraId="0390D3A6" w14:textId="47DD4845" w:rsidR="006F056D" w:rsidRPr="00090CC4" w:rsidRDefault="006F056D" w:rsidP="00B77465">
            <w:pPr>
              <w:spacing w:after="0" w:line="240" w:lineRule="auto"/>
              <w:rPr>
                <w:rFonts w:eastAsia="Calibri" w:cstheme="minorHAnsi"/>
                <w:i/>
                <w:sz w:val="24"/>
                <w:szCs w:val="24"/>
              </w:rPr>
            </w:pPr>
            <w:r w:rsidRPr="00090CC4">
              <w:rPr>
                <w:rFonts w:eastAsia="Calibri" w:cstheme="minorHAnsi"/>
                <w:i/>
                <w:sz w:val="24"/>
                <w:szCs w:val="24"/>
              </w:rPr>
              <w:t>*</w:t>
            </w:r>
            <w:r w:rsidR="00DE1696" w:rsidRPr="00090CC4">
              <w:rPr>
                <w:rFonts w:eastAsia="Calibri" w:cstheme="minorHAnsi"/>
                <w:i/>
                <w:sz w:val="24"/>
                <w:szCs w:val="24"/>
              </w:rPr>
              <w:t>For</w:t>
            </w:r>
            <w:r w:rsidRPr="00090CC4">
              <w:rPr>
                <w:rFonts w:eastAsia="Calibri" w:cstheme="minorHAnsi"/>
                <w:i/>
                <w:sz w:val="24"/>
                <w:szCs w:val="24"/>
              </w:rPr>
              <w:t xml:space="preserve"> RNA sample only</w:t>
            </w:r>
          </w:p>
        </w:tc>
        <w:tc>
          <w:tcPr>
            <w:tcW w:w="3911" w:type="dxa"/>
            <w:shd w:val="clear" w:color="auto" w:fill="auto"/>
          </w:tcPr>
          <w:p w14:paraId="66142799"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Purity (choose one):</w:t>
            </w:r>
          </w:p>
          <w:p w14:paraId="2E3FFD70" w14:textId="0E08B5D4"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w:t>
            </w:r>
            <w:r w:rsidR="00F9452A" w:rsidRPr="00090CC4">
              <w:rPr>
                <w:rFonts w:eastAsia="Calibri" w:cstheme="minorHAnsi"/>
                <w:sz w:val="24"/>
                <w:szCs w:val="24"/>
              </w:rPr>
              <w:t>Nano</w:t>
            </w:r>
            <w:r w:rsidR="00F830DA">
              <w:rPr>
                <w:rFonts w:eastAsia="Calibri" w:cstheme="minorHAnsi"/>
                <w:sz w:val="24"/>
                <w:szCs w:val="24"/>
              </w:rPr>
              <w:t>D</w:t>
            </w:r>
            <w:r w:rsidR="00F9452A" w:rsidRPr="00090CC4">
              <w:rPr>
                <w:rFonts w:eastAsia="Calibri" w:cstheme="minorHAnsi"/>
                <w:sz w:val="24"/>
                <w:szCs w:val="24"/>
              </w:rPr>
              <w:t>rop</w:t>
            </w:r>
            <w:r w:rsidRPr="00090CC4">
              <w:rPr>
                <w:rFonts w:eastAsia="Calibri" w:cstheme="minorHAnsi"/>
                <w:sz w:val="24"/>
                <w:szCs w:val="24"/>
              </w:rPr>
              <w:t xml:space="preserve"> Nucleic Acid Quantitation Assay</w:t>
            </w:r>
          </w:p>
          <w:p w14:paraId="67EA77E5"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_________________</w:t>
            </w:r>
          </w:p>
          <w:p w14:paraId="29066D9A" w14:textId="77777777" w:rsidR="006F056D" w:rsidRPr="00090CC4" w:rsidRDefault="006F056D" w:rsidP="00B77465">
            <w:pPr>
              <w:spacing w:after="0" w:line="240" w:lineRule="auto"/>
              <w:rPr>
                <w:rFonts w:eastAsia="Calibri" w:cstheme="minorHAnsi"/>
                <w:i/>
                <w:sz w:val="24"/>
                <w:szCs w:val="24"/>
              </w:rPr>
            </w:pPr>
            <w:r w:rsidRPr="00090CC4">
              <w:rPr>
                <w:rFonts w:eastAsia="Calibri" w:cstheme="minorHAnsi"/>
                <w:i/>
                <w:sz w:val="24"/>
                <w:szCs w:val="24"/>
              </w:rPr>
              <w:t>AND</w:t>
            </w:r>
          </w:p>
          <w:p w14:paraId="76A76583"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Concentration (choose one):</w:t>
            </w:r>
          </w:p>
          <w:p w14:paraId="0EEE581E"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Qubit dsDNA or RNA Quantitation Assay</w:t>
            </w:r>
          </w:p>
          <w:p w14:paraId="68B71E62"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Quant-iT Assay</w:t>
            </w:r>
          </w:p>
          <w:p w14:paraId="54158B3D"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_________________</w:t>
            </w:r>
          </w:p>
          <w:p w14:paraId="598B83BE" w14:textId="77777777" w:rsidR="006F056D" w:rsidRPr="00090CC4" w:rsidRDefault="006F056D" w:rsidP="00B77465">
            <w:pPr>
              <w:spacing w:after="0" w:line="240" w:lineRule="auto"/>
              <w:rPr>
                <w:rFonts w:eastAsia="Calibri" w:cstheme="minorHAnsi"/>
                <w:i/>
                <w:sz w:val="24"/>
                <w:szCs w:val="24"/>
              </w:rPr>
            </w:pPr>
            <w:r w:rsidRPr="00090CC4">
              <w:rPr>
                <w:rFonts w:eastAsia="Calibri" w:cstheme="minorHAnsi"/>
                <w:i/>
                <w:sz w:val="24"/>
                <w:szCs w:val="24"/>
              </w:rPr>
              <w:t>OR</w:t>
            </w:r>
          </w:p>
          <w:p w14:paraId="5849EF08"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Electrophoresis Instrument for NGS (choose one):</w:t>
            </w:r>
          </w:p>
          <w:p w14:paraId="2763EC09"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TapeStation Assay</w:t>
            </w:r>
          </w:p>
          <w:p w14:paraId="3F62DED9"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Bioanalyzer Assay</w:t>
            </w:r>
          </w:p>
          <w:p w14:paraId="4F0C12E8"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BluePippin DNA Size Selection Assay</w:t>
            </w:r>
          </w:p>
          <w:p w14:paraId="0FA4403D"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w:t>
            </w:r>
          </w:p>
          <w:p w14:paraId="1D3E3396" w14:textId="239E6C0F" w:rsidR="000A1A6E" w:rsidRPr="00090CC4" w:rsidRDefault="000A1A6E" w:rsidP="00B77465">
            <w:pPr>
              <w:rPr>
                <w:rFonts w:eastAsia="Calibri" w:cstheme="minorHAnsi"/>
                <w:sz w:val="24"/>
                <w:szCs w:val="24"/>
              </w:rPr>
            </w:pPr>
          </w:p>
        </w:tc>
        <w:tc>
          <w:tcPr>
            <w:tcW w:w="2515" w:type="dxa"/>
            <w:shd w:val="clear" w:color="auto" w:fill="auto"/>
          </w:tcPr>
          <w:p w14:paraId="764DCB25"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Purity: A</w:t>
            </w:r>
            <w:r w:rsidRPr="00090CC4">
              <w:rPr>
                <w:rFonts w:eastAsia="Calibri" w:cstheme="minorHAnsi"/>
                <w:sz w:val="24"/>
                <w:szCs w:val="24"/>
                <w:vertAlign w:val="subscript"/>
              </w:rPr>
              <w:t>260</w:t>
            </w:r>
            <w:r w:rsidRPr="00090CC4">
              <w:rPr>
                <w:rFonts w:eastAsia="Calibri" w:cstheme="minorHAnsi"/>
                <w:sz w:val="24"/>
                <w:szCs w:val="24"/>
              </w:rPr>
              <w:t>/A</w:t>
            </w:r>
            <w:r w:rsidRPr="00090CC4">
              <w:rPr>
                <w:rFonts w:eastAsia="Calibri" w:cstheme="minorHAnsi"/>
                <w:sz w:val="24"/>
                <w:szCs w:val="24"/>
                <w:vertAlign w:val="subscript"/>
              </w:rPr>
              <w:t>280</w:t>
            </w:r>
            <w:r w:rsidRPr="00090CC4">
              <w:rPr>
                <w:rFonts w:eastAsia="Calibri" w:cstheme="minorHAnsi"/>
                <w:sz w:val="24"/>
                <w:szCs w:val="24"/>
              </w:rPr>
              <w:t xml:space="preserve"> = 1.8-2.0</w:t>
            </w:r>
          </w:p>
          <w:p w14:paraId="2177397D" w14:textId="77777777" w:rsidR="006F056D" w:rsidRPr="00090CC4" w:rsidRDefault="006F056D" w:rsidP="00B77465">
            <w:pPr>
              <w:spacing w:after="0" w:line="240" w:lineRule="auto"/>
              <w:rPr>
                <w:rFonts w:eastAsia="Calibri" w:cstheme="minorHAnsi"/>
                <w:sz w:val="24"/>
                <w:szCs w:val="24"/>
              </w:rPr>
            </w:pPr>
          </w:p>
          <w:p w14:paraId="75E52B60"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Concentration: &gt; 500 ng in a 20-100 µL sample</w:t>
            </w:r>
          </w:p>
        </w:tc>
      </w:tr>
      <w:tr w:rsidR="006F056D" w:rsidRPr="00090CC4" w14:paraId="4F571A54" w14:textId="77777777" w:rsidTr="008F2810">
        <w:trPr>
          <w:cantSplit/>
        </w:trPr>
        <w:tc>
          <w:tcPr>
            <w:tcW w:w="3531" w:type="dxa"/>
            <w:shd w:val="clear" w:color="auto" w:fill="FFFFFF"/>
          </w:tcPr>
          <w:p w14:paraId="5B1AAE52" w14:textId="4AFEB7DD"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Library Preparation (2.</w:t>
            </w:r>
            <w:r w:rsidR="00136561" w:rsidRPr="00090CC4">
              <w:rPr>
                <w:rFonts w:eastAsia="Calibri" w:cstheme="minorHAnsi"/>
                <w:sz w:val="24"/>
                <w:szCs w:val="24"/>
              </w:rPr>
              <w:t>6</w:t>
            </w:r>
            <w:r w:rsidRPr="00090CC4">
              <w:rPr>
                <w:rFonts w:eastAsia="Calibri" w:cstheme="minorHAnsi"/>
                <w:sz w:val="24"/>
                <w:szCs w:val="24"/>
              </w:rPr>
              <w:t>)</w:t>
            </w:r>
          </w:p>
          <w:p w14:paraId="299E5B21"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Quantitate concentration and confirm size selection</w:t>
            </w:r>
          </w:p>
        </w:tc>
        <w:tc>
          <w:tcPr>
            <w:tcW w:w="3911" w:type="dxa"/>
            <w:shd w:val="clear" w:color="auto" w:fill="auto"/>
          </w:tcPr>
          <w:p w14:paraId="3B1AC493"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Concentration (choose one):</w:t>
            </w:r>
          </w:p>
          <w:p w14:paraId="0CF40F1A"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Qubit dsDNA or RNA Quantitation Assay</w:t>
            </w:r>
          </w:p>
          <w:p w14:paraId="09F407CE"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Quant-iT Assay</w:t>
            </w:r>
          </w:p>
          <w:p w14:paraId="71DC1584"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KAPA qPCR</w:t>
            </w:r>
          </w:p>
          <w:p w14:paraId="23326530"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w:t>
            </w:r>
          </w:p>
          <w:p w14:paraId="5F609C35" w14:textId="77777777" w:rsidR="006F056D" w:rsidRPr="00090CC4" w:rsidRDefault="006F056D" w:rsidP="00B77465">
            <w:pPr>
              <w:spacing w:after="0" w:line="240" w:lineRule="auto"/>
              <w:rPr>
                <w:rFonts w:eastAsia="Calibri" w:cstheme="minorHAnsi"/>
                <w:i/>
                <w:sz w:val="24"/>
                <w:szCs w:val="24"/>
              </w:rPr>
            </w:pPr>
            <w:r w:rsidRPr="00090CC4">
              <w:rPr>
                <w:rFonts w:eastAsia="Calibri" w:cstheme="minorHAnsi"/>
                <w:i/>
                <w:sz w:val="24"/>
                <w:szCs w:val="24"/>
              </w:rPr>
              <w:t>AND</w:t>
            </w:r>
          </w:p>
          <w:p w14:paraId="185578D2"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Electrophoresis Instrument for NGS (choose one):</w:t>
            </w:r>
          </w:p>
          <w:p w14:paraId="2208C26B"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TapeStation Assay</w:t>
            </w:r>
          </w:p>
          <w:p w14:paraId="45174A34"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Bioanalyzer Assay</w:t>
            </w:r>
          </w:p>
          <w:p w14:paraId="298683BC"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BluePippin DNA Size Selection Assay</w:t>
            </w:r>
          </w:p>
          <w:p w14:paraId="28788AC8"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fldChar w:fldCharType="begin">
                <w:ffData>
                  <w:name w:val=""/>
                  <w:enabled/>
                  <w:calcOnExit w:val="0"/>
                  <w:checkBox>
                    <w:size w:val="20"/>
                    <w:default w:val="0"/>
                  </w:checkBox>
                </w:ffData>
              </w:fldChar>
            </w:r>
            <w:r w:rsidRPr="00090CC4">
              <w:rPr>
                <w:rFonts w:eastAsia="Calibri" w:cstheme="minorHAnsi"/>
                <w:sz w:val="24"/>
                <w:szCs w:val="24"/>
              </w:rPr>
              <w:instrText xml:space="preserve"> FORMCHECKBOX </w:instrText>
            </w:r>
            <w:r w:rsidR="00936D1E">
              <w:rPr>
                <w:rFonts w:eastAsia="Calibri" w:cstheme="minorHAnsi"/>
                <w:sz w:val="24"/>
                <w:szCs w:val="24"/>
              </w:rPr>
            </w:r>
            <w:r w:rsidR="00936D1E">
              <w:rPr>
                <w:rFonts w:eastAsia="Calibri" w:cstheme="minorHAnsi"/>
                <w:sz w:val="24"/>
                <w:szCs w:val="24"/>
              </w:rPr>
              <w:fldChar w:fldCharType="separate"/>
            </w:r>
            <w:r w:rsidRPr="00090CC4">
              <w:rPr>
                <w:rFonts w:eastAsia="Calibri" w:cstheme="minorHAnsi"/>
                <w:sz w:val="24"/>
                <w:szCs w:val="24"/>
              </w:rPr>
              <w:fldChar w:fldCharType="end"/>
            </w:r>
            <w:r w:rsidRPr="00090CC4">
              <w:rPr>
                <w:rFonts w:eastAsia="Calibri" w:cstheme="minorHAnsi"/>
                <w:sz w:val="24"/>
                <w:szCs w:val="24"/>
              </w:rPr>
              <w:t xml:space="preserve"> Other ____________</w:t>
            </w:r>
          </w:p>
        </w:tc>
        <w:tc>
          <w:tcPr>
            <w:tcW w:w="2515" w:type="dxa"/>
            <w:shd w:val="clear" w:color="auto" w:fill="auto"/>
          </w:tcPr>
          <w:p w14:paraId="3370D913"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Concentration: &gt; 1 mM</w:t>
            </w:r>
          </w:p>
          <w:p w14:paraId="0B446D25" w14:textId="77777777" w:rsidR="006F056D" w:rsidRPr="00090CC4" w:rsidRDefault="006F056D" w:rsidP="00B77465">
            <w:pPr>
              <w:spacing w:after="0" w:line="240" w:lineRule="auto"/>
              <w:rPr>
                <w:rFonts w:eastAsia="Calibri" w:cstheme="minorHAnsi"/>
                <w:sz w:val="24"/>
                <w:szCs w:val="24"/>
              </w:rPr>
            </w:pPr>
          </w:p>
          <w:p w14:paraId="5B1BE39B"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Electropherogram results:</w:t>
            </w:r>
          </w:p>
          <w:p w14:paraId="57F78FDE" w14:textId="77777777" w:rsidR="006F056D" w:rsidRPr="00090CC4" w:rsidRDefault="006F056D" w:rsidP="00B77465">
            <w:pPr>
              <w:spacing w:after="0" w:line="240" w:lineRule="auto"/>
              <w:rPr>
                <w:rFonts w:eastAsia="Calibri" w:cstheme="minorHAnsi"/>
                <w:sz w:val="24"/>
                <w:szCs w:val="24"/>
              </w:rPr>
            </w:pPr>
            <w:r w:rsidRPr="00090CC4">
              <w:rPr>
                <w:rFonts w:eastAsia="Calibri" w:cstheme="minorHAnsi"/>
                <w:sz w:val="24"/>
                <w:szCs w:val="24"/>
              </w:rPr>
              <w:t>Single peak of desired size with no tailing and excessive broadening per lab specifications</w:t>
            </w:r>
          </w:p>
        </w:tc>
      </w:tr>
    </w:tbl>
    <w:p w14:paraId="14D88601" w14:textId="77777777" w:rsidR="008F2810" w:rsidRPr="00090CC4" w:rsidRDefault="008F2810" w:rsidP="00B77465">
      <w:pPr>
        <w:tabs>
          <w:tab w:val="left" w:pos="720"/>
          <w:tab w:val="left" w:pos="1440"/>
        </w:tabs>
        <w:rPr>
          <w:rFonts w:eastAsia="Calibri" w:cstheme="minorHAnsi"/>
          <w:sz w:val="24"/>
          <w:szCs w:val="24"/>
        </w:rPr>
      </w:pPr>
    </w:p>
    <w:p w14:paraId="3B06D48F" w14:textId="0B622A63" w:rsidR="2DE6721F" w:rsidRPr="002F7209" w:rsidRDefault="006F056D" w:rsidP="00B77465">
      <w:pPr>
        <w:pStyle w:val="ListParagraph"/>
        <w:spacing w:before="200" w:after="0" w:line="240" w:lineRule="auto"/>
        <w:ind w:left="0"/>
        <w:rPr>
          <w:rStyle w:val="normaltextrun"/>
          <w:rFonts w:eastAsia="Times New Roman" w:cstheme="minorHAnsi"/>
          <w:color w:val="0071BC"/>
          <w:sz w:val="24"/>
          <w:szCs w:val="24"/>
        </w:rPr>
      </w:pPr>
      <w:r w:rsidRPr="002F7209">
        <w:rPr>
          <w:rFonts w:eastAsia="Calibri" w:cstheme="minorHAnsi"/>
          <w:i/>
          <w:iCs/>
          <w:color w:val="0071BC"/>
          <w:sz w:val="24"/>
          <w:szCs w:val="24"/>
        </w:rPr>
        <w:t>*</w:t>
      </w:r>
      <w:r w:rsidR="008F2810" w:rsidRPr="002F7209">
        <w:rPr>
          <w:rFonts w:eastAsia="Calibri" w:cstheme="minorHAnsi"/>
          <w:i/>
          <w:iCs/>
          <w:color w:val="0071BC"/>
          <w:sz w:val="24"/>
          <w:szCs w:val="24"/>
        </w:rPr>
        <w:t>N</w:t>
      </w:r>
      <w:r w:rsidR="005A34B7" w:rsidRPr="002F7209">
        <w:rPr>
          <w:rFonts w:eastAsia="Calibri" w:cstheme="minorHAnsi"/>
          <w:i/>
          <w:iCs/>
          <w:color w:val="0071BC"/>
          <w:sz w:val="24"/>
          <w:szCs w:val="24"/>
        </w:rPr>
        <w:t>OTE</w:t>
      </w:r>
      <w:r w:rsidR="008F2810" w:rsidRPr="002F7209">
        <w:rPr>
          <w:rFonts w:eastAsia="Calibri" w:cstheme="minorHAnsi"/>
          <w:i/>
          <w:iCs/>
          <w:color w:val="0071BC"/>
          <w:sz w:val="24"/>
          <w:szCs w:val="24"/>
        </w:rPr>
        <w:t xml:space="preserve">: </w:t>
      </w:r>
      <w:r w:rsidRPr="002F7209">
        <w:rPr>
          <w:rFonts w:eastAsia="Calibri" w:cstheme="minorHAnsi"/>
          <w:color w:val="0071BC"/>
          <w:sz w:val="24"/>
          <w:szCs w:val="24"/>
        </w:rPr>
        <w:t>The expected results included are based on standard NGS methods in use at the time of document development. The advancement of new methods and technologies may allow for successful sequencing with QC results differing from those listed in this document.</w:t>
      </w:r>
    </w:p>
    <w:p w14:paraId="324AA047" w14:textId="667B62C3" w:rsidR="2DE6721F" w:rsidRPr="00090CC4" w:rsidRDefault="2DE6721F" w:rsidP="00B77465">
      <w:pPr>
        <w:pStyle w:val="ListParagraph"/>
        <w:spacing w:before="200" w:after="0" w:line="240" w:lineRule="auto"/>
        <w:ind w:left="0"/>
        <w:rPr>
          <w:rStyle w:val="normaltextrun"/>
          <w:rFonts w:eastAsia="Times New Roman" w:cstheme="minorHAnsi"/>
          <w:sz w:val="24"/>
          <w:szCs w:val="24"/>
        </w:rPr>
      </w:pPr>
    </w:p>
    <w:p w14:paraId="42C9A5D5" w14:textId="102AE413" w:rsidR="2DE6721F" w:rsidRPr="00090CC4" w:rsidRDefault="2DE6721F" w:rsidP="2DE6721F">
      <w:pPr>
        <w:pStyle w:val="ListParagraph"/>
        <w:spacing w:before="200" w:after="0" w:line="240" w:lineRule="auto"/>
        <w:ind w:left="0"/>
        <w:rPr>
          <w:rStyle w:val="normaltextrun"/>
          <w:rFonts w:eastAsia="Times New Roman" w:cstheme="minorHAnsi"/>
          <w:sz w:val="24"/>
          <w:szCs w:val="24"/>
        </w:rPr>
      </w:pPr>
    </w:p>
    <w:sectPr w:rsidR="2DE6721F" w:rsidRPr="00090CC4" w:rsidSect="00692090">
      <w:headerReference w:type="even" r:id="rId28"/>
      <w:headerReference w:type="default" r:id="rId29"/>
      <w:footerReference w:type="default" r:id="rId30"/>
      <w:headerReference w:type="first" r:id="rId31"/>
      <w:footerReference w:type="first" r:id="rId32"/>
      <w:pgSz w:w="12240" w:h="15840"/>
      <w:pgMar w:top="189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F6BB2" w14:textId="77777777" w:rsidR="00F9106B" w:rsidRDefault="00F9106B" w:rsidP="00695A4E">
      <w:pPr>
        <w:spacing w:after="0" w:line="240" w:lineRule="auto"/>
      </w:pPr>
      <w:r>
        <w:separator/>
      </w:r>
    </w:p>
  </w:endnote>
  <w:endnote w:type="continuationSeparator" w:id="0">
    <w:p w14:paraId="081C920D" w14:textId="77777777" w:rsidR="00F9106B" w:rsidRDefault="00F9106B" w:rsidP="00695A4E">
      <w:pPr>
        <w:spacing w:after="0" w:line="240" w:lineRule="auto"/>
      </w:pPr>
      <w:r>
        <w:continuationSeparator/>
      </w:r>
    </w:p>
  </w:endnote>
  <w:endnote w:type="continuationNotice" w:id="1">
    <w:p w14:paraId="0051C58F" w14:textId="77777777" w:rsidR="00F9106B" w:rsidRDefault="00F910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1710"/>
      <w:gridCol w:w="1170"/>
      <w:gridCol w:w="450"/>
      <w:gridCol w:w="1530"/>
      <w:gridCol w:w="1596"/>
      <w:gridCol w:w="729"/>
      <w:gridCol w:w="1743"/>
    </w:tblGrid>
    <w:tr w:rsidR="00C458F2" w:rsidRPr="00C458F2" w14:paraId="454C58B0" w14:textId="77777777" w:rsidTr="005B54B4">
      <w:trPr>
        <w:trHeight w:val="125"/>
        <w:jc w:val="center"/>
      </w:trPr>
      <w:tc>
        <w:tcPr>
          <w:tcW w:w="1392" w:type="dxa"/>
          <w:tcBorders>
            <w:top w:val="single" w:sz="4" w:space="0" w:color="auto"/>
            <w:left w:val="single" w:sz="4" w:space="0" w:color="auto"/>
            <w:bottom w:val="single" w:sz="4" w:space="0" w:color="auto"/>
            <w:right w:val="nil"/>
          </w:tcBorders>
          <w:shd w:val="clear" w:color="auto" w:fill="auto"/>
          <w:vAlign w:val="center"/>
          <w:hideMark/>
        </w:tcPr>
        <w:p w14:paraId="25B7AF47" w14:textId="77777777" w:rsidR="00DF58C2" w:rsidRPr="00C458F2" w:rsidRDefault="00DF58C2" w:rsidP="008E61D3">
          <w:pPr>
            <w:spacing w:after="0" w:line="240" w:lineRule="auto"/>
            <w:jc w:val="right"/>
            <w:rPr>
              <w:rFonts w:eastAsia="Times New Roman" w:cstheme="minorHAnsi"/>
              <w:sz w:val="20"/>
              <w:szCs w:val="20"/>
            </w:rPr>
          </w:pPr>
          <w:r w:rsidRPr="00C458F2">
            <w:rPr>
              <w:rFonts w:eastAsia="Times New Roman" w:cstheme="minorHAnsi"/>
              <w:sz w:val="20"/>
              <w:szCs w:val="20"/>
            </w:rPr>
            <w:t>Document #:</w:t>
          </w:r>
        </w:p>
      </w:tc>
      <w:tc>
        <w:tcPr>
          <w:tcW w:w="1710" w:type="dxa"/>
          <w:tcBorders>
            <w:top w:val="single" w:sz="4" w:space="0" w:color="auto"/>
            <w:left w:val="nil"/>
            <w:bottom w:val="single" w:sz="4" w:space="0" w:color="auto"/>
            <w:right w:val="single" w:sz="4" w:space="0" w:color="auto"/>
          </w:tcBorders>
          <w:shd w:val="clear" w:color="auto" w:fill="auto"/>
          <w:vAlign w:val="center"/>
        </w:tcPr>
        <w:p w14:paraId="12CBFB35" w14:textId="77777777" w:rsidR="00DF58C2" w:rsidRPr="00C458F2" w:rsidRDefault="00DF58C2" w:rsidP="008E61D3">
          <w:pPr>
            <w:spacing w:after="0" w:line="240" w:lineRule="auto"/>
            <w:rPr>
              <w:rFonts w:eastAsia="Times New Roman" w:cstheme="minorHAnsi"/>
              <w:sz w:val="20"/>
              <w:szCs w:val="20"/>
            </w:rPr>
          </w:pPr>
        </w:p>
      </w:tc>
      <w:tc>
        <w:tcPr>
          <w:tcW w:w="1170" w:type="dxa"/>
          <w:tcBorders>
            <w:top w:val="single" w:sz="4" w:space="0" w:color="auto"/>
            <w:left w:val="single" w:sz="4" w:space="0" w:color="auto"/>
            <w:bottom w:val="single" w:sz="4" w:space="0" w:color="auto"/>
            <w:right w:val="nil"/>
          </w:tcBorders>
          <w:shd w:val="clear" w:color="auto" w:fill="auto"/>
          <w:vAlign w:val="center"/>
          <w:hideMark/>
        </w:tcPr>
        <w:p w14:paraId="3670CD83" w14:textId="77777777" w:rsidR="00DF58C2" w:rsidRPr="00C458F2" w:rsidRDefault="00DF58C2" w:rsidP="008E61D3">
          <w:pPr>
            <w:spacing w:after="0" w:line="240" w:lineRule="auto"/>
            <w:jc w:val="right"/>
            <w:rPr>
              <w:rFonts w:eastAsia="Times New Roman" w:cstheme="minorHAnsi"/>
              <w:sz w:val="20"/>
              <w:szCs w:val="20"/>
            </w:rPr>
          </w:pPr>
          <w:r w:rsidRPr="00C458F2">
            <w:rPr>
              <w:rFonts w:eastAsia="Times New Roman" w:cstheme="minorHAnsi"/>
              <w:sz w:val="20"/>
              <w:szCs w:val="20"/>
            </w:rPr>
            <w:t>Revision #:</w:t>
          </w:r>
        </w:p>
      </w:tc>
      <w:tc>
        <w:tcPr>
          <w:tcW w:w="450" w:type="dxa"/>
          <w:tcBorders>
            <w:top w:val="single" w:sz="4" w:space="0" w:color="auto"/>
            <w:left w:val="nil"/>
            <w:bottom w:val="single" w:sz="4" w:space="0" w:color="auto"/>
            <w:right w:val="single" w:sz="4" w:space="0" w:color="auto"/>
          </w:tcBorders>
          <w:shd w:val="clear" w:color="auto" w:fill="auto"/>
          <w:vAlign w:val="center"/>
          <w:hideMark/>
        </w:tcPr>
        <w:p w14:paraId="2088E957" w14:textId="77777777" w:rsidR="00DF58C2" w:rsidRPr="00C458F2" w:rsidRDefault="00DF58C2" w:rsidP="008E61D3">
          <w:pPr>
            <w:spacing w:after="0" w:line="240" w:lineRule="auto"/>
            <w:rPr>
              <w:rFonts w:eastAsia="Times New Roman" w:cstheme="minorHAnsi"/>
              <w:sz w:val="20"/>
              <w:szCs w:val="20"/>
            </w:rPr>
          </w:pPr>
        </w:p>
      </w:tc>
      <w:tc>
        <w:tcPr>
          <w:tcW w:w="1530" w:type="dxa"/>
          <w:tcBorders>
            <w:top w:val="single" w:sz="4" w:space="0" w:color="auto"/>
            <w:left w:val="single" w:sz="4" w:space="0" w:color="auto"/>
            <w:bottom w:val="single" w:sz="4" w:space="0" w:color="auto"/>
            <w:right w:val="nil"/>
          </w:tcBorders>
          <w:shd w:val="clear" w:color="auto" w:fill="auto"/>
          <w:vAlign w:val="center"/>
          <w:hideMark/>
        </w:tcPr>
        <w:p w14:paraId="3F6C84C6" w14:textId="77777777" w:rsidR="00DF58C2" w:rsidRPr="00C458F2" w:rsidRDefault="00DF58C2" w:rsidP="008E61D3">
          <w:pPr>
            <w:spacing w:after="0" w:line="240" w:lineRule="auto"/>
            <w:jc w:val="right"/>
            <w:rPr>
              <w:rFonts w:eastAsia="Times New Roman" w:cstheme="minorHAnsi"/>
              <w:sz w:val="20"/>
              <w:szCs w:val="20"/>
            </w:rPr>
          </w:pPr>
          <w:r w:rsidRPr="00C458F2">
            <w:rPr>
              <w:rFonts w:eastAsia="Times New Roman" w:cstheme="minorHAnsi"/>
              <w:sz w:val="20"/>
              <w:szCs w:val="20"/>
            </w:rPr>
            <w:t>Effective Date:</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412E756C" w14:textId="77777777" w:rsidR="00DF58C2" w:rsidRPr="00C458F2" w:rsidRDefault="00DF58C2" w:rsidP="008E61D3">
          <w:pPr>
            <w:spacing w:after="0" w:line="240" w:lineRule="auto"/>
            <w:rPr>
              <w:rFonts w:eastAsia="Times New Roman" w:cstheme="minorHAnsi"/>
              <w:sz w:val="20"/>
              <w:szCs w:val="20"/>
            </w:rPr>
          </w:pPr>
        </w:p>
      </w:tc>
      <w:tc>
        <w:tcPr>
          <w:tcW w:w="729" w:type="dxa"/>
          <w:tcBorders>
            <w:top w:val="single" w:sz="4" w:space="0" w:color="auto"/>
            <w:left w:val="single" w:sz="4" w:space="0" w:color="auto"/>
            <w:bottom w:val="single" w:sz="4" w:space="0" w:color="auto"/>
            <w:right w:val="nil"/>
          </w:tcBorders>
        </w:tcPr>
        <w:p w14:paraId="2E5B93BE" w14:textId="77777777" w:rsidR="00DF58C2" w:rsidRPr="00C458F2" w:rsidRDefault="00DF58C2" w:rsidP="008E61D3">
          <w:pPr>
            <w:spacing w:after="0" w:line="240" w:lineRule="auto"/>
            <w:jc w:val="right"/>
            <w:rPr>
              <w:rFonts w:eastAsia="Times New Roman" w:cstheme="minorHAnsi"/>
              <w:b/>
              <w:sz w:val="20"/>
              <w:szCs w:val="20"/>
            </w:rPr>
          </w:pPr>
        </w:p>
      </w:tc>
      <w:tc>
        <w:tcPr>
          <w:tcW w:w="1743" w:type="dxa"/>
          <w:tcBorders>
            <w:top w:val="single" w:sz="4" w:space="0" w:color="auto"/>
            <w:left w:val="nil"/>
            <w:bottom w:val="single" w:sz="4" w:space="0" w:color="auto"/>
            <w:right w:val="single" w:sz="4" w:space="0" w:color="auto"/>
          </w:tcBorders>
          <w:shd w:val="clear" w:color="auto" w:fill="auto"/>
          <w:vAlign w:val="center"/>
          <w:hideMark/>
        </w:tcPr>
        <w:p w14:paraId="0A3F9BE5" w14:textId="77777777" w:rsidR="00DF58C2" w:rsidRPr="00C458F2" w:rsidRDefault="00DF58C2" w:rsidP="008E61D3">
          <w:pPr>
            <w:spacing w:after="0" w:line="240" w:lineRule="auto"/>
            <w:jc w:val="right"/>
            <w:rPr>
              <w:rFonts w:eastAsia="Times New Roman" w:cstheme="minorHAnsi"/>
              <w:b/>
              <w:sz w:val="20"/>
              <w:szCs w:val="20"/>
            </w:rPr>
          </w:pPr>
          <w:r w:rsidRPr="00C458F2">
            <w:rPr>
              <w:rFonts w:eastAsia="Times New Roman" w:cstheme="minorHAnsi"/>
              <w:b/>
              <w:sz w:val="20"/>
              <w:szCs w:val="20"/>
            </w:rPr>
            <w:t xml:space="preserve">Page </w:t>
          </w:r>
          <w:r w:rsidRPr="00C458F2">
            <w:rPr>
              <w:rFonts w:eastAsia="Times New Roman" w:cstheme="minorHAnsi"/>
              <w:b/>
              <w:sz w:val="20"/>
              <w:szCs w:val="20"/>
            </w:rPr>
            <w:fldChar w:fldCharType="begin"/>
          </w:r>
          <w:r w:rsidRPr="00C458F2">
            <w:rPr>
              <w:rFonts w:eastAsia="Times New Roman" w:cstheme="minorHAnsi"/>
              <w:b/>
              <w:sz w:val="20"/>
              <w:szCs w:val="20"/>
            </w:rPr>
            <w:instrText xml:space="preserve"> PAGE </w:instrText>
          </w:r>
          <w:r w:rsidRPr="00C458F2">
            <w:rPr>
              <w:rFonts w:eastAsia="Times New Roman" w:cstheme="minorHAnsi"/>
              <w:b/>
              <w:sz w:val="20"/>
              <w:szCs w:val="20"/>
            </w:rPr>
            <w:fldChar w:fldCharType="separate"/>
          </w:r>
          <w:r w:rsidRPr="00C458F2">
            <w:rPr>
              <w:rFonts w:eastAsia="Times New Roman" w:cstheme="minorHAnsi"/>
              <w:b/>
              <w:noProof/>
              <w:sz w:val="20"/>
              <w:szCs w:val="20"/>
            </w:rPr>
            <w:t>1</w:t>
          </w:r>
          <w:r w:rsidRPr="00C458F2">
            <w:rPr>
              <w:rFonts w:eastAsia="Times New Roman" w:cstheme="minorHAnsi"/>
              <w:b/>
              <w:sz w:val="20"/>
              <w:szCs w:val="20"/>
            </w:rPr>
            <w:fldChar w:fldCharType="end"/>
          </w:r>
          <w:r w:rsidRPr="00C458F2">
            <w:rPr>
              <w:rFonts w:eastAsia="Times New Roman" w:cstheme="minorHAnsi"/>
              <w:b/>
              <w:sz w:val="20"/>
              <w:szCs w:val="20"/>
            </w:rPr>
            <w:t xml:space="preserve"> of </w:t>
          </w:r>
          <w:r w:rsidRPr="00C458F2">
            <w:rPr>
              <w:rFonts w:eastAsia="Times New Roman" w:cstheme="minorHAnsi"/>
              <w:b/>
              <w:sz w:val="20"/>
              <w:szCs w:val="20"/>
            </w:rPr>
            <w:fldChar w:fldCharType="begin"/>
          </w:r>
          <w:r w:rsidRPr="00C458F2">
            <w:rPr>
              <w:rFonts w:eastAsia="Times New Roman" w:cstheme="minorHAnsi"/>
              <w:b/>
              <w:sz w:val="20"/>
              <w:szCs w:val="20"/>
            </w:rPr>
            <w:instrText xml:space="preserve"> NUMPAGES  \# "0" \* Arabic </w:instrText>
          </w:r>
          <w:r w:rsidRPr="00C458F2">
            <w:rPr>
              <w:rFonts w:eastAsia="Times New Roman" w:cstheme="minorHAnsi"/>
              <w:b/>
              <w:sz w:val="20"/>
              <w:szCs w:val="20"/>
            </w:rPr>
            <w:fldChar w:fldCharType="separate"/>
          </w:r>
          <w:r w:rsidRPr="00C458F2">
            <w:rPr>
              <w:rFonts w:eastAsia="Times New Roman" w:cstheme="minorHAnsi"/>
              <w:b/>
              <w:noProof/>
              <w:sz w:val="20"/>
              <w:szCs w:val="20"/>
            </w:rPr>
            <w:t>3</w:t>
          </w:r>
          <w:r w:rsidRPr="00C458F2">
            <w:rPr>
              <w:rFonts w:eastAsia="Times New Roman" w:cstheme="minorHAnsi"/>
              <w:b/>
              <w:sz w:val="20"/>
              <w:szCs w:val="20"/>
            </w:rPr>
            <w:fldChar w:fldCharType="end"/>
          </w:r>
        </w:p>
      </w:tc>
    </w:tr>
  </w:tbl>
  <w:p w14:paraId="47305EF5" w14:textId="77777777" w:rsidR="00DF58C2" w:rsidRDefault="00DF5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1710"/>
      <w:gridCol w:w="1170"/>
      <w:gridCol w:w="450"/>
      <w:gridCol w:w="1530"/>
      <w:gridCol w:w="1596"/>
      <w:gridCol w:w="729"/>
      <w:gridCol w:w="1743"/>
    </w:tblGrid>
    <w:tr w:rsidR="00E33950" w:rsidRPr="00E33950" w14:paraId="3C5F86F0" w14:textId="77777777" w:rsidTr="005B54B4">
      <w:trPr>
        <w:trHeight w:val="125"/>
        <w:jc w:val="center"/>
      </w:trPr>
      <w:tc>
        <w:tcPr>
          <w:tcW w:w="1392" w:type="dxa"/>
          <w:tcBorders>
            <w:top w:val="single" w:sz="4" w:space="0" w:color="auto"/>
            <w:left w:val="single" w:sz="4" w:space="0" w:color="auto"/>
            <w:bottom w:val="single" w:sz="4" w:space="0" w:color="auto"/>
            <w:right w:val="nil"/>
          </w:tcBorders>
          <w:shd w:val="clear" w:color="auto" w:fill="auto"/>
          <w:vAlign w:val="center"/>
          <w:hideMark/>
        </w:tcPr>
        <w:p w14:paraId="20722F22" w14:textId="77777777" w:rsidR="00DF58C2" w:rsidRPr="00E33950" w:rsidRDefault="00DF58C2" w:rsidP="008E61D3">
          <w:pPr>
            <w:spacing w:after="0" w:line="240" w:lineRule="auto"/>
            <w:jc w:val="right"/>
            <w:rPr>
              <w:rFonts w:eastAsia="Times New Roman" w:cstheme="minorHAnsi"/>
              <w:sz w:val="20"/>
              <w:szCs w:val="20"/>
            </w:rPr>
          </w:pPr>
          <w:r w:rsidRPr="00E33950">
            <w:rPr>
              <w:rFonts w:eastAsia="Times New Roman" w:cstheme="minorHAnsi"/>
              <w:sz w:val="20"/>
              <w:szCs w:val="20"/>
            </w:rPr>
            <w:t>Document #:</w:t>
          </w:r>
        </w:p>
      </w:tc>
      <w:tc>
        <w:tcPr>
          <w:tcW w:w="1710" w:type="dxa"/>
          <w:tcBorders>
            <w:top w:val="single" w:sz="4" w:space="0" w:color="auto"/>
            <w:left w:val="nil"/>
            <w:bottom w:val="single" w:sz="4" w:space="0" w:color="auto"/>
            <w:right w:val="single" w:sz="4" w:space="0" w:color="auto"/>
          </w:tcBorders>
          <w:shd w:val="clear" w:color="auto" w:fill="auto"/>
          <w:vAlign w:val="center"/>
        </w:tcPr>
        <w:p w14:paraId="5786E006" w14:textId="77777777" w:rsidR="00DF58C2" w:rsidRPr="00E33950" w:rsidRDefault="00DF58C2" w:rsidP="008E61D3">
          <w:pPr>
            <w:spacing w:after="0" w:line="240" w:lineRule="auto"/>
            <w:rPr>
              <w:rFonts w:eastAsia="Times New Roman" w:cstheme="minorHAnsi"/>
              <w:sz w:val="20"/>
              <w:szCs w:val="20"/>
            </w:rPr>
          </w:pPr>
        </w:p>
      </w:tc>
      <w:tc>
        <w:tcPr>
          <w:tcW w:w="1170" w:type="dxa"/>
          <w:tcBorders>
            <w:top w:val="single" w:sz="4" w:space="0" w:color="auto"/>
            <w:left w:val="single" w:sz="4" w:space="0" w:color="auto"/>
            <w:bottom w:val="single" w:sz="4" w:space="0" w:color="auto"/>
            <w:right w:val="nil"/>
          </w:tcBorders>
          <w:shd w:val="clear" w:color="auto" w:fill="auto"/>
          <w:vAlign w:val="center"/>
          <w:hideMark/>
        </w:tcPr>
        <w:p w14:paraId="6C4D3A9E" w14:textId="77777777" w:rsidR="00DF58C2" w:rsidRPr="00E33950" w:rsidRDefault="00DF58C2" w:rsidP="008E61D3">
          <w:pPr>
            <w:spacing w:after="0" w:line="240" w:lineRule="auto"/>
            <w:jc w:val="right"/>
            <w:rPr>
              <w:rFonts w:eastAsia="Times New Roman" w:cstheme="minorHAnsi"/>
              <w:sz w:val="20"/>
              <w:szCs w:val="20"/>
            </w:rPr>
          </w:pPr>
          <w:r w:rsidRPr="00E33950">
            <w:rPr>
              <w:rFonts w:eastAsia="Times New Roman" w:cstheme="minorHAnsi"/>
              <w:sz w:val="20"/>
              <w:szCs w:val="20"/>
            </w:rPr>
            <w:t>Revision #:</w:t>
          </w:r>
        </w:p>
      </w:tc>
      <w:tc>
        <w:tcPr>
          <w:tcW w:w="450" w:type="dxa"/>
          <w:tcBorders>
            <w:top w:val="single" w:sz="4" w:space="0" w:color="auto"/>
            <w:left w:val="nil"/>
            <w:bottom w:val="single" w:sz="4" w:space="0" w:color="auto"/>
            <w:right w:val="single" w:sz="4" w:space="0" w:color="auto"/>
          </w:tcBorders>
          <w:shd w:val="clear" w:color="auto" w:fill="auto"/>
          <w:vAlign w:val="center"/>
          <w:hideMark/>
        </w:tcPr>
        <w:p w14:paraId="69CEA393" w14:textId="77777777" w:rsidR="00DF58C2" w:rsidRPr="00E33950" w:rsidRDefault="00DF58C2" w:rsidP="008E61D3">
          <w:pPr>
            <w:spacing w:after="0" w:line="240" w:lineRule="auto"/>
            <w:rPr>
              <w:rFonts w:eastAsia="Times New Roman" w:cstheme="minorHAnsi"/>
              <w:sz w:val="20"/>
              <w:szCs w:val="20"/>
            </w:rPr>
          </w:pPr>
        </w:p>
      </w:tc>
      <w:tc>
        <w:tcPr>
          <w:tcW w:w="1530" w:type="dxa"/>
          <w:tcBorders>
            <w:top w:val="single" w:sz="4" w:space="0" w:color="auto"/>
            <w:left w:val="single" w:sz="4" w:space="0" w:color="auto"/>
            <w:bottom w:val="single" w:sz="4" w:space="0" w:color="auto"/>
            <w:right w:val="nil"/>
          </w:tcBorders>
          <w:shd w:val="clear" w:color="auto" w:fill="auto"/>
          <w:vAlign w:val="center"/>
          <w:hideMark/>
        </w:tcPr>
        <w:p w14:paraId="37663910" w14:textId="77777777" w:rsidR="00DF58C2" w:rsidRPr="00E33950" w:rsidRDefault="00DF58C2" w:rsidP="008E61D3">
          <w:pPr>
            <w:spacing w:after="0" w:line="240" w:lineRule="auto"/>
            <w:jc w:val="right"/>
            <w:rPr>
              <w:rFonts w:eastAsia="Times New Roman" w:cstheme="minorHAnsi"/>
              <w:sz w:val="20"/>
              <w:szCs w:val="20"/>
            </w:rPr>
          </w:pPr>
          <w:r w:rsidRPr="00E33950">
            <w:rPr>
              <w:rFonts w:eastAsia="Times New Roman" w:cstheme="minorHAnsi"/>
              <w:sz w:val="20"/>
              <w:szCs w:val="20"/>
            </w:rPr>
            <w:t>Effective Date:</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67A7DB8C" w14:textId="77777777" w:rsidR="00DF58C2" w:rsidRPr="00E33950" w:rsidRDefault="00DF58C2" w:rsidP="008E61D3">
          <w:pPr>
            <w:spacing w:after="0" w:line="240" w:lineRule="auto"/>
            <w:rPr>
              <w:rFonts w:eastAsia="Times New Roman" w:cstheme="minorHAnsi"/>
              <w:sz w:val="20"/>
              <w:szCs w:val="20"/>
            </w:rPr>
          </w:pPr>
        </w:p>
      </w:tc>
      <w:tc>
        <w:tcPr>
          <w:tcW w:w="729" w:type="dxa"/>
          <w:tcBorders>
            <w:top w:val="single" w:sz="4" w:space="0" w:color="auto"/>
            <w:left w:val="single" w:sz="4" w:space="0" w:color="auto"/>
            <w:bottom w:val="single" w:sz="4" w:space="0" w:color="auto"/>
            <w:right w:val="nil"/>
          </w:tcBorders>
        </w:tcPr>
        <w:p w14:paraId="2D9E87AA" w14:textId="77777777" w:rsidR="00DF58C2" w:rsidRPr="00E33950" w:rsidRDefault="00DF58C2" w:rsidP="008E61D3">
          <w:pPr>
            <w:spacing w:after="0" w:line="240" w:lineRule="auto"/>
            <w:jc w:val="right"/>
            <w:rPr>
              <w:rFonts w:eastAsia="Times New Roman" w:cstheme="minorHAnsi"/>
              <w:b/>
              <w:sz w:val="20"/>
              <w:szCs w:val="20"/>
            </w:rPr>
          </w:pPr>
        </w:p>
      </w:tc>
      <w:tc>
        <w:tcPr>
          <w:tcW w:w="1743" w:type="dxa"/>
          <w:tcBorders>
            <w:top w:val="single" w:sz="4" w:space="0" w:color="auto"/>
            <w:left w:val="nil"/>
            <w:bottom w:val="single" w:sz="4" w:space="0" w:color="auto"/>
            <w:right w:val="single" w:sz="4" w:space="0" w:color="auto"/>
          </w:tcBorders>
          <w:shd w:val="clear" w:color="auto" w:fill="auto"/>
          <w:vAlign w:val="center"/>
          <w:hideMark/>
        </w:tcPr>
        <w:p w14:paraId="35C75DA0" w14:textId="77777777" w:rsidR="00DF58C2" w:rsidRPr="00E33950" w:rsidRDefault="00DF58C2" w:rsidP="008E61D3">
          <w:pPr>
            <w:spacing w:after="0" w:line="240" w:lineRule="auto"/>
            <w:jc w:val="right"/>
            <w:rPr>
              <w:rFonts w:eastAsia="Times New Roman" w:cstheme="minorHAnsi"/>
              <w:b/>
              <w:sz w:val="20"/>
              <w:szCs w:val="20"/>
            </w:rPr>
          </w:pPr>
          <w:r w:rsidRPr="00E33950">
            <w:rPr>
              <w:rFonts w:eastAsia="Times New Roman" w:cstheme="minorHAnsi"/>
              <w:b/>
              <w:sz w:val="20"/>
              <w:szCs w:val="20"/>
            </w:rPr>
            <w:t xml:space="preserve">Page </w:t>
          </w:r>
          <w:r w:rsidRPr="00E33950">
            <w:rPr>
              <w:rFonts w:eastAsia="Times New Roman" w:cstheme="minorHAnsi"/>
              <w:b/>
              <w:sz w:val="20"/>
              <w:szCs w:val="20"/>
            </w:rPr>
            <w:fldChar w:fldCharType="begin"/>
          </w:r>
          <w:r w:rsidRPr="00E33950">
            <w:rPr>
              <w:rFonts w:eastAsia="Times New Roman" w:cstheme="minorHAnsi"/>
              <w:b/>
              <w:sz w:val="20"/>
              <w:szCs w:val="20"/>
            </w:rPr>
            <w:instrText xml:space="preserve"> PAGE </w:instrText>
          </w:r>
          <w:r w:rsidRPr="00E33950">
            <w:rPr>
              <w:rFonts w:eastAsia="Times New Roman" w:cstheme="minorHAnsi"/>
              <w:b/>
              <w:sz w:val="20"/>
              <w:szCs w:val="20"/>
            </w:rPr>
            <w:fldChar w:fldCharType="separate"/>
          </w:r>
          <w:r w:rsidRPr="00E33950">
            <w:rPr>
              <w:rFonts w:eastAsia="Times New Roman" w:cstheme="minorHAnsi"/>
              <w:b/>
              <w:noProof/>
              <w:sz w:val="20"/>
              <w:szCs w:val="20"/>
            </w:rPr>
            <w:t>1</w:t>
          </w:r>
          <w:r w:rsidRPr="00E33950">
            <w:rPr>
              <w:rFonts w:eastAsia="Times New Roman" w:cstheme="minorHAnsi"/>
              <w:b/>
              <w:sz w:val="20"/>
              <w:szCs w:val="20"/>
            </w:rPr>
            <w:fldChar w:fldCharType="end"/>
          </w:r>
          <w:r w:rsidRPr="00E33950">
            <w:rPr>
              <w:rFonts w:eastAsia="Times New Roman" w:cstheme="minorHAnsi"/>
              <w:b/>
              <w:sz w:val="20"/>
              <w:szCs w:val="20"/>
            </w:rPr>
            <w:t xml:space="preserve"> of </w:t>
          </w:r>
          <w:r w:rsidRPr="00E33950">
            <w:rPr>
              <w:rFonts w:eastAsia="Times New Roman" w:cstheme="minorHAnsi"/>
              <w:b/>
              <w:sz w:val="20"/>
              <w:szCs w:val="20"/>
            </w:rPr>
            <w:fldChar w:fldCharType="begin"/>
          </w:r>
          <w:r w:rsidRPr="00E33950">
            <w:rPr>
              <w:rFonts w:eastAsia="Times New Roman" w:cstheme="minorHAnsi"/>
              <w:b/>
              <w:sz w:val="20"/>
              <w:szCs w:val="20"/>
            </w:rPr>
            <w:instrText xml:space="preserve"> NUMPAGES  \# "0" \* Arabic </w:instrText>
          </w:r>
          <w:r w:rsidRPr="00E33950">
            <w:rPr>
              <w:rFonts w:eastAsia="Times New Roman" w:cstheme="minorHAnsi"/>
              <w:b/>
              <w:sz w:val="20"/>
              <w:szCs w:val="20"/>
            </w:rPr>
            <w:fldChar w:fldCharType="separate"/>
          </w:r>
          <w:r w:rsidRPr="00E33950">
            <w:rPr>
              <w:rFonts w:eastAsia="Times New Roman" w:cstheme="minorHAnsi"/>
              <w:b/>
              <w:noProof/>
              <w:sz w:val="20"/>
              <w:szCs w:val="20"/>
            </w:rPr>
            <w:t>3</w:t>
          </w:r>
          <w:r w:rsidRPr="00E33950">
            <w:rPr>
              <w:rFonts w:eastAsia="Times New Roman" w:cstheme="minorHAnsi"/>
              <w:b/>
              <w:sz w:val="20"/>
              <w:szCs w:val="20"/>
            </w:rPr>
            <w:fldChar w:fldCharType="end"/>
          </w:r>
        </w:p>
      </w:tc>
    </w:tr>
  </w:tbl>
  <w:p w14:paraId="22AECCB3" w14:textId="77777777" w:rsidR="00DF58C2" w:rsidRDefault="00DF5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F9EDD" w14:textId="77777777" w:rsidR="00F9106B" w:rsidRDefault="00F9106B" w:rsidP="00695A4E">
      <w:pPr>
        <w:spacing w:after="0" w:line="240" w:lineRule="auto"/>
      </w:pPr>
      <w:r>
        <w:separator/>
      </w:r>
    </w:p>
  </w:footnote>
  <w:footnote w:type="continuationSeparator" w:id="0">
    <w:p w14:paraId="39601AA3" w14:textId="77777777" w:rsidR="00F9106B" w:rsidRDefault="00F9106B" w:rsidP="00695A4E">
      <w:pPr>
        <w:spacing w:after="0" w:line="240" w:lineRule="auto"/>
      </w:pPr>
      <w:r>
        <w:continuationSeparator/>
      </w:r>
    </w:p>
  </w:footnote>
  <w:footnote w:type="continuationNotice" w:id="1">
    <w:p w14:paraId="650F4829" w14:textId="77777777" w:rsidR="00F9106B" w:rsidRDefault="00F910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F631" w14:textId="77777777" w:rsidR="00DF58C2" w:rsidRDefault="00936D1E">
    <w:pPr>
      <w:pStyle w:val="Header"/>
    </w:pPr>
    <w:r>
      <w:rPr>
        <w:noProof/>
      </w:rPr>
      <w:pict w14:anchorId="14E3F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18501" o:spid="_x0000_s1026" type="#_x0000_t75" style="position:absolute;margin-left:0;margin-top:0;width:608.15pt;height:787.05pt;z-index:-251657728;mso-position-horizontal:center;mso-position-horizontal-relative:margin;mso-position-vertical:center;mso-position-vertical-relative:margin" o:allowincell="f">
          <v:imagedata r:id="rId1" o:title="NGS-WordDoc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F632" w14:textId="77777777" w:rsidR="00DF58C2" w:rsidRDefault="00DF58C2">
    <w:pPr>
      <w:pStyle w:val="Header"/>
    </w:pPr>
    <w:r>
      <w:rPr>
        <w:noProof/>
      </w:rPr>
      <w:drawing>
        <wp:anchor distT="0" distB="0" distL="114300" distR="114300" simplePos="0" relativeHeight="251656704" behindDoc="1" locked="0" layoutInCell="1" allowOverlap="1" wp14:anchorId="14E3F635" wp14:editId="559BB1D7">
          <wp:simplePos x="0" y="0"/>
          <wp:positionH relativeFrom="page">
            <wp:align>left</wp:align>
          </wp:positionH>
          <wp:positionV relativeFrom="paragraph">
            <wp:posOffset>-449885</wp:posOffset>
          </wp:positionV>
          <wp:extent cx="7766572" cy="10051085"/>
          <wp:effectExtent l="0" t="0" r="6350" b="762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S-WordDocTemplateBG2.png"/>
                  <pic:cNvPicPr/>
                </pic:nvPicPr>
                <pic:blipFill>
                  <a:blip r:embed="rId1">
                    <a:extLst>
                      <a:ext uri="{28A0092B-C50C-407E-A947-70E740481C1C}">
                        <a14:useLocalDpi xmlns:a14="http://schemas.microsoft.com/office/drawing/2010/main" val="0"/>
                      </a:ext>
                    </a:extLst>
                  </a:blip>
                  <a:stretch>
                    <a:fillRect/>
                  </a:stretch>
                </pic:blipFill>
                <pic:spPr>
                  <a:xfrm>
                    <a:off x="0" y="0"/>
                    <a:ext cx="7769166" cy="1005444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F633" w14:textId="77777777" w:rsidR="00DF58C2" w:rsidRDefault="00DF58C2">
    <w:pPr>
      <w:pStyle w:val="Header"/>
    </w:pPr>
    <w:r>
      <w:rPr>
        <w:noProof/>
      </w:rPr>
      <w:drawing>
        <wp:anchor distT="0" distB="0" distL="114300" distR="114300" simplePos="0" relativeHeight="251657728" behindDoc="1" locked="0" layoutInCell="1" allowOverlap="1" wp14:anchorId="14E3F637" wp14:editId="7353FFCB">
          <wp:simplePos x="0" y="0"/>
          <wp:positionH relativeFrom="margin">
            <wp:posOffset>-670560</wp:posOffset>
          </wp:positionH>
          <wp:positionV relativeFrom="page">
            <wp:posOffset>19050</wp:posOffset>
          </wp:positionV>
          <wp:extent cx="7742602" cy="10020300"/>
          <wp:effectExtent l="0" t="0" r="0"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GS-WordDocTemplateBG3.png"/>
                  <pic:cNvPicPr/>
                </pic:nvPicPr>
                <pic:blipFill>
                  <a:blip r:embed="rId1">
                    <a:extLst>
                      <a:ext uri="{28A0092B-C50C-407E-A947-70E740481C1C}">
                        <a14:useLocalDpi xmlns:a14="http://schemas.microsoft.com/office/drawing/2010/main" val="0"/>
                      </a:ext>
                    </a:extLst>
                  </a:blip>
                  <a:stretch>
                    <a:fillRect/>
                  </a:stretch>
                </pic:blipFill>
                <pic:spPr>
                  <a:xfrm>
                    <a:off x="0" y="0"/>
                    <a:ext cx="7742602" cy="10020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5C6"/>
    <w:multiLevelType w:val="multilevel"/>
    <w:tmpl w:val="00AAF90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42EE4"/>
    <w:multiLevelType w:val="multilevel"/>
    <w:tmpl w:val="A64426D0"/>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FE2BA3"/>
    <w:multiLevelType w:val="multilevel"/>
    <w:tmpl w:val="7568886A"/>
    <w:lvl w:ilvl="0">
      <w:start w:val="1"/>
      <w:numFmt w:val="decimal"/>
      <w:lvlText w:val="%1.0"/>
      <w:lvlJc w:val="left"/>
      <w:pPr>
        <w:ind w:left="680" w:hanging="680"/>
      </w:pPr>
      <w:rPr>
        <w:rFonts w:ascii="Calibri" w:eastAsiaTheme="minorHAnsi" w:hAnsi="Calibri" w:cs="Calibri" w:hint="default"/>
        <w:b/>
        <w:color w:val="000000"/>
      </w:rPr>
    </w:lvl>
    <w:lvl w:ilvl="1">
      <w:start w:val="1"/>
      <w:numFmt w:val="decimal"/>
      <w:lvlText w:val="%1.%2"/>
      <w:lvlJc w:val="left"/>
      <w:pPr>
        <w:ind w:left="1400" w:hanging="680"/>
      </w:pPr>
      <w:rPr>
        <w:rFonts w:ascii="Calibri" w:eastAsiaTheme="minorHAnsi" w:hAnsi="Calibri" w:cs="Calibri" w:hint="default"/>
        <w:b/>
        <w:color w:val="000000"/>
      </w:rPr>
    </w:lvl>
    <w:lvl w:ilvl="2">
      <w:start w:val="1"/>
      <w:numFmt w:val="decimal"/>
      <w:lvlText w:val="%1.%2.%3"/>
      <w:lvlJc w:val="left"/>
      <w:pPr>
        <w:ind w:left="2160" w:hanging="720"/>
      </w:pPr>
      <w:rPr>
        <w:rFonts w:ascii="Calibri" w:eastAsiaTheme="minorHAnsi" w:hAnsi="Calibri" w:cs="Calibri" w:hint="default"/>
        <w:b/>
        <w:color w:val="000000"/>
      </w:rPr>
    </w:lvl>
    <w:lvl w:ilvl="3">
      <w:start w:val="1"/>
      <w:numFmt w:val="decimal"/>
      <w:lvlText w:val="%1.%2.%3.%4"/>
      <w:lvlJc w:val="left"/>
      <w:pPr>
        <w:ind w:left="2880" w:hanging="720"/>
      </w:pPr>
      <w:rPr>
        <w:rFonts w:ascii="Calibri" w:eastAsiaTheme="minorHAnsi" w:hAnsi="Calibri" w:cs="Calibri" w:hint="default"/>
        <w:b/>
        <w:color w:val="000000"/>
      </w:rPr>
    </w:lvl>
    <w:lvl w:ilvl="4">
      <w:start w:val="1"/>
      <w:numFmt w:val="decimal"/>
      <w:lvlText w:val="%1.%2.%3.%4.%5"/>
      <w:lvlJc w:val="left"/>
      <w:pPr>
        <w:ind w:left="3960" w:hanging="1080"/>
      </w:pPr>
      <w:rPr>
        <w:rFonts w:ascii="Calibri" w:eastAsiaTheme="minorHAnsi" w:hAnsi="Calibri" w:cs="Calibri" w:hint="default"/>
        <w:b/>
        <w:color w:val="000000"/>
      </w:rPr>
    </w:lvl>
    <w:lvl w:ilvl="5">
      <w:start w:val="1"/>
      <w:numFmt w:val="decimal"/>
      <w:lvlText w:val="%1.%2.%3.%4.%5.%6"/>
      <w:lvlJc w:val="left"/>
      <w:pPr>
        <w:ind w:left="4680" w:hanging="1080"/>
      </w:pPr>
      <w:rPr>
        <w:rFonts w:ascii="Calibri" w:eastAsiaTheme="minorHAnsi" w:hAnsi="Calibri" w:cs="Calibri" w:hint="default"/>
        <w:b/>
        <w:color w:val="000000"/>
      </w:rPr>
    </w:lvl>
    <w:lvl w:ilvl="6">
      <w:start w:val="1"/>
      <w:numFmt w:val="decimal"/>
      <w:lvlText w:val="%1.%2.%3.%4.%5.%6.%7"/>
      <w:lvlJc w:val="left"/>
      <w:pPr>
        <w:ind w:left="5760" w:hanging="1440"/>
      </w:pPr>
      <w:rPr>
        <w:rFonts w:ascii="Calibri" w:eastAsiaTheme="minorHAnsi" w:hAnsi="Calibri" w:cs="Calibri" w:hint="default"/>
        <w:b/>
        <w:color w:val="000000"/>
      </w:rPr>
    </w:lvl>
    <w:lvl w:ilvl="7">
      <w:start w:val="1"/>
      <w:numFmt w:val="decimal"/>
      <w:lvlText w:val="%1.%2.%3.%4.%5.%6.%7.%8"/>
      <w:lvlJc w:val="left"/>
      <w:pPr>
        <w:ind w:left="6480" w:hanging="1440"/>
      </w:pPr>
      <w:rPr>
        <w:rFonts w:ascii="Calibri" w:eastAsiaTheme="minorHAnsi" w:hAnsi="Calibri" w:cs="Calibri" w:hint="default"/>
        <w:b/>
        <w:color w:val="000000"/>
      </w:rPr>
    </w:lvl>
    <w:lvl w:ilvl="8">
      <w:start w:val="1"/>
      <w:numFmt w:val="decimal"/>
      <w:lvlText w:val="%1.%2.%3.%4.%5.%6.%7.%8.%9"/>
      <w:lvlJc w:val="left"/>
      <w:pPr>
        <w:ind w:left="7200" w:hanging="1440"/>
      </w:pPr>
      <w:rPr>
        <w:rFonts w:ascii="Calibri" w:eastAsiaTheme="minorHAnsi" w:hAnsi="Calibri" w:cs="Calibri" w:hint="default"/>
        <w:b/>
        <w:color w:val="000000"/>
      </w:rPr>
    </w:lvl>
  </w:abstractNum>
  <w:abstractNum w:abstractNumId="3" w15:restartNumberingAfterBreak="0">
    <w:nsid w:val="05D1581C"/>
    <w:multiLevelType w:val="multilevel"/>
    <w:tmpl w:val="F210D3EE"/>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lowerLetter"/>
      <w:lvlText w:val="%3."/>
      <w:lvlJc w:val="left"/>
      <w:pPr>
        <w:tabs>
          <w:tab w:val="num" w:pos="1170"/>
        </w:tabs>
        <w:ind w:left="1530" w:hanging="360"/>
      </w:pPr>
      <w:rPr>
        <w:rFonts w:asciiTheme="minorHAnsi" w:eastAsiaTheme="minorHAnsi" w:hAnsiTheme="minorHAnsi" w:cstheme="minorBidi"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val="0"/>
        <w:bCs/>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4" w15:restartNumberingAfterBreak="0">
    <w:nsid w:val="11A35898"/>
    <w:multiLevelType w:val="multilevel"/>
    <w:tmpl w:val="F210D3EE"/>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lowerLetter"/>
      <w:lvlText w:val="%3."/>
      <w:lvlJc w:val="left"/>
      <w:pPr>
        <w:tabs>
          <w:tab w:val="num" w:pos="1170"/>
        </w:tabs>
        <w:ind w:left="1530" w:hanging="360"/>
      </w:pPr>
      <w:rPr>
        <w:rFonts w:asciiTheme="minorHAnsi" w:eastAsiaTheme="minorHAnsi" w:hAnsiTheme="minorHAnsi" w:cstheme="minorBidi"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val="0"/>
        <w:bCs/>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5" w15:restartNumberingAfterBreak="0">
    <w:nsid w:val="127A10EE"/>
    <w:multiLevelType w:val="multilevel"/>
    <w:tmpl w:val="7568886A"/>
    <w:lvl w:ilvl="0">
      <w:start w:val="1"/>
      <w:numFmt w:val="decimal"/>
      <w:lvlText w:val="%1.0"/>
      <w:lvlJc w:val="left"/>
      <w:pPr>
        <w:ind w:left="680" w:hanging="680"/>
      </w:pPr>
      <w:rPr>
        <w:rFonts w:ascii="Calibri" w:eastAsiaTheme="minorHAnsi" w:hAnsi="Calibri" w:cs="Calibri" w:hint="default"/>
        <w:b/>
        <w:color w:val="000000"/>
      </w:rPr>
    </w:lvl>
    <w:lvl w:ilvl="1">
      <w:start w:val="1"/>
      <w:numFmt w:val="decimal"/>
      <w:lvlText w:val="%1.%2"/>
      <w:lvlJc w:val="left"/>
      <w:pPr>
        <w:ind w:left="1400" w:hanging="680"/>
      </w:pPr>
      <w:rPr>
        <w:rFonts w:ascii="Calibri" w:eastAsiaTheme="minorHAnsi" w:hAnsi="Calibri" w:cs="Calibri" w:hint="default"/>
        <w:b/>
        <w:color w:val="000000"/>
      </w:rPr>
    </w:lvl>
    <w:lvl w:ilvl="2">
      <w:start w:val="1"/>
      <w:numFmt w:val="decimal"/>
      <w:lvlText w:val="%1.%2.%3"/>
      <w:lvlJc w:val="left"/>
      <w:pPr>
        <w:ind w:left="2160" w:hanging="720"/>
      </w:pPr>
      <w:rPr>
        <w:rFonts w:ascii="Calibri" w:eastAsiaTheme="minorHAnsi" w:hAnsi="Calibri" w:cs="Calibri" w:hint="default"/>
        <w:b/>
        <w:color w:val="000000"/>
      </w:rPr>
    </w:lvl>
    <w:lvl w:ilvl="3">
      <w:start w:val="1"/>
      <w:numFmt w:val="decimal"/>
      <w:lvlText w:val="%1.%2.%3.%4"/>
      <w:lvlJc w:val="left"/>
      <w:pPr>
        <w:ind w:left="2880" w:hanging="720"/>
      </w:pPr>
      <w:rPr>
        <w:rFonts w:ascii="Calibri" w:eastAsiaTheme="minorHAnsi" w:hAnsi="Calibri" w:cs="Calibri" w:hint="default"/>
        <w:b/>
        <w:color w:val="000000"/>
      </w:rPr>
    </w:lvl>
    <w:lvl w:ilvl="4">
      <w:start w:val="1"/>
      <w:numFmt w:val="decimal"/>
      <w:lvlText w:val="%1.%2.%3.%4.%5"/>
      <w:lvlJc w:val="left"/>
      <w:pPr>
        <w:ind w:left="3960" w:hanging="1080"/>
      </w:pPr>
      <w:rPr>
        <w:rFonts w:ascii="Calibri" w:eastAsiaTheme="minorHAnsi" w:hAnsi="Calibri" w:cs="Calibri" w:hint="default"/>
        <w:b/>
        <w:color w:val="000000"/>
      </w:rPr>
    </w:lvl>
    <w:lvl w:ilvl="5">
      <w:start w:val="1"/>
      <w:numFmt w:val="decimal"/>
      <w:lvlText w:val="%1.%2.%3.%4.%5.%6"/>
      <w:lvlJc w:val="left"/>
      <w:pPr>
        <w:ind w:left="4680" w:hanging="1080"/>
      </w:pPr>
      <w:rPr>
        <w:rFonts w:ascii="Calibri" w:eastAsiaTheme="minorHAnsi" w:hAnsi="Calibri" w:cs="Calibri" w:hint="default"/>
        <w:b/>
        <w:color w:val="000000"/>
      </w:rPr>
    </w:lvl>
    <w:lvl w:ilvl="6">
      <w:start w:val="1"/>
      <w:numFmt w:val="decimal"/>
      <w:lvlText w:val="%1.%2.%3.%4.%5.%6.%7"/>
      <w:lvlJc w:val="left"/>
      <w:pPr>
        <w:ind w:left="5760" w:hanging="1440"/>
      </w:pPr>
      <w:rPr>
        <w:rFonts w:ascii="Calibri" w:eastAsiaTheme="minorHAnsi" w:hAnsi="Calibri" w:cs="Calibri" w:hint="default"/>
        <w:b/>
        <w:color w:val="000000"/>
      </w:rPr>
    </w:lvl>
    <w:lvl w:ilvl="7">
      <w:start w:val="1"/>
      <w:numFmt w:val="decimal"/>
      <w:lvlText w:val="%1.%2.%3.%4.%5.%6.%7.%8"/>
      <w:lvlJc w:val="left"/>
      <w:pPr>
        <w:ind w:left="6480" w:hanging="1440"/>
      </w:pPr>
      <w:rPr>
        <w:rFonts w:ascii="Calibri" w:eastAsiaTheme="minorHAnsi" w:hAnsi="Calibri" w:cs="Calibri" w:hint="default"/>
        <w:b/>
        <w:color w:val="000000"/>
      </w:rPr>
    </w:lvl>
    <w:lvl w:ilvl="8">
      <w:start w:val="1"/>
      <w:numFmt w:val="decimal"/>
      <w:lvlText w:val="%1.%2.%3.%4.%5.%6.%7.%8.%9"/>
      <w:lvlJc w:val="left"/>
      <w:pPr>
        <w:ind w:left="7200" w:hanging="1440"/>
      </w:pPr>
      <w:rPr>
        <w:rFonts w:ascii="Calibri" w:eastAsiaTheme="minorHAnsi" w:hAnsi="Calibri" w:cs="Calibri" w:hint="default"/>
        <w:b/>
        <w:color w:val="000000"/>
      </w:rPr>
    </w:lvl>
  </w:abstractNum>
  <w:abstractNum w:abstractNumId="6" w15:restartNumberingAfterBreak="0">
    <w:nsid w:val="18BF175C"/>
    <w:multiLevelType w:val="hybridMultilevel"/>
    <w:tmpl w:val="71AA25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75065"/>
    <w:multiLevelType w:val="hybridMultilevel"/>
    <w:tmpl w:val="0D246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973EA"/>
    <w:multiLevelType w:val="hybridMultilevel"/>
    <w:tmpl w:val="602035B0"/>
    <w:lvl w:ilvl="0" w:tplc="F9862484">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54DBF"/>
    <w:multiLevelType w:val="multilevel"/>
    <w:tmpl w:val="F210D3EE"/>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lowerLetter"/>
      <w:lvlText w:val="%3."/>
      <w:lvlJc w:val="left"/>
      <w:pPr>
        <w:tabs>
          <w:tab w:val="num" w:pos="1170"/>
        </w:tabs>
        <w:ind w:left="1530" w:hanging="360"/>
      </w:pPr>
      <w:rPr>
        <w:rFonts w:asciiTheme="minorHAnsi" w:eastAsiaTheme="minorHAnsi" w:hAnsiTheme="minorHAnsi" w:cstheme="minorBidi"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val="0"/>
        <w:bCs/>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10" w15:restartNumberingAfterBreak="0">
    <w:nsid w:val="2A890ACB"/>
    <w:multiLevelType w:val="hybridMultilevel"/>
    <w:tmpl w:val="1424F73E"/>
    <w:lvl w:ilvl="0" w:tplc="FFFFFFFF">
      <w:start w:val="1"/>
      <w:numFmt w:val="decimal"/>
      <w:lvlText w:val="%1."/>
      <w:lvlJc w:val="left"/>
      <w:pPr>
        <w:ind w:left="540" w:hanging="360"/>
      </w:pPr>
      <w:rPr>
        <w:b w:val="0"/>
        <w:bCs/>
      </w:r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1" w15:restartNumberingAfterBreak="0">
    <w:nsid w:val="33CC50B1"/>
    <w:multiLevelType w:val="multilevel"/>
    <w:tmpl w:val="DC02CA1E"/>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lowerLetter"/>
      <w:lvlText w:val="%3."/>
      <w:lvlJc w:val="left"/>
      <w:pPr>
        <w:tabs>
          <w:tab w:val="num" w:pos="1170"/>
        </w:tabs>
        <w:ind w:left="1530" w:hanging="360"/>
      </w:pPr>
      <w:rPr>
        <w:rFonts w:asciiTheme="minorHAnsi" w:eastAsiaTheme="minorHAnsi" w:hAnsiTheme="minorHAnsi" w:cstheme="minorBidi"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12" w15:restartNumberingAfterBreak="0">
    <w:nsid w:val="34D920C2"/>
    <w:multiLevelType w:val="multilevel"/>
    <w:tmpl w:val="BE02EA30"/>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bullet"/>
      <w:lvlText w:val="o"/>
      <w:lvlJc w:val="left"/>
      <w:pPr>
        <w:tabs>
          <w:tab w:val="num" w:pos="1170"/>
        </w:tabs>
        <w:ind w:left="1530" w:hanging="360"/>
      </w:pPr>
      <w:rPr>
        <w:rFonts w:ascii="Courier New" w:hAnsi="Courier New" w:cs="Courier New"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val="0"/>
        <w:bCs/>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13" w15:restartNumberingAfterBreak="0">
    <w:nsid w:val="41E655F2"/>
    <w:multiLevelType w:val="hybridMultilevel"/>
    <w:tmpl w:val="F3F0D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1B1377"/>
    <w:multiLevelType w:val="hybridMultilevel"/>
    <w:tmpl w:val="D2AA7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9263BA"/>
    <w:multiLevelType w:val="hybridMultilevel"/>
    <w:tmpl w:val="1424F73E"/>
    <w:lvl w:ilvl="0" w:tplc="B9E29C34">
      <w:start w:val="1"/>
      <w:numFmt w:val="decimal"/>
      <w:lvlText w:val="%1."/>
      <w:lvlJc w:val="left"/>
      <w:pPr>
        <w:ind w:left="540" w:hanging="360"/>
      </w:pPr>
      <w:rPr>
        <w:b w:val="0"/>
        <w:bCs/>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44CF7FAE"/>
    <w:multiLevelType w:val="multilevel"/>
    <w:tmpl w:val="F210D3EE"/>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lowerLetter"/>
      <w:lvlText w:val="%3."/>
      <w:lvlJc w:val="left"/>
      <w:pPr>
        <w:tabs>
          <w:tab w:val="num" w:pos="1170"/>
        </w:tabs>
        <w:ind w:left="1530" w:hanging="360"/>
      </w:pPr>
      <w:rPr>
        <w:rFonts w:asciiTheme="minorHAnsi" w:eastAsiaTheme="minorHAnsi" w:hAnsiTheme="minorHAnsi" w:cstheme="minorBidi"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val="0"/>
        <w:bCs/>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17" w15:restartNumberingAfterBreak="0">
    <w:nsid w:val="47665ECF"/>
    <w:multiLevelType w:val="multilevel"/>
    <w:tmpl w:val="CF0C854C"/>
    <w:lvl w:ilvl="0">
      <w:start w:val="1"/>
      <w:numFmt w:val="decimal"/>
      <w:lvlText w:val="%1.0"/>
      <w:lvlJc w:val="right"/>
      <w:pPr>
        <w:ind w:left="432" w:hanging="144"/>
      </w:pPr>
      <w:rPr>
        <w:rFonts w:hint="default"/>
      </w:rPr>
    </w:lvl>
    <w:lvl w:ilvl="1">
      <w:start w:val="1"/>
      <w:numFmt w:val="decimal"/>
      <w:lvlText w:val="%1.%2"/>
      <w:lvlJc w:val="left"/>
      <w:pPr>
        <w:ind w:left="864" w:hanging="432"/>
      </w:pPr>
      <w:rPr>
        <w:rFonts w:hint="default"/>
        <w:b w:val="0"/>
        <w:bCs w:val="0"/>
        <w:i w:val="0"/>
      </w:rPr>
    </w:lvl>
    <w:lvl w:ilvl="2">
      <w:start w:val="1"/>
      <w:numFmt w:val="lowerLetter"/>
      <w:lvlText w:val="%3."/>
      <w:lvlJc w:val="left"/>
      <w:pPr>
        <w:ind w:left="1152" w:hanging="288"/>
      </w:pPr>
      <w:rPr>
        <w:rFonts w:hint="default"/>
        <w:b/>
      </w:rPr>
    </w:lvl>
    <w:lvl w:ilvl="3">
      <w:start w:val="1"/>
      <w:numFmt w:val="lowerRoman"/>
      <w:lvlText w:val="%4."/>
      <w:lvlJc w:val="left"/>
      <w:pPr>
        <w:ind w:left="1296" w:hanging="216"/>
      </w:pPr>
      <w:rPr>
        <w:rFonts w:hint="default"/>
      </w:rPr>
    </w:lvl>
    <w:lvl w:ilvl="4">
      <w:start w:val="1"/>
      <w:numFmt w:val="bullet"/>
      <w:lvlText w:val=""/>
      <w:lvlJc w:val="left"/>
      <w:pPr>
        <w:ind w:left="1584" w:hanging="288"/>
      </w:pPr>
      <w:rPr>
        <w:rFonts w:ascii="Symbol" w:hAnsi="Symbol" w:hint="default"/>
        <w:color w:val="auto"/>
      </w:rPr>
    </w:lvl>
    <w:lvl w:ilvl="5">
      <w:start w:val="1"/>
      <w:numFmt w:val="decimal"/>
      <w:lvlText w:val="%1.%2.%3.%4.%5.%6"/>
      <w:lvlJc w:val="left"/>
      <w:pPr>
        <w:ind w:left="3312" w:hanging="144"/>
      </w:pPr>
      <w:rPr>
        <w:rFonts w:hint="default"/>
      </w:rPr>
    </w:lvl>
    <w:lvl w:ilvl="6">
      <w:start w:val="1"/>
      <w:numFmt w:val="decimal"/>
      <w:lvlText w:val="%1.%2.%3.%4.%5.%6.%7"/>
      <w:lvlJc w:val="left"/>
      <w:pPr>
        <w:ind w:left="3888" w:hanging="144"/>
      </w:pPr>
      <w:rPr>
        <w:rFonts w:hint="default"/>
      </w:rPr>
    </w:lvl>
    <w:lvl w:ilvl="7">
      <w:start w:val="1"/>
      <w:numFmt w:val="decimal"/>
      <w:lvlText w:val="%1.%2.%3.%4.%5.%6.%7.%8"/>
      <w:lvlJc w:val="left"/>
      <w:pPr>
        <w:ind w:left="4464" w:hanging="144"/>
      </w:pPr>
      <w:rPr>
        <w:rFonts w:hint="default"/>
      </w:rPr>
    </w:lvl>
    <w:lvl w:ilvl="8">
      <w:start w:val="1"/>
      <w:numFmt w:val="decimal"/>
      <w:lvlText w:val="%1.%2.%3.%4.%5.%6.%7.%8.%9"/>
      <w:lvlJc w:val="left"/>
      <w:pPr>
        <w:ind w:left="5040" w:hanging="144"/>
      </w:pPr>
      <w:rPr>
        <w:rFonts w:hint="default"/>
      </w:rPr>
    </w:lvl>
  </w:abstractNum>
  <w:abstractNum w:abstractNumId="18" w15:restartNumberingAfterBreak="0">
    <w:nsid w:val="5C7301DF"/>
    <w:multiLevelType w:val="multilevel"/>
    <w:tmpl w:val="F210D3EE"/>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lowerLetter"/>
      <w:lvlText w:val="%3."/>
      <w:lvlJc w:val="left"/>
      <w:pPr>
        <w:tabs>
          <w:tab w:val="num" w:pos="1170"/>
        </w:tabs>
        <w:ind w:left="1530" w:hanging="360"/>
      </w:pPr>
      <w:rPr>
        <w:rFonts w:asciiTheme="minorHAnsi" w:eastAsiaTheme="minorHAnsi" w:hAnsiTheme="minorHAnsi" w:cstheme="minorBidi"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val="0"/>
        <w:bCs/>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19" w15:restartNumberingAfterBreak="0">
    <w:nsid w:val="5EE67189"/>
    <w:multiLevelType w:val="multilevel"/>
    <w:tmpl w:val="CB2E4FC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15:restartNumberingAfterBreak="0">
    <w:nsid w:val="6AE77D33"/>
    <w:multiLevelType w:val="multilevel"/>
    <w:tmpl w:val="CA2A313C"/>
    <w:lvl w:ilvl="0">
      <w:start w:val="1"/>
      <w:numFmt w:val="decimal"/>
      <w:lvlText w:val="%1.0"/>
      <w:lvlJc w:val="left"/>
      <w:pPr>
        <w:ind w:left="360" w:hanging="360"/>
      </w:pPr>
      <w:rPr>
        <w:rFonts w:ascii="Calibri" w:eastAsiaTheme="minorHAnsi" w:hAnsi="Calibri" w:cs="Calibri" w:hint="default"/>
        <w:b/>
        <w:color w:val="000000"/>
      </w:rPr>
    </w:lvl>
    <w:lvl w:ilvl="1">
      <w:start w:val="1"/>
      <w:numFmt w:val="decimal"/>
      <w:lvlText w:val="%1.%2"/>
      <w:lvlJc w:val="left"/>
      <w:pPr>
        <w:ind w:left="1080" w:hanging="360"/>
      </w:pPr>
      <w:rPr>
        <w:rFonts w:ascii="Calibri" w:eastAsiaTheme="minorHAnsi" w:hAnsi="Calibri" w:cs="Calibri" w:hint="default"/>
        <w:b/>
        <w:color w:val="000000"/>
      </w:rPr>
    </w:lvl>
    <w:lvl w:ilvl="2">
      <w:start w:val="1"/>
      <w:numFmt w:val="decimal"/>
      <w:lvlText w:val="%1.%2.%3"/>
      <w:lvlJc w:val="left"/>
      <w:pPr>
        <w:ind w:left="2160" w:hanging="720"/>
      </w:pPr>
      <w:rPr>
        <w:rFonts w:ascii="Calibri" w:eastAsiaTheme="minorHAnsi" w:hAnsi="Calibri" w:cs="Calibri" w:hint="default"/>
        <w:b/>
        <w:color w:val="000000"/>
      </w:rPr>
    </w:lvl>
    <w:lvl w:ilvl="3">
      <w:start w:val="1"/>
      <w:numFmt w:val="decimal"/>
      <w:lvlText w:val="%1.%2.%3.%4"/>
      <w:lvlJc w:val="left"/>
      <w:pPr>
        <w:ind w:left="2880" w:hanging="720"/>
      </w:pPr>
      <w:rPr>
        <w:rFonts w:ascii="Calibri" w:eastAsiaTheme="minorHAnsi" w:hAnsi="Calibri" w:cs="Calibri" w:hint="default"/>
        <w:b/>
        <w:color w:val="000000"/>
      </w:rPr>
    </w:lvl>
    <w:lvl w:ilvl="4">
      <w:start w:val="1"/>
      <w:numFmt w:val="decimal"/>
      <w:lvlText w:val="%1.%2.%3.%4.%5"/>
      <w:lvlJc w:val="left"/>
      <w:pPr>
        <w:ind w:left="3960" w:hanging="1080"/>
      </w:pPr>
      <w:rPr>
        <w:rFonts w:ascii="Calibri" w:eastAsiaTheme="minorHAnsi" w:hAnsi="Calibri" w:cs="Calibri" w:hint="default"/>
        <w:b/>
        <w:color w:val="000000"/>
      </w:rPr>
    </w:lvl>
    <w:lvl w:ilvl="5">
      <w:start w:val="1"/>
      <w:numFmt w:val="decimal"/>
      <w:lvlText w:val="%1.%2.%3.%4.%5.%6"/>
      <w:lvlJc w:val="left"/>
      <w:pPr>
        <w:ind w:left="4680" w:hanging="1080"/>
      </w:pPr>
      <w:rPr>
        <w:rFonts w:ascii="Calibri" w:eastAsiaTheme="minorHAnsi" w:hAnsi="Calibri" w:cs="Calibri" w:hint="default"/>
        <w:b/>
        <w:color w:val="000000"/>
      </w:rPr>
    </w:lvl>
    <w:lvl w:ilvl="6">
      <w:start w:val="1"/>
      <w:numFmt w:val="decimal"/>
      <w:lvlText w:val="%1.%2.%3.%4.%5.%6.%7"/>
      <w:lvlJc w:val="left"/>
      <w:pPr>
        <w:ind w:left="5760" w:hanging="1440"/>
      </w:pPr>
      <w:rPr>
        <w:rFonts w:ascii="Calibri" w:eastAsiaTheme="minorHAnsi" w:hAnsi="Calibri" w:cs="Calibri" w:hint="default"/>
        <w:b/>
        <w:color w:val="000000"/>
      </w:rPr>
    </w:lvl>
    <w:lvl w:ilvl="7">
      <w:start w:val="1"/>
      <w:numFmt w:val="decimal"/>
      <w:lvlText w:val="%1.%2.%3.%4.%5.%6.%7.%8"/>
      <w:lvlJc w:val="left"/>
      <w:pPr>
        <w:ind w:left="6480" w:hanging="1440"/>
      </w:pPr>
      <w:rPr>
        <w:rFonts w:ascii="Calibri" w:eastAsiaTheme="minorHAnsi" w:hAnsi="Calibri" w:cs="Calibri" w:hint="default"/>
        <w:b/>
        <w:color w:val="000000"/>
      </w:rPr>
    </w:lvl>
    <w:lvl w:ilvl="8">
      <w:start w:val="1"/>
      <w:numFmt w:val="decimal"/>
      <w:lvlText w:val="%1.%2.%3.%4.%5.%6.%7.%8.%9"/>
      <w:lvlJc w:val="left"/>
      <w:pPr>
        <w:ind w:left="7200" w:hanging="1440"/>
      </w:pPr>
      <w:rPr>
        <w:rFonts w:ascii="Calibri" w:eastAsiaTheme="minorHAnsi" w:hAnsi="Calibri" w:cs="Calibri" w:hint="default"/>
        <w:b/>
        <w:color w:val="000000"/>
      </w:rPr>
    </w:lvl>
  </w:abstractNum>
  <w:abstractNum w:abstractNumId="21" w15:restartNumberingAfterBreak="0">
    <w:nsid w:val="713C6D79"/>
    <w:multiLevelType w:val="hybridMultilevel"/>
    <w:tmpl w:val="BD9A5C6E"/>
    <w:lvl w:ilvl="0" w:tplc="FFFFFFFF">
      <w:start w:val="1"/>
      <w:numFmt w:val="decimal"/>
      <w:lvlText w:val="%1."/>
      <w:lvlJc w:val="left"/>
      <w:pPr>
        <w:ind w:left="540" w:hanging="360"/>
      </w:pPr>
      <w:rPr>
        <w:b w:val="0"/>
        <w:bCs/>
      </w:r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2" w15:restartNumberingAfterBreak="0">
    <w:nsid w:val="7F650C2B"/>
    <w:multiLevelType w:val="multilevel"/>
    <w:tmpl w:val="F210D3EE"/>
    <w:lvl w:ilvl="0">
      <w:start w:val="1"/>
      <w:numFmt w:val="decimal"/>
      <w:lvlText w:val="%1.0"/>
      <w:lvlJc w:val="left"/>
      <w:pPr>
        <w:ind w:left="720" w:hanging="720"/>
      </w:pPr>
      <w:rPr>
        <w:rFonts w:hint="default"/>
        <w:b/>
        <w:color w:val="auto"/>
      </w:rPr>
    </w:lvl>
    <w:lvl w:ilvl="1">
      <w:start w:val="1"/>
      <w:numFmt w:val="decimal"/>
      <w:lvlText w:val="%1.%2."/>
      <w:lvlJc w:val="left"/>
      <w:pPr>
        <w:tabs>
          <w:tab w:val="num" w:pos="1440"/>
        </w:tabs>
        <w:ind w:left="1440" w:hanging="720"/>
      </w:pPr>
      <w:rPr>
        <w:rFonts w:hint="default"/>
        <w:b/>
        <w:i w:val="0"/>
        <w:color w:val="auto"/>
      </w:rPr>
    </w:lvl>
    <w:lvl w:ilvl="2">
      <w:start w:val="1"/>
      <w:numFmt w:val="lowerLetter"/>
      <w:lvlText w:val="%3."/>
      <w:lvlJc w:val="left"/>
      <w:pPr>
        <w:tabs>
          <w:tab w:val="num" w:pos="1170"/>
        </w:tabs>
        <w:ind w:left="1530" w:hanging="360"/>
      </w:pPr>
      <w:rPr>
        <w:rFonts w:asciiTheme="minorHAnsi" w:eastAsiaTheme="minorHAnsi" w:hAnsiTheme="minorHAnsi" w:cstheme="minorBidi" w:hint="default"/>
        <w:b w:val="0"/>
        <w:bCs w:val="0"/>
      </w:rPr>
    </w:lvl>
    <w:lvl w:ilvl="3">
      <w:start w:val="1"/>
      <w:numFmt w:val="lowerRoman"/>
      <w:lvlText w:val="%4."/>
      <w:lvlJc w:val="left"/>
      <w:pPr>
        <w:tabs>
          <w:tab w:val="num" w:pos="1620"/>
        </w:tabs>
        <w:ind w:left="1890" w:hanging="270"/>
      </w:pPr>
      <w:rPr>
        <w:rFonts w:asciiTheme="minorHAnsi" w:eastAsiaTheme="minorHAnsi" w:hAnsiTheme="minorHAnsi" w:cstheme="minorBidi" w:hint="default"/>
        <w:b w:val="0"/>
        <w:bCs/>
        <w:color w:val="auto"/>
      </w:rPr>
    </w:lvl>
    <w:lvl w:ilvl="4">
      <w:start w:val="1"/>
      <w:numFmt w:val="bullet"/>
      <w:lvlText w:val=""/>
      <w:lvlJc w:val="left"/>
      <w:pPr>
        <w:ind w:left="2358" w:hanging="288"/>
      </w:pPr>
      <w:rPr>
        <w:rFonts w:ascii="Symbol" w:hAnsi="Symbol" w:hint="default"/>
        <w:b w:val="0"/>
      </w:rPr>
    </w:lvl>
    <w:lvl w:ilvl="5">
      <w:start w:val="1"/>
      <w:numFmt w:val="bullet"/>
      <w:lvlText w:val=""/>
      <w:lvlJc w:val="left"/>
      <w:pPr>
        <w:tabs>
          <w:tab w:val="num" w:pos="2246"/>
        </w:tabs>
        <w:ind w:left="2880" w:hanging="634"/>
      </w:pPr>
      <w:rPr>
        <w:rFonts w:ascii="Symbol" w:hAnsi="Symbol" w:hint="default"/>
        <w:b w:val="0"/>
        <w:color w:val="auto"/>
      </w:rPr>
    </w:lvl>
    <w:lvl w:ilvl="6">
      <w:start w:val="1"/>
      <w:numFmt w:val="decimal"/>
      <w:lvlText w:val="%1.%2.%3.%4.%5.%6.%7."/>
      <w:lvlJc w:val="left"/>
      <w:pPr>
        <w:ind w:left="3690" w:hanging="1080"/>
      </w:pPr>
      <w:rPr>
        <w:rFonts w:hint="default"/>
        <w:b w:val="0"/>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num w:numId="1" w16cid:durableId="1096709433">
    <w:abstractNumId w:val="0"/>
  </w:num>
  <w:num w:numId="2" w16cid:durableId="1069228823">
    <w:abstractNumId w:val="7"/>
  </w:num>
  <w:num w:numId="3" w16cid:durableId="534268054">
    <w:abstractNumId w:val="19"/>
  </w:num>
  <w:num w:numId="4" w16cid:durableId="680279048">
    <w:abstractNumId w:val="13"/>
  </w:num>
  <w:num w:numId="5" w16cid:durableId="44958684">
    <w:abstractNumId w:val="2"/>
  </w:num>
  <w:num w:numId="6" w16cid:durableId="1607888935">
    <w:abstractNumId w:val="5"/>
  </w:num>
  <w:num w:numId="7" w16cid:durableId="335424405">
    <w:abstractNumId w:val="20"/>
  </w:num>
  <w:num w:numId="8" w16cid:durableId="11806474">
    <w:abstractNumId w:val="14"/>
  </w:num>
  <w:num w:numId="9" w16cid:durableId="1329406340">
    <w:abstractNumId w:val="17"/>
  </w:num>
  <w:num w:numId="10" w16cid:durableId="1619071676">
    <w:abstractNumId w:val="11"/>
  </w:num>
  <w:num w:numId="11" w16cid:durableId="805006749">
    <w:abstractNumId w:val="1"/>
  </w:num>
  <w:num w:numId="12" w16cid:durableId="166750435">
    <w:abstractNumId w:val="16"/>
  </w:num>
  <w:num w:numId="13" w16cid:durableId="575818040">
    <w:abstractNumId w:val="9"/>
  </w:num>
  <w:num w:numId="14" w16cid:durableId="2134206958">
    <w:abstractNumId w:val="22"/>
  </w:num>
  <w:num w:numId="15" w16cid:durableId="368915613">
    <w:abstractNumId w:val="3"/>
  </w:num>
  <w:num w:numId="16" w16cid:durableId="1747608433">
    <w:abstractNumId w:val="18"/>
  </w:num>
  <w:num w:numId="17" w16cid:durableId="720831451">
    <w:abstractNumId w:val="4"/>
  </w:num>
  <w:num w:numId="18" w16cid:durableId="61028222">
    <w:abstractNumId w:val="12"/>
  </w:num>
  <w:num w:numId="19" w16cid:durableId="1835297752">
    <w:abstractNumId w:val="6"/>
  </w:num>
  <w:num w:numId="20" w16cid:durableId="1746031728">
    <w:abstractNumId w:val="15"/>
  </w:num>
  <w:num w:numId="21" w16cid:durableId="1433359359">
    <w:abstractNumId w:val="21"/>
  </w:num>
  <w:num w:numId="22" w16cid:durableId="1871647795">
    <w:abstractNumId w:val="10"/>
  </w:num>
  <w:num w:numId="23" w16cid:durableId="815032267">
    <w:abstractNumId w:val="8"/>
  </w:num>
  <w:num w:numId="24" w16cid:durableId="612368870">
    <w:abstractNumId w:val="8"/>
  </w:num>
  <w:num w:numId="25" w16cid:durableId="1354721442">
    <w:abstractNumId w:val="8"/>
  </w:num>
  <w:num w:numId="26" w16cid:durableId="916134728">
    <w:abstractNumId w:val="8"/>
  </w:num>
  <w:num w:numId="27" w16cid:durableId="418328843">
    <w:abstractNumId w:val="8"/>
  </w:num>
  <w:num w:numId="28" w16cid:durableId="13715665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AwsjQztzQxtTAwNDdV0lEKTi0uzszPAykwrAUA6HyI8iwAAAA="/>
  </w:docVars>
  <w:rsids>
    <w:rsidRoot w:val="00695A4E"/>
    <w:rsid w:val="00015447"/>
    <w:rsid w:val="00034988"/>
    <w:rsid w:val="0006362D"/>
    <w:rsid w:val="00064166"/>
    <w:rsid w:val="000679A3"/>
    <w:rsid w:val="00083764"/>
    <w:rsid w:val="00086C16"/>
    <w:rsid w:val="00090CC4"/>
    <w:rsid w:val="00090CCF"/>
    <w:rsid w:val="000961F8"/>
    <w:rsid w:val="000A1A6E"/>
    <w:rsid w:val="000A274F"/>
    <w:rsid w:val="000B17EB"/>
    <w:rsid w:val="000B7C4C"/>
    <w:rsid w:val="000E088F"/>
    <w:rsid w:val="000E0AFE"/>
    <w:rsid w:val="000F31B0"/>
    <w:rsid w:val="000F4B83"/>
    <w:rsid w:val="00112C4F"/>
    <w:rsid w:val="00136561"/>
    <w:rsid w:val="00145245"/>
    <w:rsid w:val="0014554C"/>
    <w:rsid w:val="00146474"/>
    <w:rsid w:val="00146875"/>
    <w:rsid w:val="00150A92"/>
    <w:rsid w:val="001514F1"/>
    <w:rsid w:val="001528E8"/>
    <w:rsid w:val="00155FC8"/>
    <w:rsid w:val="00180D06"/>
    <w:rsid w:val="00180E8D"/>
    <w:rsid w:val="00182B52"/>
    <w:rsid w:val="00185CE9"/>
    <w:rsid w:val="00196C56"/>
    <w:rsid w:val="001A60C7"/>
    <w:rsid w:val="001B5C41"/>
    <w:rsid w:val="001E30E7"/>
    <w:rsid w:val="001F52CA"/>
    <w:rsid w:val="00207541"/>
    <w:rsid w:val="0023130F"/>
    <w:rsid w:val="00234EFF"/>
    <w:rsid w:val="00242EFB"/>
    <w:rsid w:val="002453C0"/>
    <w:rsid w:val="00260D62"/>
    <w:rsid w:val="00270242"/>
    <w:rsid w:val="00270C41"/>
    <w:rsid w:val="00280505"/>
    <w:rsid w:val="00283725"/>
    <w:rsid w:val="00286112"/>
    <w:rsid w:val="002C564E"/>
    <w:rsid w:val="002C68EC"/>
    <w:rsid w:val="002D2CEF"/>
    <w:rsid w:val="002D416E"/>
    <w:rsid w:val="002D6974"/>
    <w:rsid w:val="002D6A30"/>
    <w:rsid w:val="002F04F3"/>
    <w:rsid w:val="002F360F"/>
    <w:rsid w:val="002F3A89"/>
    <w:rsid w:val="002F460C"/>
    <w:rsid w:val="002F7209"/>
    <w:rsid w:val="003149A8"/>
    <w:rsid w:val="003155DD"/>
    <w:rsid w:val="00316E36"/>
    <w:rsid w:val="003267F0"/>
    <w:rsid w:val="003314D6"/>
    <w:rsid w:val="0034756E"/>
    <w:rsid w:val="00352F60"/>
    <w:rsid w:val="00357957"/>
    <w:rsid w:val="0037606B"/>
    <w:rsid w:val="0037757A"/>
    <w:rsid w:val="0038423E"/>
    <w:rsid w:val="003860AC"/>
    <w:rsid w:val="00386CE0"/>
    <w:rsid w:val="003915B9"/>
    <w:rsid w:val="003A2184"/>
    <w:rsid w:val="003C10BE"/>
    <w:rsid w:val="003C59C0"/>
    <w:rsid w:val="003E0C4C"/>
    <w:rsid w:val="003E0E11"/>
    <w:rsid w:val="003E4F88"/>
    <w:rsid w:val="003E615E"/>
    <w:rsid w:val="003F4E35"/>
    <w:rsid w:val="00400950"/>
    <w:rsid w:val="00413FDF"/>
    <w:rsid w:val="004345B9"/>
    <w:rsid w:val="00454F44"/>
    <w:rsid w:val="0046767F"/>
    <w:rsid w:val="00472399"/>
    <w:rsid w:val="00474E05"/>
    <w:rsid w:val="00476B84"/>
    <w:rsid w:val="00476F96"/>
    <w:rsid w:val="004A61D3"/>
    <w:rsid w:val="004C6CA0"/>
    <w:rsid w:val="004E4F42"/>
    <w:rsid w:val="004E71EE"/>
    <w:rsid w:val="004E77F5"/>
    <w:rsid w:val="004F225D"/>
    <w:rsid w:val="004F3164"/>
    <w:rsid w:val="004F5CEF"/>
    <w:rsid w:val="005023ED"/>
    <w:rsid w:val="00503FE5"/>
    <w:rsid w:val="00512A9C"/>
    <w:rsid w:val="005179C9"/>
    <w:rsid w:val="00523823"/>
    <w:rsid w:val="00535D59"/>
    <w:rsid w:val="00571E56"/>
    <w:rsid w:val="00575807"/>
    <w:rsid w:val="0058028D"/>
    <w:rsid w:val="005843E0"/>
    <w:rsid w:val="005A0E7C"/>
    <w:rsid w:val="005A1175"/>
    <w:rsid w:val="005A17FB"/>
    <w:rsid w:val="005A34B7"/>
    <w:rsid w:val="005A3B6A"/>
    <w:rsid w:val="005B2E2F"/>
    <w:rsid w:val="005B54B4"/>
    <w:rsid w:val="005D1289"/>
    <w:rsid w:val="005D256E"/>
    <w:rsid w:val="005F5AAE"/>
    <w:rsid w:val="00601302"/>
    <w:rsid w:val="0060560E"/>
    <w:rsid w:val="00622299"/>
    <w:rsid w:val="00636AF7"/>
    <w:rsid w:val="006377C5"/>
    <w:rsid w:val="00640CBA"/>
    <w:rsid w:val="006465C9"/>
    <w:rsid w:val="00650F35"/>
    <w:rsid w:val="00651BF1"/>
    <w:rsid w:val="00674F51"/>
    <w:rsid w:val="006760C7"/>
    <w:rsid w:val="006837A8"/>
    <w:rsid w:val="00690B42"/>
    <w:rsid w:val="00692090"/>
    <w:rsid w:val="00694AFD"/>
    <w:rsid w:val="00694EF1"/>
    <w:rsid w:val="00695A4E"/>
    <w:rsid w:val="006A5E52"/>
    <w:rsid w:val="006B1E15"/>
    <w:rsid w:val="006B5A05"/>
    <w:rsid w:val="006B66D8"/>
    <w:rsid w:val="006E1925"/>
    <w:rsid w:val="006E29B8"/>
    <w:rsid w:val="006E53CB"/>
    <w:rsid w:val="006F056D"/>
    <w:rsid w:val="0071354E"/>
    <w:rsid w:val="00720CA2"/>
    <w:rsid w:val="00731C43"/>
    <w:rsid w:val="007320F5"/>
    <w:rsid w:val="00741F7B"/>
    <w:rsid w:val="00747155"/>
    <w:rsid w:val="0075009F"/>
    <w:rsid w:val="00750B87"/>
    <w:rsid w:val="007532EE"/>
    <w:rsid w:val="00755E6C"/>
    <w:rsid w:val="00760C6F"/>
    <w:rsid w:val="00773F60"/>
    <w:rsid w:val="007757D0"/>
    <w:rsid w:val="00784C6D"/>
    <w:rsid w:val="00790B99"/>
    <w:rsid w:val="00791C0F"/>
    <w:rsid w:val="00796C2D"/>
    <w:rsid w:val="007B739C"/>
    <w:rsid w:val="007C2F3F"/>
    <w:rsid w:val="007C4A67"/>
    <w:rsid w:val="007D227C"/>
    <w:rsid w:val="007E2258"/>
    <w:rsid w:val="007F4FEA"/>
    <w:rsid w:val="008026FD"/>
    <w:rsid w:val="0081735C"/>
    <w:rsid w:val="00827F15"/>
    <w:rsid w:val="008327A4"/>
    <w:rsid w:val="00833614"/>
    <w:rsid w:val="00833CB4"/>
    <w:rsid w:val="008432EF"/>
    <w:rsid w:val="00844E68"/>
    <w:rsid w:val="00860CB7"/>
    <w:rsid w:val="0086794B"/>
    <w:rsid w:val="008702B3"/>
    <w:rsid w:val="00873A1F"/>
    <w:rsid w:val="008741F0"/>
    <w:rsid w:val="0089013E"/>
    <w:rsid w:val="008A1669"/>
    <w:rsid w:val="008B5014"/>
    <w:rsid w:val="008C1420"/>
    <w:rsid w:val="008C1787"/>
    <w:rsid w:val="008C1AE4"/>
    <w:rsid w:val="008C4BFE"/>
    <w:rsid w:val="008D1CFF"/>
    <w:rsid w:val="008E61D3"/>
    <w:rsid w:val="008F26D0"/>
    <w:rsid w:val="008F2810"/>
    <w:rsid w:val="008F34AD"/>
    <w:rsid w:val="008F5174"/>
    <w:rsid w:val="008F588F"/>
    <w:rsid w:val="00901B94"/>
    <w:rsid w:val="00907153"/>
    <w:rsid w:val="00912E3E"/>
    <w:rsid w:val="00924F31"/>
    <w:rsid w:val="00936D1E"/>
    <w:rsid w:val="0094674D"/>
    <w:rsid w:val="009570A4"/>
    <w:rsid w:val="00971AB0"/>
    <w:rsid w:val="00992FF4"/>
    <w:rsid w:val="009A351C"/>
    <w:rsid w:val="009A52E7"/>
    <w:rsid w:val="009B2AC6"/>
    <w:rsid w:val="009B47D1"/>
    <w:rsid w:val="009C038B"/>
    <w:rsid w:val="009C1592"/>
    <w:rsid w:val="00A01FF3"/>
    <w:rsid w:val="00A069C9"/>
    <w:rsid w:val="00A322EA"/>
    <w:rsid w:val="00A33E70"/>
    <w:rsid w:val="00A404A3"/>
    <w:rsid w:val="00A45511"/>
    <w:rsid w:val="00A61C7F"/>
    <w:rsid w:val="00A7551B"/>
    <w:rsid w:val="00A80386"/>
    <w:rsid w:val="00A90BC8"/>
    <w:rsid w:val="00A95A46"/>
    <w:rsid w:val="00A979E2"/>
    <w:rsid w:val="00AA3CBC"/>
    <w:rsid w:val="00AA7B7C"/>
    <w:rsid w:val="00AC4D2B"/>
    <w:rsid w:val="00AE3133"/>
    <w:rsid w:val="00AE4517"/>
    <w:rsid w:val="00AF01F8"/>
    <w:rsid w:val="00AF68B8"/>
    <w:rsid w:val="00B137A1"/>
    <w:rsid w:val="00B332ED"/>
    <w:rsid w:val="00B409CC"/>
    <w:rsid w:val="00B43019"/>
    <w:rsid w:val="00B5258F"/>
    <w:rsid w:val="00B52B75"/>
    <w:rsid w:val="00B63B86"/>
    <w:rsid w:val="00B77465"/>
    <w:rsid w:val="00B8148B"/>
    <w:rsid w:val="00B90AEA"/>
    <w:rsid w:val="00BA3F43"/>
    <w:rsid w:val="00BA4C99"/>
    <w:rsid w:val="00BA5D2C"/>
    <w:rsid w:val="00BE527E"/>
    <w:rsid w:val="00BE7183"/>
    <w:rsid w:val="00BF602C"/>
    <w:rsid w:val="00C1090D"/>
    <w:rsid w:val="00C41E51"/>
    <w:rsid w:val="00C458F2"/>
    <w:rsid w:val="00C53245"/>
    <w:rsid w:val="00C62F89"/>
    <w:rsid w:val="00C65C76"/>
    <w:rsid w:val="00C87C4C"/>
    <w:rsid w:val="00CA0602"/>
    <w:rsid w:val="00CA558E"/>
    <w:rsid w:val="00CB1A65"/>
    <w:rsid w:val="00CB4151"/>
    <w:rsid w:val="00CD03AA"/>
    <w:rsid w:val="00CD50A0"/>
    <w:rsid w:val="00CD54A1"/>
    <w:rsid w:val="00CE0634"/>
    <w:rsid w:val="00CE0D51"/>
    <w:rsid w:val="00CE63AF"/>
    <w:rsid w:val="00CF38F1"/>
    <w:rsid w:val="00CF71C4"/>
    <w:rsid w:val="00D25C9D"/>
    <w:rsid w:val="00D26908"/>
    <w:rsid w:val="00D3002C"/>
    <w:rsid w:val="00D3420C"/>
    <w:rsid w:val="00D3551F"/>
    <w:rsid w:val="00D46612"/>
    <w:rsid w:val="00D5124D"/>
    <w:rsid w:val="00D54444"/>
    <w:rsid w:val="00D55B1E"/>
    <w:rsid w:val="00D83EC5"/>
    <w:rsid w:val="00D85C8E"/>
    <w:rsid w:val="00DB65B8"/>
    <w:rsid w:val="00DB70B5"/>
    <w:rsid w:val="00DC0C87"/>
    <w:rsid w:val="00DC23B0"/>
    <w:rsid w:val="00DC65F2"/>
    <w:rsid w:val="00DE1696"/>
    <w:rsid w:val="00DE4F50"/>
    <w:rsid w:val="00DF2506"/>
    <w:rsid w:val="00DF54C9"/>
    <w:rsid w:val="00DF58C2"/>
    <w:rsid w:val="00E04405"/>
    <w:rsid w:val="00E1510E"/>
    <w:rsid w:val="00E229E8"/>
    <w:rsid w:val="00E23857"/>
    <w:rsid w:val="00E31D78"/>
    <w:rsid w:val="00E33950"/>
    <w:rsid w:val="00E416E8"/>
    <w:rsid w:val="00E50151"/>
    <w:rsid w:val="00E71F86"/>
    <w:rsid w:val="00E778E7"/>
    <w:rsid w:val="00E86781"/>
    <w:rsid w:val="00EA547C"/>
    <w:rsid w:val="00EC19B2"/>
    <w:rsid w:val="00ED0559"/>
    <w:rsid w:val="00EE64F4"/>
    <w:rsid w:val="00F16CC5"/>
    <w:rsid w:val="00F2132B"/>
    <w:rsid w:val="00F2504E"/>
    <w:rsid w:val="00F27E92"/>
    <w:rsid w:val="00F30E7F"/>
    <w:rsid w:val="00F31D70"/>
    <w:rsid w:val="00F41C5C"/>
    <w:rsid w:val="00F422B1"/>
    <w:rsid w:val="00F43D37"/>
    <w:rsid w:val="00F830DA"/>
    <w:rsid w:val="00F879A5"/>
    <w:rsid w:val="00F9106B"/>
    <w:rsid w:val="00F9452A"/>
    <w:rsid w:val="00F95EB0"/>
    <w:rsid w:val="00F9657D"/>
    <w:rsid w:val="00FA0D3D"/>
    <w:rsid w:val="00FB0C0F"/>
    <w:rsid w:val="00FC07C1"/>
    <w:rsid w:val="00FC1AA2"/>
    <w:rsid w:val="00FC4440"/>
    <w:rsid w:val="00FC70C6"/>
    <w:rsid w:val="00FE0EC8"/>
    <w:rsid w:val="00FF7F06"/>
    <w:rsid w:val="021C06B5"/>
    <w:rsid w:val="0B28EF36"/>
    <w:rsid w:val="15FE7D96"/>
    <w:rsid w:val="17A968C6"/>
    <w:rsid w:val="2DE6721F"/>
    <w:rsid w:val="3AC77B0B"/>
    <w:rsid w:val="42DB7695"/>
    <w:rsid w:val="4F85E224"/>
    <w:rsid w:val="5F18E239"/>
    <w:rsid w:val="661334F8"/>
    <w:rsid w:val="6D12BD4E"/>
    <w:rsid w:val="6E3839DA"/>
    <w:rsid w:val="7E78F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3F607"/>
  <w15:chartTrackingRefBased/>
  <w15:docId w15:val="{3F24071D-87A7-4428-AE03-9C4CE40A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E68"/>
    <w:pPr>
      <w:spacing w:after="200" w:line="276" w:lineRule="auto"/>
    </w:pPr>
  </w:style>
  <w:style w:type="paragraph" w:styleId="Heading1">
    <w:name w:val="heading 1"/>
    <w:basedOn w:val="Normal"/>
    <w:next w:val="Normal"/>
    <w:link w:val="Heading1Char"/>
    <w:uiPriority w:val="9"/>
    <w:qFormat/>
    <w:rsid w:val="006E29B8"/>
    <w:pPr>
      <w:keepNext/>
      <w:keepLines/>
      <w:numPr>
        <w:numId w:val="23"/>
      </w:numPr>
      <w:spacing w:before="240" w:after="0"/>
      <w:outlineLvl w:val="0"/>
    </w:pPr>
    <w:rPr>
      <w:rFonts w:asciiTheme="majorHAnsi" w:eastAsiaTheme="majorEastAsia" w:hAnsiTheme="majorHAnsi" w:cstheme="majorBidi"/>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A4E"/>
  </w:style>
  <w:style w:type="paragraph" w:styleId="Footer">
    <w:name w:val="footer"/>
    <w:basedOn w:val="Normal"/>
    <w:link w:val="FooterChar"/>
    <w:uiPriority w:val="99"/>
    <w:unhideWhenUsed/>
    <w:rsid w:val="00695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A4E"/>
  </w:style>
  <w:style w:type="paragraph" w:styleId="BalloonText">
    <w:name w:val="Balloon Text"/>
    <w:basedOn w:val="Normal"/>
    <w:link w:val="BalloonTextChar"/>
    <w:uiPriority w:val="99"/>
    <w:semiHidden/>
    <w:unhideWhenUsed/>
    <w:rsid w:val="008336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614"/>
    <w:rPr>
      <w:rFonts w:ascii="Segoe UI" w:hAnsi="Segoe UI" w:cs="Segoe UI"/>
      <w:sz w:val="18"/>
      <w:szCs w:val="18"/>
    </w:rPr>
  </w:style>
  <w:style w:type="character" w:styleId="Hyperlink">
    <w:name w:val="Hyperlink"/>
    <w:basedOn w:val="DefaultParagraphFont"/>
    <w:uiPriority w:val="99"/>
    <w:unhideWhenUsed/>
    <w:rsid w:val="005B54B4"/>
    <w:rPr>
      <w:color w:val="0563C1" w:themeColor="hyperlink"/>
      <w:u w:val="single"/>
    </w:rPr>
  </w:style>
  <w:style w:type="paragraph" w:styleId="ListParagraph">
    <w:name w:val="List Paragraph"/>
    <w:basedOn w:val="Normal"/>
    <w:uiPriority w:val="34"/>
    <w:qFormat/>
    <w:rsid w:val="00155FC8"/>
    <w:pPr>
      <w:ind w:left="720"/>
      <w:contextualSpacing/>
    </w:pPr>
  </w:style>
  <w:style w:type="character" w:customStyle="1" w:styleId="normaltextrun">
    <w:name w:val="normaltextrun"/>
    <w:basedOn w:val="DefaultParagraphFont"/>
    <w:rsid w:val="00270242"/>
  </w:style>
  <w:style w:type="character" w:customStyle="1" w:styleId="eop">
    <w:name w:val="eop"/>
    <w:basedOn w:val="DefaultParagraphFont"/>
    <w:rsid w:val="00270242"/>
  </w:style>
  <w:style w:type="character" w:styleId="CommentReference">
    <w:name w:val="annotation reference"/>
    <w:basedOn w:val="DefaultParagraphFont"/>
    <w:uiPriority w:val="99"/>
    <w:semiHidden/>
    <w:unhideWhenUsed/>
    <w:rsid w:val="009A52E7"/>
    <w:rPr>
      <w:sz w:val="16"/>
      <w:szCs w:val="16"/>
    </w:rPr>
  </w:style>
  <w:style w:type="paragraph" w:styleId="CommentText">
    <w:name w:val="annotation text"/>
    <w:basedOn w:val="Normal"/>
    <w:link w:val="CommentTextChar"/>
    <w:uiPriority w:val="99"/>
    <w:semiHidden/>
    <w:unhideWhenUsed/>
    <w:rsid w:val="009A52E7"/>
    <w:pPr>
      <w:spacing w:line="240" w:lineRule="auto"/>
    </w:pPr>
    <w:rPr>
      <w:sz w:val="20"/>
      <w:szCs w:val="20"/>
    </w:rPr>
  </w:style>
  <w:style w:type="character" w:customStyle="1" w:styleId="CommentTextChar">
    <w:name w:val="Comment Text Char"/>
    <w:basedOn w:val="DefaultParagraphFont"/>
    <w:link w:val="CommentText"/>
    <w:uiPriority w:val="99"/>
    <w:semiHidden/>
    <w:rsid w:val="009A52E7"/>
    <w:rPr>
      <w:sz w:val="20"/>
      <w:szCs w:val="20"/>
    </w:rPr>
  </w:style>
  <w:style w:type="paragraph" w:styleId="CommentSubject">
    <w:name w:val="annotation subject"/>
    <w:basedOn w:val="CommentText"/>
    <w:next w:val="CommentText"/>
    <w:link w:val="CommentSubjectChar"/>
    <w:uiPriority w:val="99"/>
    <w:semiHidden/>
    <w:unhideWhenUsed/>
    <w:rsid w:val="009A52E7"/>
    <w:rPr>
      <w:b/>
      <w:bCs/>
    </w:rPr>
  </w:style>
  <w:style w:type="character" w:customStyle="1" w:styleId="CommentSubjectChar">
    <w:name w:val="Comment Subject Char"/>
    <w:basedOn w:val="CommentTextChar"/>
    <w:link w:val="CommentSubject"/>
    <w:uiPriority w:val="99"/>
    <w:semiHidden/>
    <w:rsid w:val="009A52E7"/>
    <w:rPr>
      <w:b/>
      <w:bCs/>
      <w:sz w:val="20"/>
      <w:szCs w:val="20"/>
    </w:rPr>
  </w:style>
  <w:style w:type="paragraph" w:styleId="Revision">
    <w:name w:val="Revision"/>
    <w:hidden/>
    <w:uiPriority w:val="99"/>
    <w:semiHidden/>
    <w:rsid w:val="00755E6C"/>
    <w:pPr>
      <w:spacing w:after="0" w:line="240" w:lineRule="auto"/>
    </w:pPr>
  </w:style>
  <w:style w:type="character" w:styleId="UnresolvedMention">
    <w:name w:val="Unresolved Mention"/>
    <w:basedOn w:val="DefaultParagraphFont"/>
    <w:uiPriority w:val="99"/>
    <w:semiHidden/>
    <w:unhideWhenUsed/>
    <w:rsid w:val="00A45511"/>
    <w:rPr>
      <w:color w:val="605E5C"/>
      <w:shd w:val="clear" w:color="auto" w:fill="E1DFDD"/>
    </w:rPr>
  </w:style>
  <w:style w:type="character" w:styleId="FollowedHyperlink">
    <w:name w:val="FollowedHyperlink"/>
    <w:basedOn w:val="DefaultParagraphFont"/>
    <w:uiPriority w:val="99"/>
    <w:semiHidden/>
    <w:unhideWhenUsed/>
    <w:rsid w:val="00A45511"/>
    <w:rPr>
      <w:color w:val="954F72" w:themeColor="followedHyperlink"/>
      <w:u w:val="single"/>
    </w:rPr>
  </w:style>
  <w:style w:type="character" w:customStyle="1" w:styleId="Heading1Char">
    <w:name w:val="Heading 1 Char"/>
    <w:basedOn w:val="DefaultParagraphFont"/>
    <w:link w:val="Heading1"/>
    <w:uiPriority w:val="9"/>
    <w:rsid w:val="006E29B8"/>
    <w:rPr>
      <w:rFonts w:asciiTheme="majorHAnsi" w:eastAsiaTheme="majorEastAsia" w:hAnsiTheme="majorHAnsi" w:cstheme="majorBidi"/>
      <w:color w:val="000000" w:themeColor="text1"/>
      <w:sz w:val="24"/>
      <w:szCs w:val="32"/>
    </w:rPr>
  </w:style>
  <w:style w:type="table" w:styleId="GridTable4-Accent5">
    <w:name w:val="Grid Table 4 Accent 5"/>
    <w:basedOn w:val="TableNormal"/>
    <w:uiPriority w:val="49"/>
    <w:rsid w:val="00784C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170642">
      <w:bodyDiv w:val="1"/>
      <w:marLeft w:val="0"/>
      <w:marRight w:val="0"/>
      <w:marTop w:val="0"/>
      <w:marBottom w:val="0"/>
      <w:divBdr>
        <w:top w:val="none" w:sz="0" w:space="0" w:color="auto"/>
        <w:left w:val="none" w:sz="0" w:space="0" w:color="auto"/>
        <w:bottom w:val="none" w:sz="0" w:space="0" w:color="auto"/>
        <w:right w:val="none" w:sz="0" w:space="0" w:color="auto"/>
      </w:divBdr>
      <w:divsChild>
        <w:div w:id="867135717">
          <w:marLeft w:val="0"/>
          <w:marRight w:val="0"/>
          <w:marTop w:val="0"/>
          <w:marBottom w:val="0"/>
          <w:divBdr>
            <w:top w:val="none" w:sz="0" w:space="0" w:color="auto"/>
            <w:left w:val="none" w:sz="0" w:space="0" w:color="auto"/>
            <w:bottom w:val="none" w:sz="0" w:space="0" w:color="auto"/>
            <w:right w:val="none" w:sz="0" w:space="0" w:color="auto"/>
          </w:divBdr>
          <w:divsChild>
            <w:div w:id="1543978994">
              <w:marLeft w:val="0"/>
              <w:marRight w:val="0"/>
              <w:marTop w:val="30"/>
              <w:marBottom w:val="30"/>
              <w:divBdr>
                <w:top w:val="none" w:sz="0" w:space="0" w:color="auto"/>
                <w:left w:val="none" w:sz="0" w:space="0" w:color="auto"/>
                <w:bottom w:val="none" w:sz="0" w:space="0" w:color="auto"/>
                <w:right w:val="none" w:sz="0" w:space="0" w:color="auto"/>
              </w:divBdr>
              <w:divsChild>
                <w:div w:id="210268620">
                  <w:marLeft w:val="0"/>
                  <w:marRight w:val="0"/>
                  <w:marTop w:val="0"/>
                  <w:marBottom w:val="0"/>
                  <w:divBdr>
                    <w:top w:val="none" w:sz="0" w:space="0" w:color="auto"/>
                    <w:left w:val="none" w:sz="0" w:space="0" w:color="auto"/>
                    <w:bottom w:val="none" w:sz="0" w:space="0" w:color="auto"/>
                    <w:right w:val="none" w:sz="0" w:space="0" w:color="auto"/>
                  </w:divBdr>
                  <w:divsChild>
                    <w:div w:id="30695411">
                      <w:marLeft w:val="0"/>
                      <w:marRight w:val="0"/>
                      <w:marTop w:val="0"/>
                      <w:marBottom w:val="0"/>
                      <w:divBdr>
                        <w:top w:val="none" w:sz="0" w:space="0" w:color="auto"/>
                        <w:left w:val="none" w:sz="0" w:space="0" w:color="auto"/>
                        <w:bottom w:val="none" w:sz="0" w:space="0" w:color="auto"/>
                        <w:right w:val="none" w:sz="0" w:space="0" w:color="auto"/>
                      </w:divBdr>
                    </w:div>
                  </w:divsChild>
                </w:div>
                <w:div w:id="504786053">
                  <w:marLeft w:val="0"/>
                  <w:marRight w:val="0"/>
                  <w:marTop w:val="0"/>
                  <w:marBottom w:val="0"/>
                  <w:divBdr>
                    <w:top w:val="none" w:sz="0" w:space="0" w:color="auto"/>
                    <w:left w:val="none" w:sz="0" w:space="0" w:color="auto"/>
                    <w:bottom w:val="none" w:sz="0" w:space="0" w:color="auto"/>
                    <w:right w:val="none" w:sz="0" w:space="0" w:color="auto"/>
                  </w:divBdr>
                  <w:divsChild>
                    <w:div w:id="1333335282">
                      <w:marLeft w:val="0"/>
                      <w:marRight w:val="0"/>
                      <w:marTop w:val="0"/>
                      <w:marBottom w:val="0"/>
                      <w:divBdr>
                        <w:top w:val="none" w:sz="0" w:space="0" w:color="auto"/>
                        <w:left w:val="none" w:sz="0" w:space="0" w:color="auto"/>
                        <w:bottom w:val="none" w:sz="0" w:space="0" w:color="auto"/>
                        <w:right w:val="none" w:sz="0" w:space="0" w:color="auto"/>
                      </w:divBdr>
                    </w:div>
                  </w:divsChild>
                </w:div>
                <w:div w:id="622080945">
                  <w:marLeft w:val="0"/>
                  <w:marRight w:val="0"/>
                  <w:marTop w:val="0"/>
                  <w:marBottom w:val="0"/>
                  <w:divBdr>
                    <w:top w:val="none" w:sz="0" w:space="0" w:color="auto"/>
                    <w:left w:val="none" w:sz="0" w:space="0" w:color="auto"/>
                    <w:bottom w:val="none" w:sz="0" w:space="0" w:color="auto"/>
                    <w:right w:val="none" w:sz="0" w:space="0" w:color="auto"/>
                  </w:divBdr>
                  <w:divsChild>
                    <w:div w:id="864908490">
                      <w:marLeft w:val="0"/>
                      <w:marRight w:val="0"/>
                      <w:marTop w:val="0"/>
                      <w:marBottom w:val="0"/>
                      <w:divBdr>
                        <w:top w:val="none" w:sz="0" w:space="0" w:color="auto"/>
                        <w:left w:val="none" w:sz="0" w:space="0" w:color="auto"/>
                        <w:bottom w:val="none" w:sz="0" w:space="0" w:color="auto"/>
                        <w:right w:val="none" w:sz="0" w:space="0" w:color="auto"/>
                      </w:divBdr>
                    </w:div>
                  </w:divsChild>
                </w:div>
                <w:div w:id="859124063">
                  <w:marLeft w:val="0"/>
                  <w:marRight w:val="0"/>
                  <w:marTop w:val="0"/>
                  <w:marBottom w:val="0"/>
                  <w:divBdr>
                    <w:top w:val="none" w:sz="0" w:space="0" w:color="auto"/>
                    <w:left w:val="none" w:sz="0" w:space="0" w:color="auto"/>
                    <w:bottom w:val="none" w:sz="0" w:space="0" w:color="auto"/>
                    <w:right w:val="none" w:sz="0" w:space="0" w:color="auto"/>
                  </w:divBdr>
                  <w:divsChild>
                    <w:div w:id="293297473">
                      <w:marLeft w:val="0"/>
                      <w:marRight w:val="0"/>
                      <w:marTop w:val="0"/>
                      <w:marBottom w:val="0"/>
                      <w:divBdr>
                        <w:top w:val="none" w:sz="0" w:space="0" w:color="auto"/>
                        <w:left w:val="none" w:sz="0" w:space="0" w:color="auto"/>
                        <w:bottom w:val="none" w:sz="0" w:space="0" w:color="auto"/>
                        <w:right w:val="none" w:sz="0" w:space="0" w:color="auto"/>
                      </w:divBdr>
                    </w:div>
                  </w:divsChild>
                </w:div>
                <w:div w:id="1525749848">
                  <w:marLeft w:val="0"/>
                  <w:marRight w:val="0"/>
                  <w:marTop w:val="0"/>
                  <w:marBottom w:val="0"/>
                  <w:divBdr>
                    <w:top w:val="none" w:sz="0" w:space="0" w:color="auto"/>
                    <w:left w:val="none" w:sz="0" w:space="0" w:color="auto"/>
                    <w:bottom w:val="none" w:sz="0" w:space="0" w:color="auto"/>
                    <w:right w:val="none" w:sz="0" w:space="0" w:color="auto"/>
                  </w:divBdr>
                  <w:divsChild>
                    <w:div w:id="568004301">
                      <w:marLeft w:val="0"/>
                      <w:marRight w:val="0"/>
                      <w:marTop w:val="0"/>
                      <w:marBottom w:val="0"/>
                      <w:divBdr>
                        <w:top w:val="none" w:sz="0" w:space="0" w:color="auto"/>
                        <w:left w:val="none" w:sz="0" w:space="0" w:color="auto"/>
                        <w:bottom w:val="none" w:sz="0" w:space="0" w:color="auto"/>
                        <w:right w:val="none" w:sz="0" w:space="0" w:color="auto"/>
                      </w:divBdr>
                    </w:div>
                  </w:divsChild>
                </w:div>
                <w:div w:id="1595478953">
                  <w:marLeft w:val="0"/>
                  <w:marRight w:val="0"/>
                  <w:marTop w:val="0"/>
                  <w:marBottom w:val="0"/>
                  <w:divBdr>
                    <w:top w:val="none" w:sz="0" w:space="0" w:color="auto"/>
                    <w:left w:val="none" w:sz="0" w:space="0" w:color="auto"/>
                    <w:bottom w:val="none" w:sz="0" w:space="0" w:color="auto"/>
                    <w:right w:val="none" w:sz="0" w:space="0" w:color="auto"/>
                  </w:divBdr>
                  <w:divsChild>
                    <w:div w:id="906036857">
                      <w:marLeft w:val="0"/>
                      <w:marRight w:val="0"/>
                      <w:marTop w:val="0"/>
                      <w:marBottom w:val="0"/>
                      <w:divBdr>
                        <w:top w:val="none" w:sz="0" w:space="0" w:color="auto"/>
                        <w:left w:val="none" w:sz="0" w:space="0" w:color="auto"/>
                        <w:bottom w:val="none" w:sz="0" w:space="0" w:color="auto"/>
                        <w:right w:val="none" w:sz="0" w:space="0" w:color="auto"/>
                      </w:divBdr>
                    </w:div>
                  </w:divsChild>
                </w:div>
                <w:div w:id="1841967109">
                  <w:marLeft w:val="0"/>
                  <w:marRight w:val="0"/>
                  <w:marTop w:val="0"/>
                  <w:marBottom w:val="0"/>
                  <w:divBdr>
                    <w:top w:val="none" w:sz="0" w:space="0" w:color="auto"/>
                    <w:left w:val="none" w:sz="0" w:space="0" w:color="auto"/>
                    <w:bottom w:val="none" w:sz="0" w:space="0" w:color="auto"/>
                    <w:right w:val="none" w:sz="0" w:space="0" w:color="auto"/>
                  </w:divBdr>
                  <w:divsChild>
                    <w:div w:id="15541744">
                      <w:marLeft w:val="0"/>
                      <w:marRight w:val="0"/>
                      <w:marTop w:val="0"/>
                      <w:marBottom w:val="0"/>
                      <w:divBdr>
                        <w:top w:val="none" w:sz="0" w:space="0" w:color="auto"/>
                        <w:left w:val="none" w:sz="0" w:space="0" w:color="auto"/>
                        <w:bottom w:val="none" w:sz="0" w:space="0" w:color="auto"/>
                        <w:right w:val="none" w:sz="0" w:space="0" w:color="auto"/>
                      </w:divBdr>
                    </w:div>
                  </w:divsChild>
                </w:div>
                <w:div w:id="1874539130">
                  <w:marLeft w:val="0"/>
                  <w:marRight w:val="0"/>
                  <w:marTop w:val="0"/>
                  <w:marBottom w:val="0"/>
                  <w:divBdr>
                    <w:top w:val="none" w:sz="0" w:space="0" w:color="auto"/>
                    <w:left w:val="none" w:sz="0" w:space="0" w:color="auto"/>
                    <w:bottom w:val="none" w:sz="0" w:space="0" w:color="auto"/>
                    <w:right w:val="none" w:sz="0" w:space="0" w:color="auto"/>
                  </w:divBdr>
                  <w:divsChild>
                    <w:div w:id="2531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7789">
          <w:marLeft w:val="0"/>
          <w:marRight w:val="0"/>
          <w:marTop w:val="0"/>
          <w:marBottom w:val="0"/>
          <w:divBdr>
            <w:top w:val="none" w:sz="0" w:space="0" w:color="auto"/>
            <w:left w:val="none" w:sz="0" w:space="0" w:color="auto"/>
            <w:bottom w:val="none" w:sz="0" w:space="0" w:color="auto"/>
            <w:right w:val="none" w:sz="0" w:space="0" w:color="auto"/>
          </w:divBdr>
          <w:divsChild>
            <w:div w:id="14762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gilent.com/en/solutions/genomics-applications-solutions/sample-QC/ngs" TargetMode="External"/><Relationship Id="rId26" Type="http://schemas.openxmlformats.org/officeDocument/2006/relationships/hyperlink" Target="https://assets.thermofisher.com/TFS-Assets/CAD/Product-Bulletins/TN52646-E-0215M-NucleicAcid.pdf" TargetMode="External"/><Relationship Id="rId3" Type="http://schemas.openxmlformats.org/officeDocument/2006/relationships/customXml" Target="../customXml/item3.xml"/><Relationship Id="rId21" Type="http://schemas.openxmlformats.org/officeDocument/2006/relationships/hyperlink" Target="https://www.illumina.com/science/technology/next-generation-sequencing/beginners/ngs-workflow.html"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gilent.com/cs/library/applications/appcompendium-ngs-sample-control-tapestation-5994-1591en-agilent.pdf" TargetMode="External"/><Relationship Id="rId25" Type="http://schemas.openxmlformats.org/officeDocument/2006/relationships/hyperlink" Target="https://assets.thermofisher.com/TFS-Assets/CAD/Product-Bulletins/TN52646-E-0215M-NucleicAcid.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ilent.com/cs/library/usermanuals/public/G2964-90000_TapeStation_USR_ENU.pdf" TargetMode="External"/><Relationship Id="rId20" Type="http://schemas.openxmlformats.org/officeDocument/2006/relationships/hyperlink" Target="https://retsmedicin.ku.dk/english/research-in-forensic-medicine/research-in-forensic-genetics/?pure=en%2Fpublications%2Fcomparison-of-techniques-for-quantification-of-nextgeneration-sequencing-libraries(14a897a6-cb15-4923-9eb3-b1b4273641da).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vigen.com/dna-size-selection-tutorial/"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illumina.com/content/dam/illumina-marketing/documents/products/technotes/evaluating-rna-quality-from-ffpe-samples-technical-note-470-2014-001.pdf"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sciencedirect.com/science/article/pii/S2212066116300230"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dc.gov/labquality/qms-tools-and-resources.html" TargetMode="External"/><Relationship Id="rId22" Type="http://schemas.openxmlformats.org/officeDocument/2006/relationships/hyperlink" Target="https://support.illumina.com/bulletins/2017/03/recommended-quality-control-of-ffpe-samples-for-illumina-ffpe-su.html" TargetMode="External"/><Relationship Id="rId27" Type="http://schemas.openxmlformats.org/officeDocument/2006/relationships/image" Target="media/image4.png"/><Relationship Id="rId30" Type="http://schemas.openxmlformats.org/officeDocument/2006/relationships/footer" Target="foot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haredWithUsers xmlns="f55a15e2-ebac-491d-a270-c1af48337782">
      <UserInfo>
        <DisplayName>JENNIFER ONYEWUENYI (QIK9@cdc.gov) (L3)</DisplayName>
        <AccountId>7986</AccountId>
        <AccountType/>
      </UserInfo>
    </SharedWithUsers>
    <_dlc_DocId xmlns="0724e717-bbe7-4e48-ae6a-faff532bb476">CSELS-100380373-2362</_dlc_DocId>
    <_dlc_DocIdUrl xmlns="0724e717-bbe7-4e48-ae6a-faff532bb476">
      <Url>https://cdc.sharepoint.com/sites/CSELS/DLS/NGS/_layouts/15/DocIdRedir.aspx?ID=CSELS-100380373-2362</Url>
      <Description>CSELS-100380373-2362</Description>
    </_dlc_DocIdUrl>
    <lcf76f155ced4ddcb4097134ff3c332f xmlns="a76813e0-304a-4c48-8b29-814fe11b745e">
      <Terms xmlns="http://schemas.microsoft.com/office/infopath/2007/PartnerControls"/>
    </lcf76f155ced4ddcb4097134ff3c332f>
    <TaxCatchAll xmlns="0724e717-bbe7-4e48-ae6a-faff532bb4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E02A5256CE8C43BAC16538F4F89AF5" ma:contentTypeVersion="1307" ma:contentTypeDescription="Create a new document." ma:contentTypeScope="" ma:versionID="8b3490d49e907cdab02b118c67ef0970">
  <xsd:schema xmlns:xsd="http://www.w3.org/2001/XMLSchema" xmlns:xs="http://www.w3.org/2001/XMLSchema" xmlns:p="http://schemas.microsoft.com/office/2006/metadata/properties" xmlns:ns2="0724e717-bbe7-4e48-ae6a-faff532bb476" xmlns:ns3="a76813e0-304a-4c48-8b29-814fe11b745e" xmlns:ns4="f55a15e2-ebac-491d-a270-c1af48337782" targetNamespace="http://schemas.microsoft.com/office/2006/metadata/properties" ma:root="true" ma:fieldsID="7172dbac5d9aab7f42c85e7787825dc4" ns2:_="" ns3:_="" ns4:_="">
    <xsd:import namespace="0724e717-bbe7-4e48-ae6a-faff532bb476"/>
    <xsd:import namespace="a76813e0-304a-4c48-8b29-814fe11b745e"/>
    <xsd:import namespace="f55a15e2-ebac-491d-a270-c1af483377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dcbfa1dc-7cb6-48b7-9934-8ecf856eb30f}" ma:internalName="TaxCatchAll" ma:showField="CatchAllData" ma:web="0724e717-bbe7-4e48-ae6a-faff532bb4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6813e0-304a-4c48-8b29-814fe11b74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a15e2-ebac-491d-a270-c1af4833778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41069-B8C5-439C-997D-9AAE6883C164}">
  <ds:schemaRefs>
    <ds:schemaRef ds:uri="http://schemas.microsoft.com/sharepoint/events"/>
  </ds:schemaRefs>
</ds:datastoreItem>
</file>

<file path=customXml/itemProps2.xml><?xml version="1.0" encoding="utf-8"?>
<ds:datastoreItem xmlns:ds="http://schemas.openxmlformats.org/officeDocument/2006/customXml" ds:itemID="{7A1CBCF4-759C-49AD-8EBD-70E922A80E22}">
  <ds:schemaRefs>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a76813e0-304a-4c48-8b29-814fe11b745e"/>
    <ds:schemaRef ds:uri="http://www.w3.org/XML/1998/namespace"/>
    <ds:schemaRef ds:uri="f55a15e2-ebac-491d-a270-c1af48337782"/>
    <ds:schemaRef ds:uri="http://schemas.openxmlformats.org/package/2006/metadata/core-properties"/>
    <ds:schemaRef ds:uri="0724e717-bbe7-4e48-ae6a-faff532bb476"/>
    <ds:schemaRef ds:uri="http://purl.org/dc/elements/1.1/"/>
  </ds:schemaRefs>
</ds:datastoreItem>
</file>

<file path=customXml/itemProps3.xml><?xml version="1.0" encoding="utf-8"?>
<ds:datastoreItem xmlns:ds="http://schemas.openxmlformats.org/officeDocument/2006/customXml" ds:itemID="{315F1FEA-9DED-495E-A8E1-A981618CB2A9}">
  <ds:schemaRefs>
    <ds:schemaRef ds:uri="http://schemas.microsoft.com/sharepoint/v3/contenttype/forms"/>
  </ds:schemaRefs>
</ds:datastoreItem>
</file>

<file path=customXml/itemProps4.xml><?xml version="1.0" encoding="utf-8"?>
<ds:datastoreItem xmlns:ds="http://schemas.openxmlformats.org/officeDocument/2006/customXml" ds:itemID="{F22A8027-A2F0-4C43-8CFA-7FFA67061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4e717-bbe7-4e48-ae6a-faff532bb476"/>
    <ds:schemaRef ds:uri="a76813e0-304a-4c48-8b29-814fe11b745e"/>
    <ds:schemaRef ds:uri="f55a15e2-ebac-491d-a270-c1af48337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F32828-CC3D-4366-A3DA-1D3C624D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10</Pages>
  <Words>3005</Words>
  <Characters>17133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20098</CharactersWithSpaces>
  <SharedDoc>false</SharedDoc>
  <HLinks>
    <vt:vector size="72" baseType="variant">
      <vt:variant>
        <vt:i4>4718609</vt:i4>
      </vt:variant>
      <vt:variant>
        <vt:i4>33</vt:i4>
      </vt:variant>
      <vt:variant>
        <vt:i4>0</vt:i4>
      </vt:variant>
      <vt:variant>
        <vt:i4>5</vt:i4>
      </vt:variant>
      <vt:variant>
        <vt:lpwstr>https://www.agilent.com/cs/library/applications/appcompendium-ngs-sample-control-tapestation-5994-1591en-agilent.pdf</vt:lpwstr>
      </vt:variant>
      <vt:variant>
        <vt:lpwstr/>
      </vt:variant>
      <vt:variant>
        <vt:i4>3211379</vt:i4>
      </vt:variant>
      <vt:variant>
        <vt:i4>30</vt:i4>
      </vt:variant>
      <vt:variant>
        <vt:i4>0</vt:i4>
      </vt:variant>
      <vt:variant>
        <vt:i4>5</vt:i4>
      </vt:variant>
      <vt:variant>
        <vt:lpwstr>https://www.agilent.com/en/solutions/genomics-applications-solutions/sample-QC/ngs</vt:lpwstr>
      </vt:variant>
      <vt:variant>
        <vt:lpwstr/>
      </vt:variant>
      <vt:variant>
        <vt:i4>131076</vt:i4>
      </vt:variant>
      <vt:variant>
        <vt:i4>27</vt:i4>
      </vt:variant>
      <vt:variant>
        <vt:i4>0</vt:i4>
      </vt:variant>
      <vt:variant>
        <vt:i4>5</vt:i4>
      </vt:variant>
      <vt:variant>
        <vt:lpwstr>https://assets.thermofisher.com/TFS-Assets/CAD/Product-Bulletins/TN52646-E-0215M-NucleicAcid.pdf</vt:lpwstr>
      </vt:variant>
      <vt:variant>
        <vt:lpwstr/>
      </vt:variant>
      <vt:variant>
        <vt:i4>131076</vt:i4>
      </vt:variant>
      <vt:variant>
        <vt:i4>24</vt:i4>
      </vt:variant>
      <vt:variant>
        <vt:i4>0</vt:i4>
      </vt:variant>
      <vt:variant>
        <vt:i4>5</vt:i4>
      </vt:variant>
      <vt:variant>
        <vt:lpwstr>https://assets.thermofisher.com/TFS-Assets/CAD/Product-Bulletins/TN52646-E-0215M-NucleicAcid.pdf</vt:lpwstr>
      </vt:variant>
      <vt:variant>
        <vt:lpwstr/>
      </vt:variant>
      <vt:variant>
        <vt:i4>6684796</vt:i4>
      </vt:variant>
      <vt:variant>
        <vt:i4>21</vt:i4>
      </vt:variant>
      <vt:variant>
        <vt:i4>0</vt:i4>
      </vt:variant>
      <vt:variant>
        <vt:i4>5</vt:i4>
      </vt:variant>
      <vt:variant>
        <vt:lpwstr>https://www.sciencedirect.com/science/article/pii/S2212066116300230</vt:lpwstr>
      </vt:variant>
      <vt:variant>
        <vt:lpwstr/>
      </vt:variant>
      <vt:variant>
        <vt:i4>3211371</vt:i4>
      </vt:variant>
      <vt:variant>
        <vt:i4>18</vt:i4>
      </vt:variant>
      <vt:variant>
        <vt:i4>0</vt:i4>
      </vt:variant>
      <vt:variant>
        <vt:i4>5</vt:i4>
      </vt:variant>
      <vt:variant>
        <vt:lpwstr>https://www.nvigen.com/dna-size-selection-tutorial/</vt:lpwstr>
      </vt:variant>
      <vt:variant>
        <vt:lpwstr/>
      </vt:variant>
      <vt:variant>
        <vt:i4>5374039</vt:i4>
      </vt:variant>
      <vt:variant>
        <vt:i4>15</vt:i4>
      </vt:variant>
      <vt:variant>
        <vt:i4>0</vt:i4>
      </vt:variant>
      <vt:variant>
        <vt:i4>5</vt:i4>
      </vt:variant>
      <vt:variant>
        <vt:lpwstr>https://retsmedicin.ku.dk/english/research-in-forensic-medicine/research-in-forensic-genetics/?pure=en%2Fpublications%2Fcomparison-of-techniques-for-quantification-of-nextgeneration-sequencing-libraries(14a897a6-cb15-4923-9eb3-b1b4273641da).html</vt:lpwstr>
      </vt:variant>
      <vt:variant>
        <vt:lpwstr/>
      </vt:variant>
      <vt:variant>
        <vt:i4>3735636</vt:i4>
      </vt:variant>
      <vt:variant>
        <vt:i4>12</vt:i4>
      </vt:variant>
      <vt:variant>
        <vt:i4>0</vt:i4>
      </vt:variant>
      <vt:variant>
        <vt:i4>5</vt:i4>
      </vt:variant>
      <vt:variant>
        <vt:lpwstr>https://www.agilent.com/cs/library/usermanuals/public/G2964-90000_TapeStation_USR_ENU.pdf</vt:lpwstr>
      </vt:variant>
      <vt:variant>
        <vt:lpwstr/>
      </vt:variant>
      <vt:variant>
        <vt:i4>4194393</vt:i4>
      </vt:variant>
      <vt:variant>
        <vt:i4>9</vt:i4>
      </vt:variant>
      <vt:variant>
        <vt:i4>0</vt:i4>
      </vt:variant>
      <vt:variant>
        <vt:i4>5</vt:i4>
      </vt:variant>
      <vt:variant>
        <vt:lpwstr>https://www.illumina.com/content/dam/illumina-marketing/documents/products/technotes/evaluating-rna-quality-from-ffpe-samples-technical-note-470-2014-001.pdf</vt:lpwstr>
      </vt:variant>
      <vt:variant>
        <vt:lpwstr/>
      </vt:variant>
      <vt:variant>
        <vt:i4>655424</vt:i4>
      </vt:variant>
      <vt:variant>
        <vt:i4>6</vt:i4>
      </vt:variant>
      <vt:variant>
        <vt:i4>0</vt:i4>
      </vt:variant>
      <vt:variant>
        <vt:i4>5</vt:i4>
      </vt:variant>
      <vt:variant>
        <vt:lpwstr>https://support.illumina.com/bulletins/2017/03/recommended-quality-control-of-ffpe-samples-for-illumina-ffpe-su.html</vt:lpwstr>
      </vt:variant>
      <vt:variant>
        <vt:lpwstr/>
      </vt:variant>
      <vt:variant>
        <vt:i4>7143521</vt:i4>
      </vt:variant>
      <vt:variant>
        <vt:i4>3</vt:i4>
      </vt:variant>
      <vt:variant>
        <vt:i4>0</vt:i4>
      </vt:variant>
      <vt:variant>
        <vt:i4>5</vt:i4>
      </vt:variant>
      <vt:variant>
        <vt:lpwstr>https://www.illumina.com/science/technology/next-generation-sequencing/beginners/ngs-workflow.html</vt:lpwstr>
      </vt:variant>
      <vt:variant>
        <vt:lpwstr/>
      </vt:variant>
      <vt:variant>
        <vt:i4>2949239</vt:i4>
      </vt:variant>
      <vt:variant>
        <vt:i4>0</vt:i4>
      </vt:variant>
      <vt:variant>
        <vt:i4>0</vt:i4>
      </vt:variant>
      <vt:variant>
        <vt:i4>5</vt:i4>
      </vt:variant>
      <vt:variant>
        <vt:lpwstr>https://www.cdc.gov/labquality/qms-tools-and-resources.html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Brandon M. (CDC/DDPHSS/CSELS/DLS) (CTR)</dc:creator>
  <cp:keywords/>
  <dc:description/>
  <cp:lastModifiedBy>Kocherlakota, Lakshmi Soujany (CDC/DDID/NCIRD/OD) (CTR)</cp:lastModifiedBy>
  <cp:revision>248</cp:revision>
  <dcterms:created xsi:type="dcterms:W3CDTF">2022-04-08T05:56:00Z</dcterms:created>
  <dcterms:modified xsi:type="dcterms:W3CDTF">2023-03-21T15:34:00Z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0x0101003DE02A5256CE8C43BAC16538F4F89AF5</vt:lpwstr>
  </property>
  <property fmtid="{D5CDD505-2E9C-101B-9397-08002B2CF9AE}" pid="3" name="_dlc_DocIdItemGuid">
    <vt:lpwstr>e0dcd8e0-2d70-42fa-8872-082a82898e41</vt:lpwstr>
  </property>
  <property fmtid="{D5CDD505-2E9C-101B-9397-08002B2CF9AE}" pid="4" name="MSIP_Label_7b94a7b8-f06c-4dfe-bdcc-9b548fd58c31_Enabled">
    <vt:lpwstr>true</vt:lpwstr>
  </property>
  <property fmtid="{D5CDD505-2E9C-101B-9397-08002B2CF9AE}" pid="5" name="MSIP_Label_7b94a7b8-f06c-4dfe-bdcc-9b548fd58c31_SetDate">
    <vt:lpwstr>2021-12-27T15:03:06Z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81e72bbd-5596-4c90-b477-37ed6e79e753</vt:lpwstr>
  </property>
  <property fmtid="{D5CDD505-2E9C-101B-9397-08002B2CF9AE}" pid="10" name="MSIP_Label_7b94a7b8-f06c-4dfe-bdcc-9b548fd58c31_ContentBits">
    <vt:lpwstr>0</vt:lpwstr>
  </property>
  <property fmtid="{D5CDD505-2E9C-101B-9397-08002B2CF9AE}" pid="11" name="MediaServiceImageTags">
    <vt:lpwstr/>
  </property>
</Properties>
</file>