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070"/>
      </w:tblGrid>
      <w:tr w:rsidR="002935C4" w14:paraId="52F7472F" w14:textId="77777777" w:rsidTr="002935C4">
        <w:tc>
          <w:tcPr>
            <w:tcW w:w="10070" w:type="dxa"/>
          </w:tcPr>
          <w:p w14:paraId="2291EB29" w14:textId="5407C8CF" w:rsidR="002935C4" w:rsidRDefault="002935C4" w:rsidP="002935C4">
            <w:pPr>
              <w:tabs>
                <w:tab w:val="left" w:pos="720"/>
                <w:tab w:val="left" w:pos="1440"/>
              </w:tabs>
              <w:spacing w:line="240" w:lineRule="auto"/>
              <w:rPr>
                <w:rFonts w:eastAsia="Times New Roman" w:cstheme="minorHAnsi"/>
                <w:b/>
              </w:rPr>
            </w:pPr>
            <w:bookmarkStart w:id="0" w:name="_GoBack"/>
            <w:bookmarkEnd w:id="0"/>
            <w:r w:rsidRPr="00916697">
              <w:rPr>
                <w:b/>
                <w:i/>
                <w:color w:val="00698E"/>
              </w:rPr>
              <w:t>Insert Laboratory Specific Name Here</w:t>
            </w:r>
          </w:p>
        </w:tc>
      </w:tr>
      <w:tr w:rsidR="002935C4" w14:paraId="102CE8B2" w14:textId="77777777" w:rsidTr="002935C4">
        <w:tc>
          <w:tcPr>
            <w:tcW w:w="10070" w:type="dxa"/>
          </w:tcPr>
          <w:p w14:paraId="7372A4E5" w14:textId="6A552197" w:rsidR="002935C4" w:rsidRPr="002935C4" w:rsidRDefault="002935C4" w:rsidP="002935C4">
            <w:pPr>
              <w:tabs>
                <w:tab w:val="left" w:pos="720"/>
                <w:tab w:val="left" w:pos="1440"/>
              </w:tabs>
              <w:spacing w:line="240" w:lineRule="auto"/>
              <w:jc w:val="center"/>
              <w:rPr>
                <w:rFonts w:eastAsia="Times New Roman" w:cstheme="minorHAnsi"/>
                <w:b/>
                <w:sz w:val="28"/>
                <w:szCs w:val="28"/>
              </w:rPr>
            </w:pPr>
            <w:r w:rsidRPr="002935C4">
              <w:rPr>
                <w:b/>
                <w:sz w:val="28"/>
                <w:szCs w:val="28"/>
              </w:rPr>
              <w:t xml:space="preserve">iSeq </w:t>
            </w:r>
            <w:r w:rsidR="00F63EE5">
              <w:rPr>
                <w:b/>
                <w:sz w:val="28"/>
                <w:szCs w:val="28"/>
              </w:rPr>
              <w:t xml:space="preserve">Employee </w:t>
            </w:r>
            <w:r w:rsidRPr="002935C4">
              <w:rPr>
                <w:b/>
                <w:sz w:val="28"/>
                <w:szCs w:val="28"/>
              </w:rPr>
              <w:t>Training SOP</w:t>
            </w:r>
          </w:p>
        </w:tc>
      </w:tr>
    </w:tbl>
    <w:p w14:paraId="7E396BB0" w14:textId="77777777" w:rsidR="002935C4" w:rsidRDefault="002935C4" w:rsidP="002935C4">
      <w:pPr>
        <w:tabs>
          <w:tab w:val="left" w:pos="720"/>
          <w:tab w:val="left" w:pos="1440"/>
        </w:tabs>
        <w:spacing w:after="0" w:line="240" w:lineRule="auto"/>
        <w:rPr>
          <w:rFonts w:eastAsia="Times New Roman" w:cstheme="minorHAnsi"/>
          <w:b/>
        </w:rPr>
      </w:pPr>
    </w:p>
    <w:p w14:paraId="7BE5383E" w14:textId="77777777" w:rsidR="002935C4" w:rsidRDefault="002935C4" w:rsidP="002935C4">
      <w:pPr>
        <w:numPr>
          <w:ilvl w:val="0"/>
          <w:numId w:val="1"/>
        </w:numPr>
        <w:tabs>
          <w:tab w:val="left" w:pos="1440"/>
        </w:tabs>
        <w:spacing w:after="0" w:line="240" w:lineRule="auto"/>
        <w:rPr>
          <w:rFonts w:eastAsia="Times New Roman" w:cstheme="minorHAnsi"/>
          <w:b/>
        </w:rPr>
      </w:pPr>
      <w:r>
        <w:rPr>
          <w:rFonts w:eastAsia="Times New Roman" w:cstheme="minorHAnsi"/>
          <w:b/>
        </w:rPr>
        <w:t>Purpose</w:t>
      </w:r>
    </w:p>
    <w:p w14:paraId="23ABA5BA" w14:textId="77777777" w:rsidR="002935C4" w:rsidRDefault="002935C4" w:rsidP="002935C4">
      <w:pPr>
        <w:tabs>
          <w:tab w:val="left" w:pos="720"/>
          <w:tab w:val="left" w:pos="1440"/>
        </w:tabs>
        <w:spacing w:after="0" w:line="240" w:lineRule="auto"/>
        <w:ind w:left="720"/>
        <w:rPr>
          <w:rFonts w:eastAsia="Times New Roman" w:cstheme="minorHAnsi"/>
        </w:rPr>
      </w:pPr>
      <w:r>
        <w:rPr>
          <w:rFonts w:eastAsia="Times New Roman" w:cstheme="minorHAnsi"/>
        </w:rPr>
        <w:t>This procedure outlines the steps for training personnel to acquire the skills and knowledge necessary to run the Illumina iSeq next generation sequencer from initial sample quality control to the review of sequencing run quality metrics.</w:t>
      </w:r>
    </w:p>
    <w:p w14:paraId="0B018626" w14:textId="77777777" w:rsidR="002935C4" w:rsidRDefault="002935C4" w:rsidP="002935C4">
      <w:pPr>
        <w:tabs>
          <w:tab w:val="left" w:pos="720"/>
          <w:tab w:val="left" w:pos="1440"/>
        </w:tabs>
        <w:spacing w:after="0" w:line="240" w:lineRule="auto"/>
        <w:rPr>
          <w:rFonts w:eastAsia="Times New Roman" w:cstheme="minorHAnsi"/>
        </w:rPr>
      </w:pPr>
    </w:p>
    <w:p w14:paraId="54840E69" w14:textId="77777777" w:rsidR="002935C4" w:rsidRDefault="002935C4" w:rsidP="002935C4">
      <w:pPr>
        <w:numPr>
          <w:ilvl w:val="0"/>
          <w:numId w:val="1"/>
        </w:numPr>
        <w:tabs>
          <w:tab w:val="left" w:pos="1440"/>
        </w:tabs>
        <w:spacing w:after="0" w:line="240" w:lineRule="auto"/>
        <w:rPr>
          <w:rFonts w:eastAsia="Times New Roman" w:cstheme="minorHAnsi"/>
          <w:b/>
        </w:rPr>
      </w:pPr>
      <w:r>
        <w:rPr>
          <w:rFonts w:eastAsia="Times New Roman" w:cstheme="minorHAnsi"/>
          <w:b/>
        </w:rPr>
        <w:t>Scope</w:t>
      </w:r>
    </w:p>
    <w:p w14:paraId="6929AB3B" w14:textId="77777777" w:rsidR="002935C4" w:rsidRDefault="002935C4" w:rsidP="002935C4">
      <w:pPr>
        <w:tabs>
          <w:tab w:val="left" w:pos="720"/>
          <w:tab w:val="left" w:pos="1440"/>
        </w:tabs>
        <w:spacing w:after="0" w:line="240" w:lineRule="auto"/>
        <w:ind w:left="720"/>
        <w:rPr>
          <w:rFonts w:eastAsia="Times New Roman" w:cstheme="minorHAnsi"/>
        </w:rPr>
      </w:pPr>
      <w:r>
        <w:rPr>
          <w:rFonts w:eastAsia="Times New Roman" w:cstheme="minorHAnsi"/>
        </w:rPr>
        <w:t>This document applies to all staff that operate the Illumina iSeq next generation sequencer and supervisors that oversee these operations. Training on the Illumina iSeq sequencer is a four-step process that includes building a base of sequencing knowledge, observing the trainer perform the sequencing procedures, performing sequencing procedures under direct trainer supervision, and individually executing the sequencing procedures.</w:t>
      </w:r>
    </w:p>
    <w:p w14:paraId="7E9AF582" w14:textId="77777777" w:rsidR="002935C4" w:rsidRDefault="002935C4" w:rsidP="002935C4">
      <w:pPr>
        <w:tabs>
          <w:tab w:val="left" w:pos="720"/>
          <w:tab w:val="left" w:pos="1440"/>
        </w:tabs>
        <w:spacing w:after="0" w:line="240" w:lineRule="auto"/>
        <w:ind w:left="720"/>
        <w:rPr>
          <w:rFonts w:eastAsia="Times New Roman" w:cstheme="minorHAnsi"/>
        </w:rPr>
      </w:pPr>
    </w:p>
    <w:p w14:paraId="19C97ED4" w14:textId="77777777" w:rsidR="002935C4" w:rsidRDefault="002935C4" w:rsidP="002935C4">
      <w:pPr>
        <w:numPr>
          <w:ilvl w:val="0"/>
          <w:numId w:val="1"/>
        </w:numPr>
        <w:tabs>
          <w:tab w:val="left" w:pos="1440"/>
        </w:tabs>
        <w:spacing w:after="0" w:line="240" w:lineRule="auto"/>
        <w:rPr>
          <w:rFonts w:cstheme="minorHAnsi"/>
          <w:b/>
        </w:rPr>
      </w:pPr>
      <w:r>
        <w:rPr>
          <w:rFonts w:cstheme="minorHAnsi"/>
          <w:b/>
        </w:rPr>
        <w:t>Related Documents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2970"/>
      </w:tblGrid>
      <w:tr w:rsidR="002935C4" w14:paraId="4ECD0A21" w14:textId="77777777" w:rsidTr="002935C4">
        <w:trPr>
          <w:trHeight w:val="215"/>
        </w:trPr>
        <w:tc>
          <w:tcPr>
            <w:tcW w:w="57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2135591" w14:textId="77777777" w:rsidR="002935C4" w:rsidRDefault="002935C4">
            <w:pPr>
              <w:pStyle w:val="NoSpacing"/>
              <w:spacing w:line="256" w:lineRule="auto"/>
              <w:rPr>
                <w:rFonts w:asciiTheme="minorHAnsi" w:hAnsiTheme="minorHAnsi" w:cstheme="minorHAnsi"/>
                <w:b/>
                <w:sz w:val="22"/>
                <w:szCs w:val="22"/>
              </w:rPr>
            </w:pPr>
            <w:r>
              <w:rPr>
                <w:rFonts w:asciiTheme="minorHAnsi" w:hAnsiTheme="minorHAnsi" w:cstheme="minorHAnsi"/>
                <w:b/>
                <w:sz w:val="22"/>
                <w:szCs w:val="22"/>
              </w:rPr>
              <w:t>Title</w:t>
            </w:r>
          </w:p>
        </w:tc>
        <w:tc>
          <w:tcPr>
            <w:tcW w:w="29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AC6919E" w14:textId="77777777" w:rsidR="002935C4" w:rsidRDefault="002935C4">
            <w:pPr>
              <w:pStyle w:val="NoSpacing"/>
              <w:spacing w:line="256" w:lineRule="auto"/>
              <w:rPr>
                <w:rFonts w:asciiTheme="minorHAnsi" w:hAnsiTheme="minorHAnsi" w:cstheme="minorHAnsi"/>
                <w:b/>
                <w:sz w:val="22"/>
                <w:szCs w:val="22"/>
              </w:rPr>
            </w:pPr>
            <w:r>
              <w:rPr>
                <w:rFonts w:asciiTheme="minorHAnsi" w:hAnsiTheme="minorHAnsi" w:cstheme="minorHAnsi"/>
                <w:b/>
                <w:sz w:val="22"/>
                <w:szCs w:val="22"/>
              </w:rPr>
              <w:t>Document Control Number</w:t>
            </w:r>
          </w:p>
        </w:tc>
      </w:tr>
      <w:tr w:rsidR="002935C4" w14:paraId="5DBDD6D6" w14:textId="77777777" w:rsidTr="002935C4">
        <w:tc>
          <w:tcPr>
            <w:tcW w:w="5760" w:type="dxa"/>
            <w:tcBorders>
              <w:top w:val="single" w:sz="4" w:space="0" w:color="auto"/>
              <w:left w:val="single" w:sz="4" w:space="0" w:color="auto"/>
              <w:bottom w:val="single" w:sz="4" w:space="0" w:color="auto"/>
              <w:right w:val="single" w:sz="4" w:space="0" w:color="auto"/>
            </w:tcBorders>
            <w:hideMark/>
          </w:tcPr>
          <w:p w14:paraId="2B0A6284" w14:textId="77777777" w:rsidR="002935C4" w:rsidRDefault="002935C4">
            <w:pPr>
              <w:pStyle w:val="NoSpacing"/>
              <w:spacing w:line="256" w:lineRule="auto"/>
              <w:rPr>
                <w:rFonts w:asciiTheme="minorHAnsi" w:hAnsiTheme="minorHAnsi" w:cstheme="minorHAnsi"/>
                <w:sz w:val="22"/>
                <w:szCs w:val="22"/>
              </w:rPr>
            </w:pPr>
            <w:r>
              <w:rPr>
                <w:rFonts w:asciiTheme="minorHAnsi" w:hAnsiTheme="minorHAnsi" w:cstheme="minorHAnsi"/>
                <w:sz w:val="22"/>
                <w:szCs w:val="22"/>
              </w:rPr>
              <w:t>iSeq Employee Training Form</w:t>
            </w:r>
          </w:p>
        </w:tc>
        <w:tc>
          <w:tcPr>
            <w:tcW w:w="2970" w:type="dxa"/>
            <w:tcBorders>
              <w:top w:val="single" w:sz="4" w:space="0" w:color="auto"/>
              <w:left w:val="single" w:sz="4" w:space="0" w:color="auto"/>
              <w:bottom w:val="single" w:sz="4" w:space="0" w:color="auto"/>
              <w:right w:val="single" w:sz="4" w:space="0" w:color="auto"/>
            </w:tcBorders>
          </w:tcPr>
          <w:p w14:paraId="48722337" w14:textId="77777777" w:rsidR="002935C4" w:rsidRDefault="002935C4">
            <w:pPr>
              <w:pStyle w:val="NoSpacing"/>
              <w:spacing w:line="256" w:lineRule="auto"/>
              <w:rPr>
                <w:rFonts w:asciiTheme="minorHAnsi" w:hAnsiTheme="minorHAnsi" w:cstheme="minorHAnsi"/>
                <w:sz w:val="22"/>
                <w:szCs w:val="22"/>
              </w:rPr>
            </w:pPr>
          </w:p>
        </w:tc>
      </w:tr>
      <w:tr w:rsidR="002935C4" w14:paraId="2471DB66" w14:textId="77777777" w:rsidTr="002935C4">
        <w:tc>
          <w:tcPr>
            <w:tcW w:w="5760" w:type="dxa"/>
            <w:tcBorders>
              <w:top w:val="single" w:sz="4" w:space="0" w:color="auto"/>
              <w:left w:val="single" w:sz="4" w:space="0" w:color="auto"/>
              <w:bottom w:val="single" w:sz="4" w:space="0" w:color="auto"/>
              <w:right w:val="single" w:sz="4" w:space="0" w:color="auto"/>
            </w:tcBorders>
            <w:hideMark/>
          </w:tcPr>
          <w:p w14:paraId="56E7B21F" w14:textId="77777777" w:rsidR="002935C4" w:rsidRDefault="002935C4">
            <w:pPr>
              <w:pStyle w:val="NoSpacing"/>
              <w:spacing w:line="256" w:lineRule="auto"/>
              <w:rPr>
                <w:rFonts w:asciiTheme="minorHAnsi" w:hAnsiTheme="minorHAnsi" w:cstheme="minorHAnsi"/>
                <w:sz w:val="22"/>
                <w:szCs w:val="22"/>
              </w:rPr>
            </w:pPr>
            <w:r>
              <w:rPr>
                <w:rFonts w:asciiTheme="minorHAnsi" w:hAnsiTheme="minorHAnsi" w:cstheme="minorHAnsi"/>
                <w:sz w:val="22"/>
                <w:szCs w:val="22"/>
              </w:rPr>
              <w:t>iSeq Trainer Designation Form</w:t>
            </w:r>
          </w:p>
        </w:tc>
        <w:tc>
          <w:tcPr>
            <w:tcW w:w="2970" w:type="dxa"/>
            <w:tcBorders>
              <w:top w:val="single" w:sz="4" w:space="0" w:color="auto"/>
              <w:left w:val="single" w:sz="4" w:space="0" w:color="auto"/>
              <w:bottom w:val="single" w:sz="4" w:space="0" w:color="auto"/>
              <w:right w:val="single" w:sz="4" w:space="0" w:color="auto"/>
            </w:tcBorders>
          </w:tcPr>
          <w:p w14:paraId="11A93C10" w14:textId="77777777" w:rsidR="002935C4" w:rsidRDefault="002935C4">
            <w:pPr>
              <w:pStyle w:val="NoSpacing"/>
              <w:spacing w:line="256" w:lineRule="auto"/>
              <w:rPr>
                <w:rFonts w:asciiTheme="minorHAnsi" w:hAnsiTheme="minorHAnsi" w:cstheme="minorHAnsi"/>
                <w:sz w:val="22"/>
                <w:szCs w:val="22"/>
              </w:rPr>
            </w:pPr>
          </w:p>
        </w:tc>
      </w:tr>
      <w:tr w:rsidR="002935C4" w14:paraId="482D2B48" w14:textId="77777777" w:rsidTr="002935C4">
        <w:tc>
          <w:tcPr>
            <w:tcW w:w="5760" w:type="dxa"/>
            <w:tcBorders>
              <w:top w:val="single" w:sz="4" w:space="0" w:color="auto"/>
              <w:left w:val="single" w:sz="4" w:space="0" w:color="auto"/>
              <w:bottom w:val="single" w:sz="4" w:space="0" w:color="auto"/>
              <w:right w:val="single" w:sz="4" w:space="0" w:color="auto"/>
            </w:tcBorders>
            <w:hideMark/>
          </w:tcPr>
          <w:p w14:paraId="3EFAAAA0" w14:textId="77777777" w:rsidR="002935C4" w:rsidRDefault="002935C4">
            <w:pPr>
              <w:pStyle w:val="NoSpacing"/>
              <w:spacing w:line="256" w:lineRule="auto"/>
              <w:rPr>
                <w:rFonts w:asciiTheme="minorHAnsi" w:hAnsiTheme="minorHAnsi" w:cstheme="minorHAnsi"/>
                <w:i/>
                <w:color w:val="0070C0"/>
                <w:sz w:val="22"/>
                <w:szCs w:val="22"/>
              </w:rPr>
            </w:pPr>
            <w:r>
              <w:rPr>
                <w:rFonts w:asciiTheme="minorHAnsi" w:hAnsiTheme="minorHAnsi" w:cstheme="minorHAnsi"/>
                <w:i/>
                <w:color w:val="0070C0"/>
                <w:sz w:val="22"/>
                <w:szCs w:val="22"/>
              </w:rPr>
              <w:t>“Lab-developed Risk Assessment/Mitigation document”</w:t>
            </w:r>
          </w:p>
        </w:tc>
        <w:tc>
          <w:tcPr>
            <w:tcW w:w="2970" w:type="dxa"/>
            <w:tcBorders>
              <w:top w:val="single" w:sz="4" w:space="0" w:color="auto"/>
              <w:left w:val="single" w:sz="4" w:space="0" w:color="auto"/>
              <w:bottom w:val="single" w:sz="4" w:space="0" w:color="auto"/>
              <w:right w:val="single" w:sz="4" w:space="0" w:color="auto"/>
            </w:tcBorders>
          </w:tcPr>
          <w:p w14:paraId="31709C69" w14:textId="77777777" w:rsidR="002935C4" w:rsidRDefault="002935C4">
            <w:pPr>
              <w:pStyle w:val="NoSpacing"/>
              <w:spacing w:line="256" w:lineRule="auto"/>
              <w:rPr>
                <w:rFonts w:asciiTheme="minorHAnsi" w:hAnsiTheme="minorHAnsi" w:cstheme="minorHAnsi"/>
                <w:sz w:val="22"/>
                <w:szCs w:val="22"/>
              </w:rPr>
            </w:pPr>
          </w:p>
        </w:tc>
      </w:tr>
    </w:tbl>
    <w:p w14:paraId="07E23968" w14:textId="77777777" w:rsidR="002935C4" w:rsidRDefault="002935C4" w:rsidP="002935C4">
      <w:pPr>
        <w:tabs>
          <w:tab w:val="left" w:pos="1440"/>
        </w:tabs>
        <w:ind w:left="720"/>
        <w:rPr>
          <w:rFonts w:cstheme="minorHAnsi"/>
          <w:b/>
        </w:rPr>
      </w:pPr>
    </w:p>
    <w:p w14:paraId="0CC112DE" w14:textId="77777777" w:rsidR="002935C4" w:rsidRDefault="002935C4" w:rsidP="002935C4">
      <w:pPr>
        <w:numPr>
          <w:ilvl w:val="0"/>
          <w:numId w:val="1"/>
        </w:numPr>
        <w:tabs>
          <w:tab w:val="left" w:pos="1440"/>
        </w:tabs>
        <w:spacing w:after="0" w:line="240" w:lineRule="auto"/>
        <w:rPr>
          <w:rFonts w:cstheme="minorHAnsi"/>
          <w:b/>
        </w:rPr>
      </w:pPr>
      <w:r>
        <w:rPr>
          <w:rFonts w:cstheme="minorHAnsi"/>
          <w:b/>
        </w:rPr>
        <w:t xml:space="preserve">Responsibilities </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773"/>
      </w:tblGrid>
      <w:tr w:rsidR="002935C4" w14:paraId="0FF5EAA7" w14:textId="77777777" w:rsidTr="002935C4">
        <w:trPr>
          <w:trHeight w:val="233"/>
          <w:tblHeader/>
        </w:trPr>
        <w:tc>
          <w:tcPr>
            <w:tcW w:w="195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5FD7815" w14:textId="77777777" w:rsidR="002935C4" w:rsidRDefault="002935C4">
            <w:pPr>
              <w:pStyle w:val="NoSpacing"/>
              <w:spacing w:line="256" w:lineRule="auto"/>
              <w:rPr>
                <w:rFonts w:asciiTheme="minorHAnsi" w:hAnsiTheme="minorHAnsi" w:cstheme="minorHAnsi"/>
                <w:b/>
                <w:sz w:val="22"/>
                <w:szCs w:val="22"/>
              </w:rPr>
            </w:pPr>
            <w:r>
              <w:rPr>
                <w:rFonts w:asciiTheme="minorHAnsi" w:hAnsiTheme="minorHAnsi" w:cstheme="minorHAnsi"/>
                <w:b/>
                <w:sz w:val="22"/>
                <w:szCs w:val="22"/>
              </w:rPr>
              <w:t>Position</w:t>
            </w:r>
          </w:p>
        </w:tc>
        <w:tc>
          <w:tcPr>
            <w:tcW w:w="677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7F4A8A0" w14:textId="77777777" w:rsidR="002935C4" w:rsidRDefault="002935C4">
            <w:pPr>
              <w:pStyle w:val="NoSpacing"/>
              <w:spacing w:line="256" w:lineRule="auto"/>
              <w:rPr>
                <w:rFonts w:asciiTheme="minorHAnsi" w:hAnsiTheme="minorHAnsi" w:cstheme="minorHAnsi"/>
                <w:b/>
                <w:sz w:val="22"/>
                <w:szCs w:val="22"/>
              </w:rPr>
            </w:pPr>
            <w:r>
              <w:rPr>
                <w:rFonts w:asciiTheme="minorHAnsi" w:hAnsiTheme="minorHAnsi" w:cstheme="minorHAnsi"/>
                <w:b/>
                <w:sz w:val="22"/>
                <w:szCs w:val="22"/>
              </w:rPr>
              <w:t>Responsibility</w:t>
            </w:r>
          </w:p>
        </w:tc>
      </w:tr>
      <w:tr w:rsidR="002935C4" w14:paraId="20D5E72B" w14:textId="77777777" w:rsidTr="002935C4">
        <w:tc>
          <w:tcPr>
            <w:tcW w:w="1957" w:type="dxa"/>
            <w:tcBorders>
              <w:top w:val="single" w:sz="4" w:space="0" w:color="auto"/>
              <w:left w:val="single" w:sz="4" w:space="0" w:color="auto"/>
              <w:bottom w:val="single" w:sz="4" w:space="0" w:color="auto"/>
              <w:right w:val="single" w:sz="4" w:space="0" w:color="auto"/>
            </w:tcBorders>
            <w:hideMark/>
          </w:tcPr>
          <w:p w14:paraId="6837CB0D" w14:textId="77777777" w:rsidR="002935C4" w:rsidRDefault="002935C4">
            <w:pPr>
              <w:pStyle w:val="NoSpacing"/>
              <w:spacing w:line="256" w:lineRule="auto"/>
              <w:rPr>
                <w:rFonts w:asciiTheme="minorHAnsi" w:hAnsiTheme="minorHAnsi" w:cstheme="minorHAnsi"/>
                <w:sz w:val="22"/>
                <w:szCs w:val="22"/>
              </w:rPr>
            </w:pPr>
            <w:r>
              <w:rPr>
                <w:rFonts w:asciiTheme="minorHAnsi" w:hAnsiTheme="minorHAnsi" w:cstheme="minorHAnsi"/>
                <w:sz w:val="22"/>
                <w:szCs w:val="22"/>
              </w:rPr>
              <w:t>All laboratory staff</w:t>
            </w:r>
          </w:p>
        </w:tc>
        <w:tc>
          <w:tcPr>
            <w:tcW w:w="6773" w:type="dxa"/>
            <w:tcBorders>
              <w:top w:val="single" w:sz="4" w:space="0" w:color="auto"/>
              <w:left w:val="single" w:sz="4" w:space="0" w:color="auto"/>
              <w:bottom w:val="single" w:sz="4" w:space="0" w:color="auto"/>
              <w:right w:val="single" w:sz="4" w:space="0" w:color="auto"/>
            </w:tcBorders>
            <w:hideMark/>
          </w:tcPr>
          <w:p w14:paraId="3F75AF61" w14:textId="77777777" w:rsidR="002935C4" w:rsidRDefault="002935C4" w:rsidP="00A2390D">
            <w:pPr>
              <w:pStyle w:val="NoSpacing"/>
              <w:numPr>
                <w:ilvl w:val="0"/>
                <w:numId w:val="2"/>
              </w:numPr>
              <w:spacing w:line="256" w:lineRule="auto"/>
              <w:rPr>
                <w:rFonts w:asciiTheme="minorHAnsi" w:hAnsiTheme="minorHAnsi" w:cstheme="minorHAnsi"/>
                <w:sz w:val="22"/>
                <w:szCs w:val="22"/>
              </w:rPr>
            </w:pPr>
            <w:r>
              <w:rPr>
                <w:rFonts w:asciiTheme="minorHAnsi" w:hAnsiTheme="minorHAnsi" w:cstheme="minorHAnsi"/>
                <w:sz w:val="22"/>
                <w:szCs w:val="22"/>
              </w:rPr>
              <w:t>Complete all necessary training requirements</w:t>
            </w:r>
          </w:p>
        </w:tc>
      </w:tr>
      <w:tr w:rsidR="002935C4" w14:paraId="53EAF176" w14:textId="77777777" w:rsidTr="002935C4">
        <w:tc>
          <w:tcPr>
            <w:tcW w:w="1957" w:type="dxa"/>
            <w:tcBorders>
              <w:top w:val="single" w:sz="4" w:space="0" w:color="auto"/>
              <w:left w:val="single" w:sz="4" w:space="0" w:color="auto"/>
              <w:bottom w:val="single" w:sz="4" w:space="0" w:color="auto"/>
              <w:right w:val="single" w:sz="4" w:space="0" w:color="auto"/>
            </w:tcBorders>
            <w:hideMark/>
          </w:tcPr>
          <w:p w14:paraId="491228AC" w14:textId="77777777" w:rsidR="002935C4" w:rsidRDefault="002935C4">
            <w:pPr>
              <w:pStyle w:val="NoSpacing"/>
              <w:spacing w:line="256" w:lineRule="auto"/>
              <w:rPr>
                <w:rFonts w:asciiTheme="minorHAnsi" w:hAnsiTheme="minorHAnsi" w:cstheme="minorHAnsi"/>
                <w:sz w:val="22"/>
                <w:szCs w:val="22"/>
              </w:rPr>
            </w:pPr>
            <w:r>
              <w:rPr>
                <w:rFonts w:asciiTheme="minorHAnsi" w:hAnsiTheme="minorHAnsi" w:cstheme="minorHAnsi"/>
                <w:sz w:val="22"/>
                <w:szCs w:val="22"/>
              </w:rPr>
              <w:t>Team Lead</w:t>
            </w:r>
          </w:p>
        </w:tc>
        <w:tc>
          <w:tcPr>
            <w:tcW w:w="6773" w:type="dxa"/>
            <w:tcBorders>
              <w:top w:val="single" w:sz="4" w:space="0" w:color="auto"/>
              <w:left w:val="single" w:sz="4" w:space="0" w:color="auto"/>
              <w:bottom w:val="single" w:sz="4" w:space="0" w:color="auto"/>
              <w:right w:val="single" w:sz="4" w:space="0" w:color="auto"/>
            </w:tcBorders>
            <w:hideMark/>
          </w:tcPr>
          <w:p w14:paraId="58AF3655" w14:textId="77777777" w:rsidR="002935C4" w:rsidRDefault="002935C4" w:rsidP="00A2390D">
            <w:pPr>
              <w:pStyle w:val="NoSpacing"/>
              <w:numPr>
                <w:ilvl w:val="0"/>
                <w:numId w:val="2"/>
              </w:numPr>
              <w:spacing w:line="256" w:lineRule="auto"/>
              <w:rPr>
                <w:rFonts w:asciiTheme="minorHAnsi" w:hAnsiTheme="minorHAnsi" w:cstheme="minorHAnsi"/>
                <w:sz w:val="22"/>
                <w:szCs w:val="22"/>
              </w:rPr>
            </w:pPr>
            <w:r>
              <w:rPr>
                <w:rFonts w:asciiTheme="minorHAnsi" w:hAnsiTheme="minorHAnsi" w:cstheme="minorHAnsi"/>
                <w:sz w:val="22"/>
                <w:szCs w:val="22"/>
              </w:rPr>
              <w:t>Determine the training needs for the laboratory team</w:t>
            </w:r>
          </w:p>
          <w:p w14:paraId="54C451A4" w14:textId="77777777" w:rsidR="002935C4" w:rsidRDefault="002935C4" w:rsidP="00A2390D">
            <w:pPr>
              <w:pStyle w:val="NoSpacing"/>
              <w:numPr>
                <w:ilvl w:val="0"/>
                <w:numId w:val="2"/>
              </w:numPr>
              <w:spacing w:line="256" w:lineRule="auto"/>
              <w:rPr>
                <w:rFonts w:asciiTheme="minorHAnsi" w:hAnsiTheme="minorHAnsi" w:cstheme="minorHAnsi"/>
                <w:sz w:val="22"/>
                <w:szCs w:val="22"/>
              </w:rPr>
            </w:pPr>
            <w:r>
              <w:rPr>
                <w:rFonts w:asciiTheme="minorHAnsi" w:hAnsiTheme="minorHAnsi" w:cstheme="minorHAnsi"/>
                <w:sz w:val="22"/>
                <w:szCs w:val="22"/>
              </w:rPr>
              <w:t>Ensure all staff are trained and evaluated according to this procedure</w:t>
            </w:r>
          </w:p>
          <w:p w14:paraId="0A7CD699" w14:textId="77777777" w:rsidR="002935C4" w:rsidRDefault="002935C4" w:rsidP="00A2390D">
            <w:pPr>
              <w:pStyle w:val="NoSpacing"/>
              <w:numPr>
                <w:ilvl w:val="0"/>
                <w:numId w:val="2"/>
              </w:numPr>
              <w:spacing w:line="256" w:lineRule="auto"/>
              <w:rPr>
                <w:rFonts w:asciiTheme="minorHAnsi" w:hAnsiTheme="minorHAnsi" w:cstheme="minorHAnsi"/>
                <w:sz w:val="22"/>
                <w:szCs w:val="22"/>
              </w:rPr>
            </w:pPr>
            <w:r>
              <w:rPr>
                <w:rFonts w:asciiTheme="minorHAnsi" w:hAnsiTheme="minorHAnsi" w:cstheme="minorHAnsi"/>
                <w:sz w:val="22"/>
                <w:szCs w:val="22"/>
              </w:rPr>
              <w:t>Designate the trainer by completing the iSeq Trainer Designation Form</w:t>
            </w:r>
          </w:p>
          <w:p w14:paraId="72417323" w14:textId="77777777" w:rsidR="002935C4" w:rsidRDefault="002935C4" w:rsidP="00A2390D">
            <w:pPr>
              <w:pStyle w:val="NoSpacing"/>
              <w:numPr>
                <w:ilvl w:val="0"/>
                <w:numId w:val="2"/>
              </w:numPr>
              <w:spacing w:line="256" w:lineRule="auto"/>
              <w:rPr>
                <w:rFonts w:asciiTheme="minorHAnsi" w:hAnsiTheme="minorHAnsi" w:cstheme="minorHAnsi"/>
                <w:sz w:val="22"/>
                <w:szCs w:val="22"/>
              </w:rPr>
            </w:pPr>
            <w:r>
              <w:rPr>
                <w:rFonts w:asciiTheme="minorHAnsi" w:hAnsiTheme="minorHAnsi" w:cstheme="minorHAnsi"/>
                <w:sz w:val="22"/>
                <w:szCs w:val="22"/>
              </w:rPr>
              <w:t>Create training plans, review training materials, and assign trainers as needed</w:t>
            </w:r>
          </w:p>
        </w:tc>
      </w:tr>
      <w:tr w:rsidR="002935C4" w14:paraId="0BC42CA1" w14:textId="77777777" w:rsidTr="002935C4">
        <w:tc>
          <w:tcPr>
            <w:tcW w:w="1957" w:type="dxa"/>
            <w:tcBorders>
              <w:top w:val="single" w:sz="4" w:space="0" w:color="auto"/>
              <w:left w:val="single" w:sz="4" w:space="0" w:color="auto"/>
              <w:bottom w:val="single" w:sz="4" w:space="0" w:color="auto"/>
              <w:right w:val="single" w:sz="4" w:space="0" w:color="auto"/>
            </w:tcBorders>
            <w:hideMark/>
          </w:tcPr>
          <w:p w14:paraId="773E1D7F" w14:textId="77777777" w:rsidR="002935C4" w:rsidRDefault="002935C4">
            <w:pPr>
              <w:pStyle w:val="NoSpacing"/>
              <w:spacing w:line="256" w:lineRule="auto"/>
              <w:rPr>
                <w:rFonts w:asciiTheme="minorHAnsi" w:hAnsiTheme="minorHAnsi" w:cstheme="minorHAnsi"/>
                <w:sz w:val="22"/>
                <w:szCs w:val="22"/>
              </w:rPr>
            </w:pPr>
            <w:r>
              <w:rPr>
                <w:rFonts w:asciiTheme="minorHAnsi" w:hAnsiTheme="minorHAnsi" w:cstheme="minorHAnsi"/>
                <w:sz w:val="22"/>
                <w:szCs w:val="22"/>
              </w:rPr>
              <w:t>Trainers</w:t>
            </w:r>
          </w:p>
        </w:tc>
        <w:tc>
          <w:tcPr>
            <w:tcW w:w="6773" w:type="dxa"/>
            <w:tcBorders>
              <w:top w:val="single" w:sz="4" w:space="0" w:color="auto"/>
              <w:left w:val="single" w:sz="4" w:space="0" w:color="auto"/>
              <w:bottom w:val="single" w:sz="4" w:space="0" w:color="auto"/>
              <w:right w:val="single" w:sz="4" w:space="0" w:color="auto"/>
            </w:tcBorders>
            <w:hideMark/>
          </w:tcPr>
          <w:p w14:paraId="24FE84FA" w14:textId="77777777" w:rsidR="002935C4" w:rsidRDefault="002935C4" w:rsidP="00A2390D">
            <w:pPr>
              <w:pStyle w:val="NoSpacing"/>
              <w:numPr>
                <w:ilvl w:val="0"/>
                <w:numId w:val="2"/>
              </w:numPr>
              <w:spacing w:line="256" w:lineRule="auto"/>
              <w:rPr>
                <w:rFonts w:asciiTheme="minorHAnsi" w:hAnsiTheme="minorHAnsi" w:cstheme="minorHAnsi"/>
                <w:sz w:val="22"/>
                <w:szCs w:val="22"/>
              </w:rPr>
            </w:pPr>
            <w:r>
              <w:rPr>
                <w:rFonts w:asciiTheme="minorHAnsi" w:hAnsiTheme="minorHAnsi" w:cstheme="minorHAnsi"/>
                <w:sz w:val="22"/>
                <w:szCs w:val="22"/>
              </w:rPr>
              <w:t>Develop training materials</w:t>
            </w:r>
          </w:p>
          <w:p w14:paraId="53403DC4" w14:textId="77777777" w:rsidR="002935C4" w:rsidRDefault="002935C4" w:rsidP="00A2390D">
            <w:pPr>
              <w:pStyle w:val="NoSpacing"/>
              <w:numPr>
                <w:ilvl w:val="0"/>
                <w:numId w:val="2"/>
              </w:numPr>
              <w:spacing w:line="256" w:lineRule="auto"/>
              <w:rPr>
                <w:rFonts w:asciiTheme="minorHAnsi" w:hAnsiTheme="minorHAnsi" w:cstheme="minorHAnsi"/>
                <w:sz w:val="22"/>
                <w:szCs w:val="22"/>
              </w:rPr>
            </w:pPr>
            <w:r>
              <w:rPr>
                <w:rFonts w:asciiTheme="minorHAnsi" w:hAnsiTheme="minorHAnsi" w:cstheme="minorHAnsi"/>
                <w:sz w:val="22"/>
                <w:szCs w:val="22"/>
              </w:rPr>
              <w:t>Train staff as directed by the Team Lead</w:t>
            </w:r>
          </w:p>
          <w:p w14:paraId="628E64F6" w14:textId="77777777" w:rsidR="002935C4" w:rsidRDefault="002935C4" w:rsidP="00A2390D">
            <w:pPr>
              <w:pStyle w:val="NoSpacing"/>
              <w:numPr>
                <w:ilvl w:val="0"/>
                <w:numId w:val="2"/>
              </w:numPr>
              <w:spacing w:line="256" w:lineRule="auto"/>
              <w:rPr>
                <w:rFonts w:asciiTheme="minorHAnsi" w:hAnsiTheme="minorHAnsi" w:cstheme="minorHAnsi"/>
                <w:sz w:val="22"/>
                <w:szCs w:val="22"/>
              </w:rPr>
            </w:pPr>
            <w:r>
              <w:rPr>
                <w:rFonts w:asciiTheme="minorHAnsi" w:hAnsiTheme="minorHAnsi" w:cstheme="minorHAnsi"/>
                <w:sz w:val="22"/>
                <w:szCs w:val="22"/>
              </w:rPr>
              <w:t>Document training activities</w:t>
            </w:r>
          </w:p>
        </w:tc>
      </w:tr>
      <w:tr w:rsidR="002935C4" w14:paraId="213DDE6A" w14:textId="77777777" w:rsidTr="002935C4">
        <w:tc>
          <w:tcPr>
            <w:tcW w:w="1957" w:type="dxa"/>
            <w:tcBorders>
              <w:top w:val="single" w:sz="4" w:space="0" w:color="auto"/>
              <w:left w:val="single" w:sz="4" w:space="0" w:color="auto"/>
              <w:bottom w:val="single" w:sz="4" w:space="0" w:color="auto"/>
              <w:right w:val="single" w:sz="4" w:space="0" w:color="auto"/>
            </w:tcBorders>
            <w:hideMark/>
          </w:tcPr>
          <w:p w14:paraId="7FF0C83E" w14:textId="77777777" w:rsidR="002935C4" w:rsidRDefault="002935C4">
            <w:pPr>
              <w:pStyle w:val="NoSpacing"/>
              <w:spacing w:line="256" w:lineRule="auto"/>
              <w:rPr>
                <w:rFonts w:asciiTheme="minorHAnsi" w:hAnsiTheme="minorHAnsi" w:cstheme="minorHAnsi"/>
                <w:sz w:val="22"/>
                <w:szCs w:val="22"/>
              </w:rPr>
            </w:pPr>
            <w:r>
              <w:rPr>
                <w:rFonts w:asciiTheme="minorHAnsi" w:hAnsiTheme="minorHAnsi" w:cstheme="minorHAnsi"/>
                <w:sz w:val="22"/>
                <w:szCs w:val="22"/>
              </w:rPr>
              <w:t>Branch Chief</w:t>
            </w:r>
          </w:p>
        </w:tc>
        <w:tc>
          <w:tcPr>
            <w:tcW w:w="6773" w:type="dxa"/>
            <w:tcBorders>
              <w:top w:val="single" w:sz="4" w:space="0" w:color="auto"/>
              <w:left w:val="single" w:sz="4" w:space="0" w:color="auto"/>
              <w:bottom w:val="single" w:sz="4" w:space="0" w:color="auto"/>
              <w:right w:val="single" w:sz="4" w:space="0" w:color="auto"/>
            </w:tcBorders>
            <w:hideMark/>
          </w:tcPr>
          <w:p w14:paraId="533EF5B9" w14:textId="77777777" w:rsidR="002935C4" w:rsidRDefault="002935C4" w:rsidP="00A2390D">
            <w:pPr>
              <w:pStyle w:val="NoSpacing"/>
              <w:numPr>
                <w:ilvl w:val="0"/>
                <w:numId w:val="2"/>
              </w:numPr>
              <w:spacing w:line="256" w:lineRule="auto"/>
              <w:rPr>
                <w:rFonts w:asciiTheme="minorHAnsi" w:hAnsiTheme="minorHAnsi" w:cstheme="minorHAnsi"/>
                <w:sz w:val="22"/>
                <w:szCs w:val="22"/>
              </w:rPr>
            </w:pPr>
            <w:r>
              <w:rPr>
                <w:rFonts w:asciiTheme="minorHAnsi" w:hAnsiTheme="minorHAnsi" w:cstheme="minorHAnsi"/>
                <w:sz w:val="22"/>
                <w:szCs w:val="22"/>
              </w:rPr>
              <w:t>Ensure applicable laboratory staff are accountable for completing all training and evaluation requirements described in this procedure</w:t>
            </w:r>
          </w:p>
          <w:p w14:paraId="31659625" w14:textId="77777777" w:rsidR="002935C4" w:rsidRDefault="002935C4" w:rsidP="00A2390D">
            <w:pPr>
              <w:pStyle w:val="NoSpacing"/>
              <w:numPr>
                <w:ilvl w:val="0"/>
                <w:numId w:val="2"/>
              </w:numPr>
              <w:spacing w:line="256" w:lineRule="auto"/>
              <w:rPr>
                <w:rFonts w:asciiTheme="minorHAnsi" w:hAnsiTheme="minorHAnsi" w:cstheme="minorHAnsi"/>
                <w:sz w:val="22"/>
                <w:szCs w:val="22"/>
              </w:rPr>
            </w:pPr>
            <w:r>
              <w:rPr>
                <w:rFonts w:asciiTheme="minorHAnsi" w:hAnsiTheme="minorHAnsi" w:cstheme="minorHAnsi"/>
                <w:sz w:val="22"/>
                <w:szCs w:val="22"/>
              </w:rPr>
              <w:t>Review and approve this procedure</w:t>
            </w:r>
          </w:p>
        </w:tc>
      </w:tr>
      <w:tr w:rsidR="002935C4" w14:paraId="33EA8ED4" w14:textId="77777777" w:rsidTr="002935C4">
        <w:tc>
          <w:tcPr>
            <w:tcW w:w="1957" w:type="dxa"/>
            <w:tcBorders>
              <w:top w:val="single" w:sz="4" w:space="0" w:color="auto"/>
              <w:left w:val="single" w:sz="4" w:space="0" w:color="auto"/>
              <w:bottom w:val="single" w:sz="4" w:space="0" w:color="auto"/>
              <w:right w:val="single" w:sz="4" w:space="0" w:color="auto"/>
            </w:tcBorders>
            <w:hideMark/>
          </w:tcPr>
          <w:p w14:paraId="5D8A3B3C" w14:textId="77777777" w:rsidR="002935C4" w:rsidRDefault="002935C4">
            <w:pPr>
              <w:pStyle w:val="NoSpacing"/>
              <w:spacing w:line="256" w:lineRule="auto"/>
              <w:rPr>
                <w:rFonts w:asciiTheme="minorHAnsi" w:hAnsiTheme="minorHAnsi" w:cstheme="minorHAnsi"/>
                <w:sz w:val="22"/>
                <w:szCs w:val="22"/>
              </w:rPr>
            </w:pPr>
            <w:r>
              <w:rPr>
                <w:rFonts w:asciiTheme="minorHAnsi" w:hAnsiTheme="minorHAnsi" w:cstheme="minorHAnsi"/>
                <w:sz w:val="22"/>
                <w:szCs w:val="22"/>
              </w:rPr>
              <w:t>Quality Manager</w:t>
            </w:r>
          </w:p>
        </w:tc>
        <w:tc>
          <w:tcPr>
            <w:tcW w:w="6773" w:type="dxa"/>
            <w:tcBorders>
              <w:top w:val="single" w:sz="4" w:space="0" w:color="auto"/>
              <w:left w:val="single" w:sz="4" w:space="0" w:color="auto"/>
              <w:bottom w:val="single" w:sz="4" w:space="0" w:color="auto"/>
              <w:right w:val="single" w:sz="4" w:space="0" w:color="auto"/>
            </w:tcBorders>
            <w:hideMark/>
          </w:tcPr>
          <w:p w14:paraId="1B0F4584" w14:textId="77777777" w:rsidR="002935C4" w:rsidRDefault="002935C4" w:rsidP="00A2390D">
            <w:pPr>
              <w:pStyle w:val="NoSpacing"/>
              <w:numPr>
                <w:ilvl w:val="0"/>
                <w:numId w:val="2"/>
              </w:numPr>
              <w:spacing w:line="256" w:lineRule="auto"/>
              <w:rPr>
                <w:rFonts w:asciiTheme="minorHAnsi" w:hAnsiTheme="minorHAnsi" w:cstheme="minorHAnsi"/>
                <w:sz w:val="22"/>
                <w:szCs w:val="22"/>
              </w:rPr>
            </w:pPr>
            <w:r>
              <w:rPr>
                <w:rFonts w:asciiTheme="minorHAnsi" w:hAnsiTheme="minorHAnsi" w:cstheme="minorHAnsi"/>
                <w:sz w:val="22"/>
                <w:szCs w:val="22"/>
              </w:rPr>
              <w:t>Review training documentation</w:t>
            </w:r>
          </w:p>
        </w:tc>
      </w:tr>
    </w:tbl>
    <w:p w14:paraId="4876257F" w14:textId="77777777" w:rsidR="002935C4" w:rsidRDefault="002935C4" w:rsidP="002935C4"/>
    <w:p w14:paraId="778941BD" w14:textId="77777777" w:rsidR="002935C4" w:rsidRDefault="002935C4" w:rsidP="002935C4">
      <w:pPr>
        <w:numPr>
          <w:ilvl w:val="0"/>
          <w:numId w:val="1"/>
        </w:numPr>
        <w:tabs>
          <w:tab w:val="left" w:pos="1440"/>
        </w:tabs>
        <w:spacing w:after="0" w:line="240" w:lineRule="auto"/>
        <w:rPr>
          <w:rFonts w:cstheme="minorHAnsi"/>
          <w:b/>
        </w:rPr>
      </w:pPr>
      <w:r>
        <w:rPr>
          <w:rFonts w:cstheme="minorHAnsi"/>
          <w:b/>
        </w:rPr>
        <w:t>Training Information Resources</w:t>
      </w:r>
    </w:p>
    <w:p w14:paraId="67ABF03C" w14:textId="77777777" w:rsidR="002935C4" w:rsidRDefault="002935C4" w:rsidP="002935C4">
      <w:pPr>
        <w:numPr>
          <w:ilvl w:val="1"/>
          <w:numId w:val="1"/>
        </w:numPr>
        <w:tabs>
          <w:tab w:val="left" w:pos="720"/>
        </w:tabs>
        <w:spacing w:after="0" w:line="240" w:lineRule="auto"/>
        <w:rPr>
          <w:rFonts w:cstheme="minorHAnsi"/>
        </w:rPr>
      </w:pPr>
      <w:r w:rsidRPr="00916697">
        <w:rPr>
          <w:rFonts w:cstheme="minorHAnsi"/>
          <w:i/>
          <w:color w:val="00698E"/>
        </w:rPr>
        <w:t>Reference your laboratory SOP, the Illumina iSeq System User Guide.</w:t>
      </w:r>
    </w:p>
    <w:p w14:paraId="4A2C224F" w14:textId="77777777" w:rsidR="002935C4" w:rsidRDefault="002935C4" w:rsidP="002935C4">
      <w:pPr>
        <w:numPr>
          <w:ilvl w:val="1"/>
          <w:numId w:val="1"/>
        </w:numPr>
        <w:tabs>
          <w:tab w:val="left" w:pos="720"/>
        </w:tabs>
        <w:spacing w:after="0" w:line="240" w:lineRule="auto"/>
        <w:rPr>
          <w:rFonts w:cstheme="minorHAnsi"/>
          <w:i/>
          <w:color w:val="5B9BD5"/>
        </w:rPr>
      </w:pPr>
      <w:r w:rsidRPr="00916697">
        <w:rPr>
          <w:rFonts w:cstheme="minorHAnsi"/>
          <w:i/>
          <w:color w:val="00698E"/>
        </w:rPr>
        <w:t>Reference your laboratory-developed risk assessment/mitigation document here; this may be specific to the iSeq or to the specific nucleic acid source.</w:t>
      </w:r>
    </w:p>
    <w:p w14:paraId="1A2D1BD9" w14:textId="77777777" w:rsidR="002935C4" w:rsidRDefault="002935C4" w:rsidP="002935C4">
      <w:pPr>
        <w:numPr>
          <w:ilvl w:val="1"/>
          <w:numId w:val="1"/>
        </w:numPr>
        <w:tabs>
          <w:tab w:val="left" w:pos="720"/>
        </w:tabs>
        <w:spacing w:after="0" w:line="240" w:lineRule="auto"/>
        <w:rPr>
          <w:rFonts w:cstheme="minorHAnsi"/>
        </w:rPr>
      </w:pPr>
      <w:r>
        <w:rPr>
          <w:rFonts w:cstheme="minorHAnsi"/>
        </w:rPr>
        <w:lastRenderedPageBreak/>
        <w:t>Biosafety in Microbiological and Biomedical Laboratories, 5</w:t>
      </w:r>
      <w:r>
        <w:rPr>
          <w:rFonts w:cstheme="minorHAnsi"/>
          <w:vertAlign w:val="superscript"/>
        </w:rPr>
        <w:t>th</w:t>
      </w:r>
      <w:r>
        <w:rPr>
          <w:rFonts w:cstheme="minorHAnsi"/>
        </w:rPr>
        <w:t xml:space="preserve"> Edition, HHS Publication Number (CDC) 21-1112.</w:t>
      </w:r>
    </w:p>
    <w:p w14:paraId="4F9223EE" w14:textId="77777777" w:rsidR="002935C4" w:rsidRDefault="002935C4" w:rsidP="002935C4">
      <w:pPr>
        <w:numPr>
          <w:ilvl w:val="1"/>
          <w:numId w:val="1"/>
        </w:numPr>
        <w:tabs>
          <w:tab w:val="left" w:pos="720"/>
        </w:tabs>
        <w:spacing w:after="0" w:line="240" w:lineRule="auto"/>
        <w:rPr>
          <w:rFonts w:cstheme="minorHAnsi"/>
        </w:rPr>
      </w:pPr>
      <w:r>
        <w:rPr>
          <w:rFonts w:cstheme="minorHAnsi"/>
        </w:rPr>
        <w:t xml:space="preserve">Illumina Support Training Videos </w:t>
      </w:r>
      <w:r>
        <w:rPr>
          <w:rFonts w:cstheme="minorHAnsi"/>
          <w:i/>
          <w:color w:val="0070C0"/>
        </w:rPr>
        <w:t xml:space="preserve">(select the videos relevant to your lab processes; add other videos as appropriate) </w:t>
      </w:r>
    </w:p>
    <w:p w14:paraId="347941F8" w14:textId="77777777" w:rsidR="002935C4" w:rsidRDefault="00D43135" w:rsidP="002935C4">
      <w:pPr>
        <w:numPr>
          <w:ilvl w:val="2"/>
          <w:numId w:val="1"/>
        </w:numPr>
        <w:tabs>
          <w:tab w:val="left" w:pos="720"/>
        </w:tabs>
        <w:spacing w:after="0" w:line="240" w:lineRule="auto"/>
        <w:rPr>
          <w:rFonts w:cstheme="minorHAnsi"/>
          <w:b/>
          <w:color w:val="2F5496" w:themeColor="accent5" w:themeShade="BF"/>
        </w:rPr>
      </w:pPr>
      <w:hyperlink r:id="rId11" w:history="1">
        <w:r w:rsidR="002935C4">
          <w:rPr>
            <w:rStyle w:val="Hyperlink"/>
            <w:rFonts w:cstheme="minorHAnsi"/>
            <w:b/>
            <w:color w:val="2F5496" w:themeColor="accent5" w:themeShade="BF"/>
          </w:rPr>
          <w:t>Sequencing: Illumina Technology</w:t>
        </w:r>
      </w:hyperlink>
    </w:p>
    <w:p w14:paraId="2AE49F23" w14:textId="77777777" w:rsidR="002935C4" w:rsidRDefault="00D43135" w:rsidP="002935C4">
      <w:pPr>
        <w:numPr>
          <w:ilvl w:val="2"/>
          <w:numId w:val="1"/>
        </w:numPr>
        <w:tabs>
          <w:tab w:val="left" w:pos="720"/>
        </w:tabs>
        <w:spacing w:after="0" w:line="240" w:lineRule="auto"/>
        <w:rPr>
          <w:rFonts w:cstheme="minorHAnsi"/>
          <w:b/>
          <w:color w:val="2F5496" w:themeColor="accent5" w:themeShade="BF"/>
        </w:rPr>
      </w:pPr>
      <w:hyperlink r:id="rId12" w:history="1">
        <w:r w:rsidR="002935C4">
          <w:rPr>
            <w:rStyle w:val="Hyperlink"/>
            <w:rFonts w:cstheme="minorHAnsi"/>
            <w:b/>
            <w:color w:val="2F5496" w:themeColor="accent5" w:themeShade="BF"/>
          </w:rPr>
          <w:t>Sequencing: Fundamentals</w:t>
        </w:r>
      </w:hyperlink>
    </w:p>
    <w:p w14:paraId="1FB9C59A" w14:textId="77777777" w:rsidR="002935C4" w:rsidRDefault="00D43135" w:rsidP="002935C4">
      <w:pPr>
        <w:numPr>
          <w:ilvl w:val="2"/>
          <w:numId w:val="1"/>
        </w:numPr>
        <w:tabs>
          <w:tab w:val="left" w:pos="720"/>
        </w:tabs>
        <w:spacing w:after="0" w:line="240" w:lineRule="auto"/>
        <w:rPr>
          <w:rFonts w:cstheme="minorHAnsi"/>
          <w:b/>
          <w:color w:val="2F5496" w:themeColor="accent5" w:themeShade="BF"/>
        </w:rPr>
      </w:pPr>
      <w:hyperlink r:id="rId13" w:history="1">
        <w:r w:rsidR="002935C4">
          <w:rPr>
            <w:rStyle w:val="Hyperlink"/>
            <w:rFonts w:cstheme="minorHAnsi"/>
            <w:b/>
            <w:color w:val="2F5496" w:themeColor="accent5" w:themeShade="BF"/>
          </w:rPr>
          <w:t>iSeq 100: Introduction</w:t>
        </w:r>
      </w:hyperlink>
      <w:r w:rsidR="002935C4">
        <w:rPr>
          <w:rFonts w:cstheme="minorHAnsi"/>
          <w:b/>
          <w:color w:val="2F5496" w:themeColor="accent5" w:themeShade="BF"/>
        </w:rPr>
        <w:t xml:space="preserve"> </w:t>
      </w:r>
    </w:p>
    <w:p w14:paraId="34DE6E27" w14:textId="77777777" w:rsidR="002935C4" w:rsidRDefault="00D43135" w:rsidP="002935C4">
      <w:pPr>
        <w:numPr>
          <w:ilvl w:val="2"/>
          <w:numId w:val="1"/>
        </w:numPr>
        <w:tabs>
          <w:tab w:val="left" w:pos="720"/>
        </w:tabs>
        <w:spacing w:after="0" w:line="240" w:lineRule="auto"/>
        <w:rPr>
          <w:rFonts w:cstheme="minorHAnsi"/>
          <w:b/>
          <w:color w:val="2F5496" w:themeColor="accent5" w:themeShade="BF"/>
        </w:rPr>
      </w:pPr>
      <w:hyperlink r:id="rId14" w:history="1">
        <w:r w:rsidR="002935C4">
          <w:rPr>
            <w:rStyle w:val="Hyperlink"/>
            <w:rFonts w:cstheme="minorHAnsi"/>
            <w:b/>
            <w:color w:val="2F5496" w:themeColor="accent5" w:themeShade="BF"/>
          </w:rPr>
          <w:t>iSeq 100: How to Start a Run</w:t>
        </w:r>
      </w:hyperlink>
    </w:p>
    <w:p w14:paraId="54349367" w14:textId="77777777" w:rsidR="002935C4" w:rsidRDefault="00D43135" w:rsidP="002935C4">
      <w:pPr>
        <w:numPr>
          <w:ilvl w:val="2"/>
          <w:numId w:val="1"/>
        </w:numPr>
        <w:tabs>
          <w:tab w:val="left" w:pos="720"/>
        </w:tabs>
        <w:spacing w:after="0" w:line="240" w:lineRule="auto"/>
        <w:rPr>
          <w:rStyle w:val="Hyperlink"/>
          <w:color w:val="2F5496" w:themeColor="accent5" w:themeShade="BF"/>
          <w:u w:val="none"/>
        </w:rPr>
      </w:pPr>
      <w:hyperlink r:id="rId15" w:history="1">
        <w:r w:rsidR="002935C4">
          <w:rPr>
            <w:rStyle w:val="Hyperlink"/>
            <w:rFonts w:cstheme="minorHAnsi"/>
            <w:b/>
            <w:color w:val="2F5496" w:themeColor="accent5" w:themeShade="BF"/>
          </w:rPr>
          <w:t>iSeq 100: Does My Run Look Good?</w:t>
        </w:r>
      </w:hyperlink>
    </w:p>
    <w:p w14:paraId="0007A9F8" w14:textId="77777777" w:rsidR="002935C4" w:rsidRDefault="00D43135" w:rsidP="002935C4">
      <w:pPr>
        <w:numPr>
          <w:ilvl w:val="2"/>
          <w:numId w:val="1"/>
        </w:numPr>
        <w:tabs>
          <w:tab w:val="left" w:pos="720"/>
        </w:tabs>
        <w:spacing w:after="0" w:line="240" w:lineRule="auto"/>
      </w:pPr>
      <w:hyperlink r:id="rId16" w:history="1">
        <w:r w:rsidR="002935C4">
          <w:rPr>
            <w:rStyle w:val="Hyperlink"/>
            <w:rFonts w:cstheme="minorHAnsi"/>
            <w:b/>
            <w:color w:val="2F5496" w:themeColor="accent5" w:themeShade="BF"/>
          </w:rPr>
          <w:t>AmpliSeq for Illumina: Library Prep Protocol</w:t>
        </w:r>
      </w:hyperlink>
      <w:r w:rsidR="002935C4">
        <w:rPr>
          <w:rFonts w:cstheme="minorHAnsi"/>
          <w:b/>
          <w:color w:val="2F5496" w:themeColor="accent5" w:themeShade="BF"/>
        </w:rPr>
        <w:t xml:space="preserve"> </w:t>
      </w:r>
    </w:p>
    <w:p w14:paraId="41103083" w14:textId="77777777" w:rsidR="002935C4" w:rsidRDefault="00D43135" w:rsidP="002935C4">
      <w:pPr>
        <w:numPr>
          <w:ilvl w:val="2"/>
          <w:numId w:val="1"/>
        </w:numPr>
        <w:tabs>
          <w:tab w:val="left" w:pos="720"/>
        </w:tabs>
        <w:spacing w:after="0" w:line="240" w:lineRule="auto"/>
        <w:rPr>
          <w:rStyle w:val="Hyperlink"/>
          <w:color w:val="2F5496" w:themeColor="accent5" w:themeShade="BF"/>
          <w:u w:val="none"/>
        </w:rPr>
      </w:pPr>
      <w:hyperlink r:id="rId17" w:history="1">
        <w:r w:rsidR="002935C4">
          <w:rPr>
            <w:rStyle w:val="Hyperlink"/>
            <w:rFonts w:cstheme="minorHAnsi"/>
            <w:b/>
            <w:color w:val="2F5496" w:themeColor="accent5" w:themeShade="BF"/>
          </w:rPr>
          <w:t>AmpliSeq for Illumina: Overview</w:t>
        </w:r>
      </w:hyperlink>
    </w:p>
    <w:p w14:paraId="2521EBE2" w14:textId="77777777" w:rsidR="002935C4" w:rsidRDefault="00D43135" w:rsidP="002935C4">
      <w:pPr>
        <w:numPr>
          <w:ilvl w:val="2"/>
          <w:numId w:val="1"/>
        </w:numPr>
        <w:tabs>
          <w:tab w:val="left" w:pos="720"/>
        </w:tabs>
        <w:spacing w:after="0" w:line="240" w:lineRule="auto"/>
      </w:pPr>
      <w:hyperlink r:id="rId18" w:history="1">
        <w:r w:rsidR="002935C4">
          <w:rPr>
            <w:rStyle w:val="Hyperlink"/>
            <w:rFonts w:cstheme="minorHAnsi"/>
            <w:b/>
            <w:color w:val="2F5496" w:themeColor="accent5" w:themeShade="BF"/>
          </w:rPr>
          <w:t>Nextera DNA Flex Library Preparation</w:t>
        </w:r>
      </w:hyperlink>
      <w:r w:rsidR="002935C4">
        <w:rPr>
          <w:rFonts w:cstheme="minorHAnsi"/>
          <w:b/>
          <w:color w:val="2F5496" w:themeColor="accent5" w:themeShade="BF"/>
        </w:rPr>
        <w:t xml:space="preserve"> </w:t>
      </w:r>
    </w:p>
    <w:p w14:paraId="2162F97F" w14:textId="77777777" w:rsidR="002935C4" w:rsidRDefault="00D43135" w:rsidP="002935C4">
      <w:pPr>
        <w:numPr>
          <w:ilvl w:val="2"/>
          <w:numId w:val="1"/>
        </w:numPr>
        <w:tabs>
          <w:tab w:val="left" w:pos="720"/>
        </w:tabs>
        <w:spacing w:after="0" w:line="240" w:lineRule="auto"/>
        <w:rPr>
          <w:rFonts w:cstheme="minorHAnsi"/>
          <w:b/>
          <w:color w:val="2F5496" w:themeColor="accent5" w:themeShade="BF"/>
        </w:rPr>
      </w:pPr>
      <w:hyperlink r:id="rId19" w:history="1">
        <w:r w:rsidR="002935C4">
          <w:rPr>
            <w:rStyle w:val="Hyperlink"/>
            <w:rFonts w:cstheme="minorHAnsi"/>
            <w:b/>
            <w:color w:val="2F5496" w:themeColor="accent5" w:themeShade="BF"/>
          </w:rPr>
          <w:t>BaseSpace Sequence Hub: Introduction</w:t>
        </w:r>
      </w:hyperlink>
    </w:p>
    <w:p w14:paraId="6D0A400C" w14:textId="77777777" w:rsidR="002935C4" w:rsidRDefault="00D43135" w:rsidP="002935C4">
      <w:pPr>
        <w:numPr>
          <w:ilvl w:val="2"/>
          <w:numId w:val="1"/>
        </w:numPr>
        <w:tabs>
          <w:tab w:val="left" w:pos="720"/>
        </w:tabs>
        <w:spacing w:after="0" w:line="240" w:lineRule="auto"/>
        <w:rPr>
          <w:rFonts w:cstheme="minorHAnsi"/>
          <w:b/>
          <w:color w:val="2F5496" w:themeColor="accent5" w:themeShade="BF"/>
        </w:rPr>
      </w:pPr>
      <w:hyperlink r:id="rId20" w:history="1">
        <w:r w:rsidR="002935C4">
          <w:rPr>
            <w:rStyle w:val="Hyperlink"/>
            <w:rFonts w:cstheme="minorHAnsi"/>
            <w:b/>
            <w:bCs/>
            <w:color w:val="2F5496" w:themeColor="accent5" w:themeShade="BF"/>
            <w:shd w:val="clear" w:color="auto" w:fill="FFFFFF"/>
          </w:rPr>
          <w:t>Illumina Experiment Manager</w:t>
        </w:r>
      </w:hyperlink>
    </w:p>
    <w:p w14:paraId="3D47EE11" w14:textId="77777777" w:rsidR="002935C4" w:rsidRDefault="002935C4" w:rsidP="002935C4">
      <w:pPr>
        <w:numPr>
          <w:ilvl w:val="1"/>
          <w:numId w:val="1"/>
        </w:numPr>
        <w:tabs>
          <w:tab w:val="left" w:pos="720"/>
        </w:tabs>
        <w:spacing w:after="0" w:line="240" w:lineRule="auto"/>
        <w:rPr>
          <w:rFonts w:cstheme="minorHAnsi"/>
        </w:rPr>
      </w:pPr>
      <w:r>
        <w:rPr>
          <w:rFonts w:cstheme="minorHAnsi"/>
        </w:rPr>
        <w:t xml:space="preserve">Required Reading </w:t>
      </w:r>
      <w:r>
        <w:rPr>
          <w:rFonts w:cstheme="minorHAnsi"/>
          <w:i/>
          <w:color w:val="0070C0"/>
        </w:rPr>
        <w:t>(select the documents relevant to your lab processes; add other documents as appropriate)</w:t>
      </w:r>
    </w:p>
    <w:p w14:paraId="0B84D6A0" w14:textId="77777777" w:rsidR="002935C4" w:rsidRDefault="00D43135" w:rsidP="002935C4">
      <w:pPr>
        <w:numPr>
          <w:ilvl w:val="2"/>
          <w:numId w:val="1"/>
        </w:numPr>
        <w:tabs>
          <w:tab w:val="left" w:pos="720"/>
        </w:tabs>
        <w:spacing w:after="0" w:line="240" w:lineRule="auto"/>
        <w:rPr>
          <w:rStyle w:val="Hyperlink"/>
          <w:b/>
          <w:color w:val="2F5496" w:themeColor="accent5" w:themeShade="BF"/>
          <w:u w:val="none"/>
        </w:rPr>
      </w:pPr>
      <w:hyperlink r:id="rId21" w:history="1">
        <w:r w:rsidR="002935C4">
          <w:rPr>
            <w:rStyle w:val="Hyperlink"/>
            <w:rFonts w:eastAsia="Times New Roman" w:cstheme="minorHAnsi"/>
            <w:b/>
            <w:color w:val="2F5496" w:themeColor="accent5" w:themeShade="BF"/>
          </w:rPr>
          <w:t>iSeq 100: Sequencing System Guide</w:t>
        </w:r>
      </w:hyperlink>
    </w:p>
    <w:p w14:paraId="022A6071" w14:textId="77777777" w:rsidR="002935C4" w:rsidRDefault="00D43135" w:rsidP="002935C4">
      <w:pPr>
        <w:numPr>
          <w:ilvl w:val="2"/>
          <w:numId w:val="1"/>
        </w:numPr>
        <w:tabs>
          <w:tab w:val="left" w:pos="720"/>
        </w:tabs>
        <w:spacing w:after="0" w:line="240" w:lineRule="auto"/>
      </w:pPr>
      <w:hyperlink r:id="rId22" w:history="1">
        <w:r w:rsidR="002935C4">
          <w:rPr>
            <w:rStyle w:val="Hyperlink"/>
            <w:rFonts w:cstheme="minorHAnsi"/>
            <w:b/>
            <w:color w:val="2F5496" w:themeColor="accent5" w:themeShade="BF"/>
          </w:rPr>
          <w:t>Sequencing Library QC with the iSeq System</w:t>
        </w:r>
      </w:hyperlink>
    </w:p>
    <w:p w14:paraId="2EC277E3" w14:textId="77777777" w:rsidR="002935C4" w:rsidRDefault="00D43135" w:rsidP="002935C4">
      <w:pPr>
        <w:numPr>
          <w:ilvl w:val="2"/>
          <w:numId w:val="1"/>
        </w:numPr>
        <w:tabs>
          <w:tab w:val="left" w:pos="720"/>
        </w:tabs>
        <w:spacing w:after="0" w:line="240" w:lineRule="auto"/>
        <w:rPr>
          <w:rFonts w:cstheme="minorHAnsi"/>
          <w:b/>
          <w:color w:val="2F5496" w:themeColor="accent5" w:themeShade="BF"/>
        </w:rPr>
      </w:pPr>
      <w:hyperlink r:id="rId23" w:history="1">
        <w:r w:rsidR="002935C4">
          <w:rPr>
            <w:rStyle w:val="Hyperlink"/>
            <w:rFonts w:cstheme="minorHAnsi"/>
            <w:b/>
            <w:color w:val="2F5496" w:themeColor="accent5" w:themeShade="BF"/>
          </w:rPr>
          <w:t>iSeq 100 Sequencing System Safety and Compliance Guide</w:t>
        </w:r>
      </w:hyperlink>
    </w:p>
    <w:p w14:paraId="757E1914" w14:textId="77777777" w:rsidR="002935C4" w:rsidRDefault="00D43135" w:rsidP="002935C4">
      <w:pPr>
        <w:numPr>
          <w:ilvl w:val="2"/>
          <w:numId w:val="1"/>
        </w:numPr>
        <w:tabs>
          <w:tab w:val="left" w:pos="720"/>
        </w:tabs>
        <w:spacing w:after="0" w:line="240" w:lineRule="auto"/>
        <w:rPr>
          <w:rFonts w:cstheme="minorHAnsi"/>
          <w:b/>
          <w:color w:val="2F5496" w:themeColor="accent5" w:themeShade="BF"/>
        </w:rPr>
      </w:pPr>
      <w:hyperlink r:id="rId24" w:history="1">
        <w:r w:rsidR="002935C4">
          <w:rPr>
            <w:rStyle w:val="Hyperlink"/>
            <w:rFonts w:cstheme="minorHAnsi"/>
            <w:b/>
            <w:color w:val="2F5496" w:themeColor="accent5" w:themeShade="BF"/>
          </w:rPr>
          <w:t>iSeq 100 Sequencing System Site Prep Guide</w:t>
        </w:r>
      </w:hyperlink>
    </w:p>
    <w:p w14:paraId="01950E67" w14:textId="77777777" w:rsidR="002935C4" w:rsidRDefault="00D43135" w:rsidP="002935C4">
      <w:pPr>
        <w:numPr>
          <w:ilvl w:val="2"/>
          <w:numId w:val="1"/>
        </w:numPr>
        <w:tabs>
          <w:tab w:val="left" w:pos="720"/>
        </w:tabs>
        <w:spacing w:after="0" w:line="240" w:lineRule="auto"/>
        <w:rPr>
          <w:rFonts w:cstheme="minorHAnsi"/>
          <w:b/>
          <w:color w:val="2F5496" w:themeColor="accent5" w:themeShade="BF"/>
        </w:rPr>
      </w:pPr>
      <w:hyperlink r:id="rId25" w:history="1">
        <w:r w:rsidR="002935C4">
          <w:rPr>
            <w:rStyle w:val="Hyperlink"/>
            <w:rFonts w:cstheme="minorHAnsi"/>
            <w:b/>
            <w:color w:val="2F5496" w:themeColor="accent5" w:themeShade="BF"/>
          </w:rPr>
          <w:t>Indexed Sequencing Overview Guide</w:t>
        </w:r>
      </w:hyperlink>
    </w:p>
    <w:p w14:paraId="4E563BE4" w14:textId="77777777" w:rsidR="002935C4" w:rsidRDefault="00D43135" w:rsidP="002935C4">
      <w:pPr>
        <w:numPr>
          <w:ilvl w:val="2"/>
          <w:numId w:val="1"/>
        </w:numPr>
        <w:tabs>
          <w:tab w:val="left" w:pos="720"/>
        </w:tabs>
        <w:spacing w:after="0" w:line="240" w:lineRule="auto"/>
        <w:rPr>
          <w:rFonts w:cstheme="minorHAnsi"/>
          <w:b/>
          <w:color w:val="2F5496" w:themeColor="accent5" w:themeShade="BF"/>
        </w:rPr>
      </w:pPr>
      <w:hyperlink r:id="rId26" w:history="1">
        <w:r w:rsidR="002935C4">
          <w:rPr>
            <w:rStyle w:val="Hyperlink"/>
            <w:rFonts w:cs="Calibri"/>
            <w:b/>
            <w:color w:val="2F5496" w:themeColor="accent5" w:themeShade="BF"/>
          </w:rPr>
          <w:t>Cluster Optimization Overview Guide</w:t>
        </w:r>
      </w:hyperlink>
    </w:p>
    <w:p w14:paraId="5D4475B1" w14:textId="77777777" w:rsidR="002935C4" w:rsidRDefault="002935C4" w:rsidP="002935C4">
      <w:pPr>
        <w:tabs>
          <w:tab w:val="left" w:pos="720"/>
        </w:tabs>
        <w:spacing w:after="0" w:line="240" w:lineRule="auto"/>
        <w:ind w:left="1728"/>
        <w:rPr>
          <w:rFonts w:cstheme="minorHAnsi"/>
        </w:rPr>
      </w:pPr>
    </w:p>
    <w:p w14:paraId="2663E0C4" w14:textId="77777777" w:rsidR="002935C4" w:rsidRDefault="002935C4" w:rsidP="002935C4">
      <w:pPr>
        <w:numPr>
          <w:ilvl w:val="0"/>
          <w:numId w:val="1"/>
        </w:numPr>
        <w:tabs>
          <w:tab w:val="left" w:pos="1440"/>
        </w:tabs>
        <w:spacing w:after="0" w:line="240" w:lineRule="auto"/>
        <w:rPr>
          <w:rFonts w:cstheme="minorHAnsi"/>
          <w:b/>
        </w:rPr>
      </w:pPr>
      <w:r>
        <w:rPr>
          <w:rFonts w:cstheme="minorHAnsi"/>
          <w:b/>
        </w:rPr>
        <w:t>Equipment/Materials</w:t>
      </w:r>
    </w:p>
    <w:p w14:paraId="60B29465" w14:textId="77777777" w:rsidR="002935C4" w:rsidRDefault="002935C4" w:rsidP="002935C4">
      <w:pPr>
        <w:numPr>
          <w:ilvl w:val="1"/>
          <w:numId w:val="1"/>
        </w:numPr>
        <w:spacing w:after="0" w:line="240" w:lineRule="auto"/>
        <w:rPr>
          <w:rFonts w:cstheme="minorHAnsi"/>
        </w:rPr>
      </w:pPr>
      <w:r>
        <w:rPr>
          <w:rFonts w:cstheme="minorHAnsi"/>
        </w:rPr>
        <w:t>Illumina iSeq Sequencer</w:t>
      </w:r>
    </w:p>
    <w:p w14:paraId="3DF3D4B0" w14:textId="77777777" w:rsidR="002935C4" w:rsidRDefault="002935C4" w:rsidP="002935C4">
      <w:pPr>
        <w:numPr>
          <w:ilvl w:val="1"/>
          <w:numId w:val="1"/>
        </w:numPr>
        <w:spacing w:after="0" w:line="240" w:lineRule="auto"/>
        <w:rPr>
          <w:rFonts w:cstheme="minorHAnsi"/>
        </w:rPr>
      </w:pPr>
      <w:r>
        <w:rPr>
          <w:rFonts w:cstheme="minorHAnsi"/>
        </w:rPr>
        <w:t>Library preparation and sequencing reagents</w:t>
      </w:r>
    </w:p>
    <w:p w14:paraId="4E33304A" w14:textId="77777777" w:rsidR="002935C4" w:rsidRDefault="002935C4" w:rsidP="002935C4">
      <w:pPr>
        <w:tabs>
          <w:tab w:val="left" w:pos="1440"/>
        </w:tabs>
        <w:spacing w:after="0" w:line="240" w:lineRule="auto"/>
        <w:ind w:left="1296"/>
        <w:rPr>
          <w:rFonts w:cstheme="minorHAnsi"/>
        </w:rPr>
      </w:pPr>
    </w:p>
    <w:p w14:paraId="1CD0643F" w14:textId="77777777" w:rsidR="002935C4" w:rsidRDefault="002935C4" w:rsidP="002935C4">
      <w:pPr>
        <w:numPr>
          <w:ilvl w:val="0"/>
          <w:numId w:val="1"/>
        </w:numPr>
        <w:tabs>
          <w:tab w:val="left" w:pos="1440"/>
        </w:tabs>
        <w:spacing w:after="0" w:line="240" w:lineRule="auto"/>
        <w:rPr>
          <w:rFonts w:cstheme="minorHAnsi"/>
          <w:b/>
        </w:rPr>
      </w:pPr>
      <w:r>
        <w:rPr>
          <w:rFonts w:cstheme="minorHAnsi"/>
          <w:b/>
        </w:rPr>
        <w:t>Safety Precautions</w:t>
      </w:r>
    </w:p>
    <w:p w14:paraId="01A284CE" w14:textId="77777777" w:rsidR="002935C4" w:rsidRDefault="002935C4" w:rsidP="002935C4">
      <w:pPr>
        <w:numPr>
          <w:ilvl w:val="1"/>
          <w:numId w:val="1"/>
        </w:numPr>
        <w:tabs>
          <w:tab w:val="left" w:pos="720"/>
        </w:tabs>
        <w:spacing w:after="0" w:line="240" w:lineRule="auto"/>
        <w:rPr>
          <w:rFonts w:cstheme="minorHAnsi"/>
        </w:rPr>
      </w:pPr>
      <w:r>
        <w:rPr>
          <w:rFonts w:cstheme="minorHAnsi"/>
        </w:rPr>
        <w:t>All BSL-2 practices, safety equipment, and facility design must comply with the requirements listed in the most current version of Biosafety in Microbiology and Biomedical Laboratories.</w:t>
      </w:r>
    </w:p>
    <w:p w14:paraId="52CD83FD" w14:textId="77777777" w:rsidR="002935C4" w:rsidRDefault="002935C4" w:rsidP="002935C4">
      <w:pPr>
        <w:numPr>
          <w:ilvl w:val="1"/>
          <w:numId w:val="1"/>
        </w:numPr>
        <w:tabs>
          <w:tab w:val="left" w:pos="720"/>
        </w:tabs>
        <w:spacing w:after="0" w:line="240" w:lineRule="auto"/>
        <w:rPr>
          <w:rFonts w:cstheme="minorHAnsi"/>
        </w:rPr>
      </w:pPr>
      <w:r>
        <w:rPr>
          <w:rFonts w:cstheme="minorHAnsi"/>
        </w:rPr>
        <w:t>Appropriate PPE must be worn at all times when working in the laboratory, including laboratory coat, gloves, and safety glasses (if splashes are anticipated).</w:t>
      </w:r>
    </w:p>
    <w:p w14:paraId="314D60BF" w14:textId="77777777" w:rsidR="002935C4" w:rsidRDefault="002935C4" w:rsidP="002935C4">
      <w:pPr>
        <w:tabs>
          <w:tab w:val="left" w:pos="1440"/>
        </w:tabs>
        <w:rPr>
          <w:rFonts w:cstheme="minorHAnsi"/>
          <w:b/>
        </w:rPr>
      </w:pPr>
    </w:p>
    <w:p w14:paraId="00854A8B" w14:textId="77777777" w:rsidR="002935C4" w:rsidRDefault="002935C4" w:rsidP="002935C4">
      <w:pPr>
        <w:numPr>
          <w:ilvl w:val="0"/>
          <w:numId w:val="1"/>
        </w:numPr>
        <w:tabs>
          <w:tab w:val="left" w:pos="1440"/>
        </w:tabs>
        <w:spacing w:after="0" w:line="240" w:lineRule="auto"/>
        <w:rPr>
          <w:rFonts w:cstheme="minorHAnsi"/>
          <w:b/>
        </w:rPr>
      </w:pPr>
      <w:r>
        <w:rPr>
          <w:rFonts w:cstheme="minorHAnsi"/>
          <w:b/>
        </w:rPr>
        <w:t>Procedure</w:t>
      </w:r>
    </w:p>
    <w:p w14:paraId="14897118" w14:textId="77777777" w:rsidR="002935C4" w:rsidRDefault="002935C4" w:rsidP="002935C4">
      <w:pPr>
        <w:numPr>
          <w:ilvl w:val="1"/>
          <w:numId w:val="1"/>
        </w:numPr>
        <w:tabs>
          <w:tab w:val="left" w:pos="720"/>
        </w:tabs>
        <w:spacing w:after="0" w:line="240" w:lineRule="auto"/>
        <w:rPr>
          <w:rFonts w:cstheme="minorHAnsi"/>
        </w:rPr>
      </w:pPr>
      <w:r>
        <w:rPr>
          <w:rFonts w:cstheme="minorHAnsi"/>
        </w:rPr>
        <w:t>The trainee will build a basic understanding of iSeq Next Generation Sequencing (NGS) technology by:</w:t>
      </w:r>
    </w:p>
    <w:p w14:paraId="77C45AD7" w14:textId="77777777" w:rsidR="002935C4" w:rsidRDefault="002935C4" w:rsidP="002935C4">
      <w:pPr>
        <w:numPr>
          <w:ilvl w:val="2"/>
          <w:numId w:val="1"/>
        </w:numPr>
        <w:tabs>
          <w:tab w:val="left" w:pos="720"/>
        </w:tabs>
        <w:spacing w:after="0" w:line="240" w:lineRule="auto"/>
        <w:rPr>
          <w:rFonts w:cstheme="minorHAnsi"/>
        </w:rPr>
      </w:pPr>
      <w:r>
        <w:rPr>
          <w:rFonts w:cstheme="minorHAnsi"/>
        </w:rPr>
        <w:t>Reviewing the Illumina support training videos (5.4), and</w:t>
      </w:r>
    </w:p>
    <w:p w14:paraId="42DDED7E" w14:textId="77777777" w:rsidR="002935C4" w:rsidRDefault="002935C4" w:rsidP="002935C4">
      <w:pPr>
        <w:numPr>
          <w:ilvl w:val="2"/>
          <w:numId w:val="1"/>
        </w:numPr>
        <w:tabs>
          <w:tab w:val="left" w:pos="720"/>
        </w:tabs>
        <w:spacing w:after="0" w:line="240" w:lineRule="auto"/>
        <w:rPr>
          <w:rFonts w:cstheme="minorHAnsi"/>
        </w:rPr>
      </w:pPr>
      <w:r>
        <w:rPr>
          <w:rFonts w:cstheme="minorHAnsi"/>
        </w:rPr>
        <w:t>Completing the required reading (5.5).</w:t>
      </w:r>
    </w:p>
    <w:p w14:paraId="56ECD4E9" w14:textId="77777777" w:rsidR="002935C4" w:rsidRDefault="002935C4" w:rsidP="002935C4">
      <w:pPr>
        <w:numPr>
          <w:ilvl w:val="1"/>
          <w:numId w:val="1"/>
        </w:numPr>
        <w:tabs>
          <w:tab w:val="left" w:pos="720"/>
        </w:tabs>
        <w:spacing w:after="0" w:line="240" w:lineRule="auto"/>
        <w:rPr>
          <w:rFonts w:cstheme="minorHAnsi"/>
        </w:rPr>
      </w:pPr>
      <w:r>
        <w:rPr>
          <w:rFonts w:cstheme="minorHAnsi"/>
        </w:rPr>
        <w:t>The trainer will perform all steps within the sequencing SOP in the laboratory while the trainee observes.</w:t>
      </w:r>
    </w:p>
    <w:p w14:paraId="56B0DC30" w14:textId="77777777" w:rsidR="002935C4" w:rsidRDefault="002935C4" w:rsidP="002935C4">
      <w:pPr>
        <w:numPr>
          <w:ilvl w:val="2"/>
          <w:numId w:val="1"/>
        </w:numPr>
        <w:tabs>
          <w:tab w:val="left" w:pos="720"/>
        </w:tabs>
        <w:spacing w:after="0" w:line="240" w:lineRule="auto"/>
        <w:rPr>
          <w:rFonts w:cstheme="minorHAnsi"/>
        </w:rPr>
      </w:pPr>
      <w:r>
        <w:rPr>
          <w:rFonts w:cstheme="minorHAnsi"/>
        </w:rPr>
        <w:t>The trainer will verbally walk the trainee through the entire sequencing process from beginning to end using the operational SOP as a training guide (</w:t>
      </w:r>
      <w:r>
        <w:rPr>
          <w:rFonts w:cstheme="minorHAnsi"/>
          <w:b/>
        </w:rPr>
        <w:t>5.1</w:t>
      </w:r>
      <w:r>
        <w:rPr>
          <w:rFonts w:cstheme="minorHAnsi"/>
        </w:rPr>
        <w:t>).</w:t>
      </w:r>
    </w:p>
    <w:p w14:paraId="59FC0CB4" w14:textId="77777777" w:rsidR="002935C4" w:rsidRDefault="002935C4" w:rsidP="002935C4">
      <w:pPr>
        <w:numPr>
          <w:ilvl w:val="2"/>
          <w:numId w:val="1"/>
        </w:numPr>
        <w:tabs>
          <w:tab w:val="left" w:pos="720"/>
        </w:tabs>
        <w:spacing w:after="0" w:line="240" w:lineRule="auto"/>
        <w:rPr>
          <w:rFonts w:cstheme="minorHAnsi"/>
        </w:rPr>
      </w:pPr>
      <w:r>
        <w:rPr>
          <w:rFonts w:cstheme="minorHAnsi"/>
        </w:rPr>
        <w:t xml:space="preserve">This 1:1 review will cover initial sample quality control, preparing sample libraries, preparing the sequencing instrument, running the sequencing instrument, clean-up, and review of sequencing run quality control metrics. </w:t>
      </w:r>
    </w:p>
    <w:p w14:paraId="35804B7B" w14:textId="77777777" w:rsidR="002935C4" w:rsidRDefault="002935C4" w:rsidP="002935C4">
      <w:pPr>
        <w:numPr>
          <w:ilvl w:val="1"/>
          <w:numId w:val="1"/>
        </w:numPr>
        <w:tabs>
          <w:tab w:val="left" w:pos="720"/>
          <w:tab w:val="left" w:pos="1440"/>
        </w:tabs>
        <w:spacing w:after="0" w:line="240" w:lineRule="auto"/>
        <w:rPr>
          <w:rFonts w:cstheme="minorHAnsi"/>
        </w:rPr>
      </w:pPr>
      <w:r>
        <w:rPr>
          <w:rFonts w:cstheme="minorHAnsi"/>
        </w:rPr>
        <w:lastRenderedPageBreak/>
        <w:t xml:space="preserve">The trainee will perform all steps within the sequencing SOP under direct and full observation of the trainer. </w:t>
      </w:r>
    </w:p>
    <w:p w14:paraId="15DC6B5A" w14:textId="77777777" w:rsidR="002935C4" w:rsidRDefault="002935C4" w:rsidP="002935C4">
      <w:pPr>
        <w:numPr>
          <w:ilvl w:val="2"/>
          <w:numId w:val="1"/>
        </w:numPr>
        <w:tabs>
          <w:tab w:val="left" w:pos="720"/>
          <w:tab w:val="left" w:pos="1440"/>
        </w:tabs>
        <w:spacing w:after="0" w:line="240" w:lineRule="auto"/>
        <w:rPr>
          <w:rFonts w:cstheme="minorHAnsi"/>
        </w:rPr>
      </w:pPr>
      <w:r>
        <w:rPr>
          <w:rFonts w:cstheme="minorHAnsi"/>
        </w:rPr>
        <w:t>The trainer will quiz the trainee on multiple aspects of the protocol, including the questions below.</w:t>
      </w:r>
    </w:p>
    <w:p w14:paraId="440F21FA" w14:textId="77777777" w:rsidR="002935C4" w:rsidRDefault="002935C4" w:rsidP="002935C4">
      <w:pPr>
        <w:pStyle w:val="ListParagraph"/>
        <w:numPr>
          <w:ilvl w:val="3"/>
          <w:numId w:val="1"/>
        </w:numPr>
        <w:rPr>
          <w:rFonts w:asciiTheme="minorHAnsi" w:hAnsiTheme="minorHAnsi" w:cstheme="minorHAnsi"/>
          <w:sz w:val="22"/>
          <w:szCs w:val="22"/>
        </w:rPr>
      </w:pPr>
      <w:r>
        <w:rPr>
          <w:rFonts w:asciiTheme="minorHAnsi" w:hAnsiTheme="minorHAnsi" w:cstheme="minorHAnsi"/>
          <w:sz w:val="22"/>
          <w:szCs w:val="22"/>
        </w:rPr>
        <w:t>Why is fragment size important for producing high quality libraries?</w:t>
      </w:r>
    </w:p>
    <w:p w14:paraId="13975C33" w14:textId="77777777" w:rsidR="002935C4" w:rsidRDefault="002935C4" w:rsidP="002935C4">
      <w:pPr>
        <w:pStyle w:val="ListParagraph"/>
        <w:numPr>
          <w:ilvl w:val="3"/>
          <w:numId w:val="1"/>
        </w:numPr>
        <w:rPr>
          <w:rFonts w:asciiTheme="minorHAnsi" w:hAnsiTheme="minorHAnsi" w:cstheme="minorHAnsi"/>
          <w:i/>
          <w:color w:val="44546A" w:themeColor="text2"/>
          <w:sz w:val="22"/>
          <w:szCs w:val="22"/>
        </w:rPr>
      </w:pPr>
      <w:r>
        <w:rPr>
          <w:rFonts w:asciiTheme="minorHAnsi" w:hAnsiTheme="minorHAnsi" w:cstheme="minorHAnsi"/>
          <w:sz w:val="22"/>
          <w:szCs w:val="22"/>
        </w:rPr>
        <w:t>Describe Illumina’s on-board clustering technique.</w:t>
      </w:r>
    </w:p>
    <w:p w14:paraId="30B8C4FA" w14:textId="77777777" w:rsidR="002935C4" w:rsidRDefault="002935C4" w:rsidP="002935C4">
      <w:pPr>
        <w:pStyle w:val="ListParagraph"/>
        <w:numPr>
          <w:ilvl w:val="3"/>
          <w:numId w:val="1"/>
        </w:numPr>
        <w:rPr>
          <w:rFonts w:asciiTheme="minorHAnsi" w:hAnsiTheme="minorHAnsi" w:cstheme="minorHAnsi"/>
          <w:sz w:val="22"/>
          <w:szCs w:val="22"/>
        </w:rPr>
      </w:pPr>
      <w:r>
        <w:rPr>
          <w:rFonts w:asciiTheme="minorHAnsi" w:hAnsiTheme="minorHAnsi" w:cstheme="minorHAnsi"/>
          <w:sz w:val="22"/>
          <w:szCs w:val="22"/>
        </w:rPr>
        <w:t>What is an acceptable percentage of bases with a quality score greater than Q30 for a 2 x 150 bp run?</w:t>
      </w:r>
    </w:p>
    <w:p w14:paraId="3B698A5B" w14:textId="77777777" w:rsidR="002935C4" w:rsidRDefault="002935C4" w:rsidP="002935C4">
      <w:pPr>
        <w:pStyle w:val="ListParagraph"/>
        <w:numPr>
          <w:ilvl w:val="0"/>
          <w:numId w:val="3"/>
        </w:numPr>
        <w:rPr>
          <w:rFonts w:asciiTheme="minorHAnsi" w:hAnsiTheme="minorHAnsi" w:cstheme="minorHAnsi"/>
          <w:sz w:val="22"/>
          <w:szCs w:val="22"/>
        </w:rPr>
      </w:pPr>
      <w:r>
        <w:rPr>
          <w:rFonts w:asciiTheme="minorHAnsi" w:eastAsiaTheme="minorHAnsi" w:hAnsiTheme="minorHAnsi" w:cstheme="minorHAnsi"/>
          <w:sz w:val="22"/>
          <w:szCs w:val="22"/>
        </w:rPr>
        <w:t>Why would you add PhiX to the library and how much is appropriate to add for</w:t>
      </w:r>
      <w:r>
        <w:rPr>
          <w:rFonts w:asciiTheme="minorHAnsi" w:hAnsiTheme="minorHAnsi" w:cstheme="minorHAnsi"/>
          <w:color w:val="4472C4" w:themeColor="accent5"/>
          <w:sz w:val="22"/>
          <w:szCs w:val="22"/>
        </w:rPr>
        <w:t xml:space="preserve"> </w:t>
      </w:r>
      <w:r>
        <w:rPr>
          <w:rFonts w:asciiTheme="minorHAnsi" w:eastAsiaTheme="minorHAnsi" w:hAnsiTheme="minorHAnsi" w:cstheme="minorHAnsi"/>
          <w:sz w:val="22"/>
          <w:szCs w:val="22"/>
        </w:rPr>
        <w:t>an iSeq 100 run</w:t>
      </w:r>
      <w:r>
        <w:rPr>
          <w:rFonts w:asciiTheme="minorHAnsi" w:hAnsiTheme="minorHAnsi" w:cstheme="minorHAnsi"/>
          <w:sz w:val="22"/>
          <w:szCs w:val="22"/>
        </w:rPr>
        <w:t>?</w:t>
      </w:r>
    </w:p>
    <w:p w14:paraId="5AED8F3C" w14:textId="77777777" w:rsidR="002935C4" w:rsidRDefault="002935C4" w:rsidP="002935C4">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Why is the iSeq 100 cartridge inverted and then tapped on the benchtop prior to loading the library?</w:t>
      </w:r>
    </w:p>
    <w:p w14:paraId="669CEA41" w14:textId="77777777" w:rsidR="002935C4" w:rsidRDefault="002935C4" w:rsidP="002935C4">
      <w:pPr>
        <w:pStyle w:val="ListParagraph"/>
        <w:numPr>
          <w:ilvl w:val="0"/>
          <w:numId w:val="3"/>
        </w:numPr>
        <w:rPr>
          <w:rFonts w:asciiTheme="minorHAnsi" w:hAnsiTheme="minorHAnsi" w:cstheme="minorHAnsi"/>
          <w:sz w:val="22"/>
          <w:szCs w:val="22"/>
        </w:rPr>
      </w:pPr>
      <w:r>
        <w:rPr>
          <w:rFonts w:asciiTheme="minorHAnsi" w:hAnsiTheme="minorHAnsi" w:cstheme="minorHAnsi"/>
          <w:i/>
          <w:color w:val="0070C0"/>
          <w:sz w:val="22"/>
          <w:szCs w:val="22"/>
        </w:rPr>
        <w:t>Add additional questions the trainer should ask the trainee to determine level of understanding specific to your protocol.</w:t>
      </w:r>
    </w:p>
    <w:p w14:paraId="2CD3AA50" w14:textId="77777777" w:rsidR="002935C4" w:rsidRDefault="002935C4" w:rsidP="002935C4">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The trainer will review the trainee’s quality control data as described in the sequencing SOP (5.1) to assess the competency of the trainee.</w:t>
      </w:r>
    </w:p>
    <w:p w14:paraId="4F398BB7" w14:textId="77777777" w:rsidR="002935C4" w:rsidRDefault="002935C4" w:rsidP="002935C4">
      <w:pPr>
        <w:numPr>
          <w:ilvl w:val="1"/>
          <w:numId w:val="1"/>
        </w:numPr>
        <w:tabs>
          <w:tab w:val="left" w:pos="720"/>
        </w:tabs>
        <w:spacing w:after="0" w:line="240" w:lineRule="auto"/>
        <w:rPr>
          <w:rFonts w:cstheme="minorHAnsi"/>
        </w:rPr>
      </w:pPr>
      <w:r>
        <w:rPr>
          <w:rFonts w:cstheme="minorHAnsi"/>
        </w:rPr>
        <w:t>Once the trainee successfully performs a sequencing run under the observation of the trainer, the trainee will perform an unaccompanied sequencing run.</w:t>
      </w:r>
    </w:p>
    <w:p w14:paraId="6DB1BE59" w14:textId="77777777" w:rsidR="002935C4" w:rsidRDefault="002935C4" w:rsidP="002935C4">
      <w:pPr>
        <w:numPr>
          <w:ilvl w:val="2"/>
          <w:numId w:val="1"/>
        </w:numPr>
        <w:tabs>
          <w:tab w:val="left" w:pos="720"/>
          <w:tab w:val="left" w:pos="1440"/>
        </w:tabs>
        <w:spacing w:after="0" w:line="240" w:lineRule="auto"/>
        <w:rPr>
          <w:rFonts w:cstheme="minorHAnsi"/>
        </w:rPr>
      </w:pPr>
      <w:r>
        <w:rPr>
          <w:rFonts w:cstheme="minorHAnsi"/>
        </w:rPr>
        <w:t>The trainer will review the trainee’s quality control data as described in the sequencing SOP (5.1) to assess the competency of the trainee.</w:t>
      </w:r>
    </w:p>
    <w:p w14:paraId="56E0587D" w14:textId="77777777" w:rsidR="002935C4" w:rsidRDefault="002935C4" w:rsidP="002935C4">
      <w:pPr>
        <w:numPr>
          <w:ilvl w:val="1"/>
          <w:numId w:val="1"/>
        </w:numPr>
        <w:tabs>
          <w:tab w:val="left" w:pos="720"/>
        </w:tabs>
        <w:spacing w:after="0" w:line="240" w:lineRule="auto"/>
        <w:rPr>
          <w:rFonts w:cstheme="minorHAnsi"/>
        </w:rPr>
      </w:pPr>
      <w:r>
        <w:rPr>
          <w:rFonts w:cstheme="minorHAnsi"/>
        </w:rPr>
        <w:t>It is the responsibility of the primary user to ensure that preventative maintenance is scheduled and executed.</w:t>
      </w:r>
    </w:p>
    <w:p w14:paraId="77AF8C7F" w14:textId="77777777" w:rsidR="002935C4" w:rsidRDefault="002935C4" w:rsidP="002935C4">
      <w:pPr>
        <w:numPr>
          <w:ilvl w:val="2"/>
          <w:numId w:val="1"/>
        </w:numPr>
        <w:tabs>
          <w:tab w:val="left" w:pos="720"/>
          <w:tab w:val="left" w:pos="1440"/>
        </w:tabs>
        <w:spacing w:after="0" w:line="240" w:lineRule="auto"/>
        <w:rPr>
          <w:rFonts w:cstheme="minorHAnsi"/>
        </w:rPr>
      </w:pPr>
      <w:r>
        <w:rPr>
          <w:rFonts w:cstheme="minorHAnsi"/>
        </w:rPr>
        <w:t>The trainee will observe proper user performed preventive maintenance.</w:t>
      </w:r>
    </w:p>
    <w:p w14:paraId="24ADE338" w14:textId="77777777" w:rsidR="002935C4" w:rsidRDefault="002935C4" w:rsidP="002935C4">
      <w:pPr>
        <w:numPr>
          <w:ilvl w:val="2"/>
          <w:numId w:val="1"/>
        </w:numPr>
        <w:tabs>
          <w:tab w:val="left" w:pos="720"/>
          <w:tab w:val="left" w:pos="1440"/>
        </w:tabs>
        <w:spacing w:after="0" w:line="240" w:lineRule="auto"/>
        <w:rPr>
          <w:rFonts w:cstheme="minorHAnsi"/>
        </w:rPr>
      </w:pPr>
      <w:r>
        <w:rPr>
          <w:rFonts w:cstheme="minorHAnsi"/>
        </w:rPr>
        <w:t>The trainee will perform user performed preventive maintenance.</w:t>
      </w:r>
    </w:p>
    <w:p w14:paraId="3DF29138" w14:textId="77777777" w:rsidR="002935C4" w:rsidRDefault="002935C4" w:rsidP="002935C4">
      <w:pPr>
        <w:numPr>
          <w:ilvl w:val="2"/>
          <w:numId w:val="1"/>
        </w:numPr>
        <w:tabs>
          <w:tab w:val="left" w:pos="720"/>
          <w:tab w:val="left" w:pos="1440"/>
        </w:tabs>
        <w:spacing w:after="0" w:line="240" w:lineRule="auto"/>
        <w:rPr>
          <w:rFonts w:cstheme="minorHAnsi"/>
        </w:rPr>
      </w:pPr>
      <w:r>
        <w:rPr>
          <w:rFonts w:cstheme="minorHAnsi"/>
        </w:rPr>
        <w:t>The trainer will assess the trainee’s ability to properly maintain the instrument according to established maintenance procedures.</w:t>
      </w:r>
    </w:p>
    <w:p w14:paraId="1DB9DBD3" w14:textId="77777777" w:rsidR="002935C4" w:rsidRDefault="002935C4" w:rsidP="002935C4">
      <w:pPr>
        <w:tabs>
          <w:tab w:val="left" w:pos="720"/>
          <w:tab w:val="left" w:pos="1440"/>
        </w:tabs>
        <w:spacing w:after="0" w:line="240" w:lineRule="auto"/>
        <w:ind w:left="3420"/>
        <w:rPr>
          <w:rFonts w:cstheme="minorHAnsi"/>
        </w:rPr>
      </w:pPr>
    </w:p>
    <w:p w14:paraId="7E32F641" w14:textId="77777777" w:rsidR="002935C4" w:rsidRDefault="002935C4" w:rsidP="002935C4">
      <w:pPr>
        <w:numPr>
          <w:ilvl w:val="0"/>
          <w:numId w:val="1"/>
        </w:numPr>
        <w:tabs>
          <w:tab w:val="left" w:pos="1440"/>
        </w:tabs>
        <w:spacing w:after="0" w:line="240" w:lineRule="auto"/>
        <w:rPr>
          <w:rFonts w:cstheme="minorHAnsi"/>
          <w:b/>
        </w:rPr>
      </w:pPr>
      <w:r>
        <w:rPr>
          <w:rFonts w:cstheme="minorHAnsi"/>
          <w:b/>
        </w:rPr>
        <w:t>Continued Learning</w:t>
      </w:r>
    </w:p>
    <w:p w14:paraId="041E1C32" w14:textId="77777777" w:rsidR="002935C4" w:rsidRDefault="002935C4" w:rsidP="002935C4">
      <w:pPr>
        <w:numPr>
          <w:ilvl w:val="1"/>
          <w:numId w:val="1"/>
        </w:numPr>
        <w:tabs>
          <w:tab w:val="left" w:pos="720"/>
        </w:tabs>
        <w:spacing w:after="0" w:line="240" w:lineRule="auto"/>
        <w:rPr>
          <w:rFonts w:cstheme="minorHAnsi"/>
        </w:rPr>
      </w:pPr>
      <w:r>
        <w:rPr>
          <w:rFonts w:cstheme="minorHAnsi"/>
        </w:rPr>
        <w:t>Trainers and primary users should regularly attend Illumina iSeq webinars, read primary literature, and review new product releases.</w:t>
      </w:r>
    </w:p>
    <w:p w14:paraId="122C51F4" w14:textId="77777777" w:rsidR="002935C4" w:rsidRDefault="002935C4" w:rsidP="002935C4">
      <w:pPr>
        <w:numPr>
          <w:ilvl w:val="1"/>
          <w:numId w:val="1"/>
        </w:numPr>
        <w:tabs>
          <w:tab w:val="left" w:pos="720"/>
        </w:tabs>
        <w:spacing w:after="0" w:line="240" w:lineRule="auto"/>
        <w:rPr>
          <w:rFonts w:cstheme="minorHAnsi"/>
        </w:rPr>
      </w:pPr>
      <w:r>
        <w:rPr>
          <w:rFonts w:cstheme="minorHAnsi"/>
        </w:rPr>
        <w:t>It is expected that trainers will try new protocols in the laboratory and teach new skills to primary users on a semiannual basis.</w:t>
      </w:r>
    </w:p>
    <w:p w14:paraId="4950C26D" w14:textId="77777777" w:rsidR="002935C4" w:rsidRDefault="002935C4" w:rsidP="002935C4">
      <w:pPr>
        <w:rPr>
          <w:rFonts w:cstheme="minorHAnsi"/>
        </w:rPr>
      </w:pPr>
    </w:p>
    <w:p w14:paraId="3A3F9FB2" w14:textId="77777777" w:rsidR="002935C4" w:rsidRDefault="002935C4" w:rsidP="002935C4">
      <w:pPr>
        <w:pStyle w:val="ListParagraph"/>
        <w:numPr>
          <w:ilvl w:val="0"/>
          <w:numId w:val="1"/>
        </w:numPr>
        <w:tabs>
          <w:tab w:val="left" w:pos="1440"/>
        </w:tabs>
        <w:rPr>
          <w:rFonts w:asciiTheme="minorHAnsi" w:hAnsiTheme="minorHAnsi" w:cstheme="minorHAnsi"/>
          <w:b/>
          <w:sz w:val="22"/>
          <w:szCs w:val="22"/>
        </w:rPr>
      </w:pPr>
      <w:r>
        <w:rPr>
          <w:rFonts w:asciiTheme="minorHAnsi" w:hAnsiTheme="minorHAnsi" w:cstheme="minorHAnsi"/>
          <w:b/>
          <w:sz w:val="22"/>
          <w:szCs w:val="22"/>
        </w:rPr>
        <w:t>Appendices</w:t>
      </w:r>
    </w:p>
    <w:p w14:paraId="35DE502C" w14:textId="77777777" w:rsidR="002935C4" w:rsidRDefault="002935C4" w:rsidP="002935C4">
      <w:pPr>
        <w:tabs>
          <w:tab w:val="left" w:pos="1440"/>
        </w:tabs>
        <w:spacing w:after="0" w:line="240" w:lineRule="auto"/>
        <w:ind w:left="720"/>
        <w:rPr>
          <w:rFonts w:cstheme="minorHAnsi"/>
        </w:rPr>
      </w:pPr>
      <w:r>
        <w:rPr>
          <w:rFonts w:cstheme="minorHAnsi"/>
        </w:rPr>
        <w:t>Appendix A – Trainer Question and Answer Sheet</w:t>
      </w:r>
    </w:p>
    <w:p w14:paraId="2CB68007" w14:textId="77777777" w:rsidR="002935C4" w:rsidRDefault="002935C4" w:rsidP="002935C4">
      <w:pPr>
        <w:tabs>
          <w:tab w:val="left" w:pos="1440"/>
        </w:tabs>
        <w:spacing w:after="0" w:line="240" w:lineRule="auto"/>
        <w:ind w:left="720"/>
        <w:rPr>
          <w:rFonts w:cstheme="minorHAnsi"/>
          <w:b/>
        </w:rPr>
      </w:pPr>
    </w:p>
    <w:p w14:paraId="53CC552A" w14:textId="029EF6E1" w:rsidR="002935C4" w:rsidRPr="00106E5B" w:rsidRDefault="002935C4" w:rsidP="00106E5B">
      <w:pPr>
        <w:numPr>
          <w:ilvl w:val="0"/>
          <w:numId w:val="1"/>
        </w:numPr>
        <w:tabs>
          <w:tab w:val="left" w:pos="1440"/>
        </w:tabs>
        <w:spacing w:after="0" w:line="240" w:lineRule="auto"/>
        <w:rPr>
          <w:rFonts w:cstheme="minorHAnsi"/>
          <w:b/>
        </w:rPr>
      </w:pPr>
      <w:r>
        <w:rPr>
          <w:rFonts w:cstheme="minorHAnsi"/>
          <w:b/>
        </w:rPr>
        <w:t xml:space="preserve">Revision History </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900"/>
        <w:gridCol w:w="4590"/>
        <w:gridCol w:w="1530"/>
      </w:tblGrid>
      <w:tr w:rsidR="002935C4" w14:paraId="396829E2" w14:textId="77777777" w:rsidTr="002935C4">
        <w:tc>
          <w:tcPr>
            <w:tcW w:w="990" w:type="dxa"/>
            <w:tcBorders>
              <w:top w:val="single" w:sz="4" w:space="0" w:color="auto"/>
              <w:left w:val="single" w:sz="4" w:space="0" w:color="auto"/>
              <w:bottom w:val="single" w:sz="4" w:space="0" w:color="auto"/>
              <w:right w:val="single" w:sz="4" w:space="0" w:color="auto"/>
            </w:tcBorders>
            <w:shd w:val="clear" w:color="auto" w:fill="DBE5F1"/>
            <w:hideMark/>
          </w:tcPr>
          <w:p w14:paraId="60EC17EE" w14:textId="77777777" w:rsidR="002935C4" w:rsidRDefault="002935C4">
            <w:pPr>
              <w:tabs>
                <w:tab w:val="left" w:pos="720"/>
                <w:tab w:val="left" w:pos="1440"/>
              </w:tabs>
              <w:spacing w:line="276" w:lineRule="auto"/>
              <w:rPr>
                <w:rFonts w:cstheme="minorHAnsi"/>
                <w:b/>
              </w:rPr>
            </w:pPr>
            <w:r>
              <w:rPr>
                <w:rFonts w:cstheme="minorHAnsi"/>
                <w:b/>
              </w:rPr>
              <w:t>Rev #</w:t>
            </w:r>
            <w:r>
              <w:rPr>
                <w:rFonts w:cstheme="minorHAnsi"/>
                <w:b/>
              </w:rPr>
              <w:tab/>
            </w:r>
          </w:p>
        </w:tc>
        <w:tc>
          <w:tcPr>
            <w:tcW w:w="900" w:type="dxa"/>
            <w:tcBorders>
              <w:top w:val="single" w:sz="4" w:space="0" w:color="auto"/>
              <w:left w:val="single" w:sz="4" w:space="0" w:color="auto"/>
              <w:bottom w:val="single" w:sz="4" w:space="0" w:color="auto"/>
              <w:right w:val="single" w:sz="4" w:space="0" w:color="auto"/>
            </w:tcBorders>
            <w:shd w:val="clear" w:color="auto" w:fill="DBE5F1"/>
          </w:tcPr>
          <w:p w14:paraId="5C5EDFF9" w14:textId="77777777" w:rsidR="002935C4" w:rsidRDefault="002935C4">
            <w:pPr>
              <w:tabs>
                <w:tab w:val="left" w:pos="720"/>
                <w:tab w:val="left" w:pos="1440"/>
              </w:tabs>
              <w:spacing w:line="276" w:lineRule="auto"/>
              <w:rPr>
                <w:rFonts w:cstheme="minorHAnsi"/>
                <w:b/>
              </w:rPr>
            </w:pPr>
          </w:p>
        </w:tc>
        <w:tc>
          <w:tcPr>
            <w:tcW w:w="900" w:type="dxa"/>
            <w:tcBorders>
              <w:top w:val="single" w:sz="4" w:space="0" w:color="auto"/>
              <w:left w:val="single" w:sz="4" w:space="0" w:color="auto"/>
              <w:bottom w:val="single" w:sz="4" w:space="0" w:color="auto"/>
              <w:right w:val="single" w:sz="4" w:space="0" w:color="auto"/>
            </w:tcBorders>
            <w:shd w:val="clear" w:color="auto" w:fill="DBE5F1"/>
            <w:hideMark/>
          </w:tcPr>
          <w:p w14:paraId="3EC33D7B" w14:textId="77777777" w:rsidR="002935C4" w:rsidRDefault="002935C4">
            <w:pPr>
              <w:tabs>
                <w:tab w:val="left" w:pos="720"/>
                <w:tab w:val="left" w:pos="1440"/>
              </w:tabs>
              <w:spacing w:line="276" w:lineRule="auto"/>
              <w:rPr>
                <w:rFonts w:cstheme="minorHAnsi"/>
                <w:b/>
              </w:rPr>
            </w:pPr>
            <w:r>
              <w:rPr>
                <w:rFonts w:cstheme="minorHAnsi"/>
                <w:b/>
              </w:rPr>
              <w:t>DCR #</w:t>
            </w:r>
          </w:p>
        </w:tc>
        <w:tc>
          <w:tcPr>
            <w:tcW w:w="4590" w:type="dxa"/>
            <w:tcBorders>
              <w:top w:val="single" w:sz="4" w:space="0" w:color="auto"/>
              <w:left w:val="single" w:sz="4" w:space="0" w:color="auto"/>
              <w:bottom w:val="single" w:sz="4" w:space="0" w:color="auto"/>
              <w:right w:val="single" w:sz="4" w:space="0" w:color="auto"/>
            </w:tcBorders>
            <w:shd w:val="clear" w:color="auto" w:fill="DBE5F1"/>
            <w:hideMark/>
          </w:tcPr>
          <w:p w14:paraId="631A7258" w14:textId="77777777" w:rsidR="002935C4" w:rsidRDefault="002935C4">
            <w:pPr>
              <w:tabs>
                <w:tab w:val="left" w:pos="720"/>
                <w:tab w:val="left" w:pos="1440"/>
              </w:tabs>
              <w:spacing w:line="276" w:lineRule="auto"/>
              <w:rPr>
                <w:rFonts w:cstheme="minorHAnsi"/>
                <w:b/>
              </w:rPr>
            </w:pPr>
            <w:r>
              <w:rPr>
                <w:rFonts w:cstheme="minorHAnsi"/>
                <w:b/>
              </w:rPr>
              <w:t xml:space="preserve">Changes Made to Document </w:t>
            </w:r>
          </w:p>
        </w:tc>
        <w:tc>
          <w:tcPr>
            <w:tcW w:w="1530" w:type="dxa"/>
            <w:tcBorders>
              <w:top w:val="single" w:sz="4" w:space="0" w:color="auto"/>
              <w:left w:val="single" w:sz="4" w:space="0" w:color="auto"/>
              <w:bottom w:val="single" w:sz="4" w:space="0" w:color="auto"/>
              <w:right w:val="single" w:sz="4" w:space="0" w:color="auto"/>
            </w:tcBorders>
            <w:shd w:val="clear" w:color="auto" w:fill="DBE5F1"/>
            <w:hideMark/>
          </w:tcPr>
          <w:p w14:paraId="08A191EF" w14:textId="77777777" w:rsidR="002935C4" w:rsidRDefault="002935C4">
            <w:pPr>
              <w:tabs>
                <w:tab w:val="left" w:pos="720"/>
                <w:tab w:val="left" w:pos="1440"/>
              </w:tabs>
              <w:spacing w:line="276" w:lineRule="auto"/>
              <w:rPr>
                <w:rFonts w:cstheme="minorHAnsi"/>
                <w:b/>
              </w:rPr>
            </w:pPr>
            <w:r>
              <w:rPr>
                <w:rFonts w:cstheme="minorHAnsi"/>
                <w:b/>
              </w:rPr>
              <w:t xml:space="preserve">Date </w:t>
            </w:r>
          </w:p>
        </w:tc>
      </w:tr>
      <w:tr w:rsidR="002935C4" w14:paraId="43E823C5" w14:textId="77777777" w:rsidTr="002935C4">
        <w:tc>
          <w:tcPr>
            <w:tcW w:w="990" w:type="dxa"/>
            <w:tcBorders>
              <w:top w:val="single" w:sz="4" w:space="0" w:color="auto"/>
              <w:left w:val="single" w:sz="4" w:space="0" w:color="auto"/>
              <w:bottom w:val="single" w:sz="4" w:space="0" w:color="auto"/>
              <w:right w:val="single" w:sz="4" w:space="0" w:color="auto"/>
            </w:tcBorders>
          </w:tcPr>
          <w:p w14:paraId="6C1B9572" w14:textId="77777777" w:rsidR="002935C4" w:rsidRDefault="002935C4">
            <w:pPr>
              <w:tabs>
                <w:tab w:val="left" w:pos="720"/>
                <w:tab w:val="left" w:pos="1440"/>
              </w:tabs>
              <w:spacing w:line="276" w:lineRule="auto"/>
              <w:rPr>
                <w:rFonts w:cstheme="minorHAnsi"/>
                <w:i/>
                <w:color w:val="0070C0"/>
              </w:rPr>
            </w:pPr>
          </w:p>
        </w:tc>
        <w:tc>
          <w:tcPr>
            <w:tcW w:w="900" w:type="dxa"/>
            <w:tcBorders>
              <w:top w:val="single" w:sz="4" w:space="0" w:color="auto"/>
              <w:left w:val="single" w:sz="4" w:space="0" w:color="auto"/>
              <w:bottom w:val="single" w:sz="4" w:space="0" w:color="auto"/>
              <w:right w:val="single" w:sz="4" w:space="0" w:color="auto"/>
            </w:tcBorders>
          </w:tcPr>
          <w:p w14:paraId="79412827" w14:textId="77777777" w:rsidR="002935C4" w:rsidRDefault="002935C4">
            <w:pPr>
              <w:tabs>
                <w:tab w:val="left" w:pos="720"/>
                <w:tab w:val="left" w:pos="1440"/>
              </w:tabs>
              <w:spacing w:line="276" w:lineRule="auto"/>
              <w:rPr>
                <w:rFonts w:cstheme="minorHAnsi"/>
                <w:i/>
                <w:color w:val="0070C0"/>
              </w:rPr>
            </w:pPr>
          </w:p>
        </w:tc>
        <w:tc>
          <w:tcPr>
            <w:tcW w:w="900" w:type="dxa"/>
            <w:tcBorders>
              <w:top w:val="single" w:sz="4" w:space="0" w:color="auto"/>
              <w:left w:val="single" w:sz="4" w:space="0" w:color="auto"/>
              <w:bottom w:val="single" w:sz="4" w:space="0" w:color="auto"/>
              <w:right w:val="single" w:sz="4" w:space="0" w:color="auto"/>
            </w:tcBorders>
          </w:tcPr>
          <w:p w14:paraId="53AE562E" w14:textId="77777777" w:rsidR="002935C4" w:rsidRDefault="002935C4">
            <w:pPr>
              <w:tabs>
                <w:tab w:val="left" w:pos="720"/>
                <w:tab w:val="left" w:pos="1440"/>
              </w:tabs>
              <w:spacing w:line="276" w:lineRule="auto"/>
              <w:rPr>
                <w:rFonts w:cstheme="minorHAnsi"/>
                <w:i/>
                <w:color w:val="0070C0"/>
              </w:rPr>
            </w:pPr>
          </w:p>
        </w:tc>
        <w:tc>
          <w:tcPr>
            <w:tcW w:w="4590" w:type="dxa"/>
            <w:tcBorders>
              <w:top w:val="single" w:sz="4" w:space="0" w:color="auto"/>
              <w:left w:val="single" w:sz="4" w:space="0" w:color="auto"/>
              <w:bottom w:val="single" w:sz="4" w:space="0" w:color="auto"/>
              <w:right w:val="single" w:sz="4" w:space="0" w:color="auto"/>
            </w:tcBorders>
          </w:tcPr>
          <w:p w14:paraId="622CFFD8" w14:textId="77777777" w:rsidR="002935C4" w:rsidRDefault="002935C4">
            <w:pPr>
              <w:tabs>
                <w:tab w:val="left" w:pos="720"/>
                <w:tab w:val="left" w:pos="1440"/>
              </w:tabs>
              <w:spacing w:line="276" w:lineRule="auto"/>
              <w:rPr>
                <w:rFonts w:cstheme="minorHAnsi"/>
                <w:i/>
                <w:color w:val="0070C0"/>
              </w:rPr>
            </w:pPr>
          </w:p>
        </w:tc>
        <w:tc>
          <w:tcPr>
            <w:tcW w:w="1530" w:type="dxa"/>
            <w:tcBorders>
              <w:top w:val="single" w:sz="4" w:space="0" w:color="auto"/>
              <w:left w:val="single" w:sz="4" w:space="0" w:color="auto"/>
              <w:bottom w:val="single" w:sz="4" w:space="0" w:color="auto"/>
              <w:right w:val="single" w:sz="4" w:space="0" w:color="auto"/>
            </w:tcBorders>
          </w:tcPr>
          <w:p w14:paraId="735FF934" w14:textId="77777777" w:rsidR="002935C4" w:rsidRDefault="002935C4">
            <w:pPr>
              <w:tabs>
                <w:tab w:val="left" w:pos="720"/>
                <w:tab w:val="left" w:pos="1440"/>
              </w:tabs>
              <w:spacing w:line="276" w:lineRule="auto"/>
              <w:rPr>
                <w:rFonts w:cstheme="minorHAnsi"/>
                <w:i/>
                <w:color w:val="0070C0"/>
              </w:rPr>
            </w:pPr>
          </w:p>
        </w:tc>
      </w:tr>
    </w:tbl>
    <w:p w14:paraId="3BB11B5A" w14:textId="77777777" w:rsidR="002935C4" w:rsidRDefault="002935C4" w:rsidP="002935C4">
      <w:pPr>
        <w:rPr>
          <w:rFonts w:cstheme="minorHAnsi"/>
        </w:rPr>
      </w:pPr>
    </w:p>
    <w:p w14:paraId="14731CEC" w14:textId="77777777" w:rsidR="002935C4" w:rsidRDefault="002935C4" w:rsidP="002935C4">
      <w:pPr>
        <w:numPr>
          <w:ilvl w:val="0"/>
          <w:numId w:val="1"/>
        </w:numPr>
        <w:tabs>
          <w:tab w:val="left" w:pos="1440"/>
        </w:tabs>
        <w:spacing w:after="0" w:line="240" w:lineRule="auto"/>
        <w:rPr>
          <w:rFonts w:cstheme="minorHAnsi"/>
          <w:b/>
        </w:rPr>
      </w:pPr>
      <w:r>
        <w:rPr>
          <w:rFonts w:cstheme="minorHAnsi"/>
          <w:b/>
        </w:rPr>
        <w:t xml:space="preserve">Approval </w:t>
      </w:r>
    </w:p>
    <w:p w14:paraId="1F293951" w14:textId="77777777" w:rsidR="002935C4" w:rsidRDefault="002935C4" w:rsidP="002935C4">
      <w:pPr>
        <w:tabs>
          <w:tab w:val="left" w:pos="720"/>
          <w:tab w:val="left" w:pos="1440"/>
        </w:tabs>
        <w:spacing w:line="240" w:lineRule="auto"/>
        <w:ind w:left="720"/>
        <w:rPr>
          <w:rFonts w:cstheme="minorHAnsi"/>
          <w:u w:val="single"/>
        </w:rPr>
      </w:pPr>
      <w:r>
        <w:rPr>
          <w:rFonts w:cstheme="minorHAnsi"/>
        </w:rPr>
        <w:t xml:space="preserve">Approved By: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Date: </w:t>
      </w:r>
      <w:r>
        <w:rPr>
          <w:rFonts w:cstheme="minorHAnsi"/>
          <w:u w:val="single"/>
        </w:rPr>
        <w:tab/>
      </w:r>
      <w:r>
        <w:rPr>
          <w:rFonts w:cstheme="minorHAnsi"/>
          <w:u w:val="single"/>
        </w:rPr>
        <w:tab/>
      </w:r>
      <w:r>
        <w:rPr>
          <w:rFonts w:cstheme="minorHAnsi"/>
          <w:u w:val="single"/>
        </w:rPr>
        <w:tab/>
      </w:r>
    </w:p>
    <w:p w14:paraId="0B889904" w14:textId="77777777" w:rsidR="002935C4" w:rsidRDefault="002935C4" w:rsidP="002935C4">
      <w:pPr>
        <w:tabs>
          <w:tab w:val="left" w:pos="720"/>
          <w:tab w:val="left" w:pos="1440"/>
        </w:tabs>
        <w:spacing w:line="240" w:lineRule="auto"/>
        <w:ind w:left="720"/>
        <w:rPr>
          <w:rFonts w:cstheme="minorHAnsi"/>
        </w:rPr>
      </w:pPr>
      <w:r>
        <w:rPr>
          <w:rFonts w:cstheme="minorHAnsi"/>
        </w:rPr>
        <w:tab/>
      </w:r>
      <w:r>
        <w:rPr>
          <w:rFonts w:cstheme="minorHAnsi"/>
        </w:rPr>
        <w:tab/>
        <w:t>Author</w:t>
      </w:r>
    </w:p>
    <w:p w14:paraId="1262F7F6" w14:textId="77777777" w:rsidR="002935C4" w:rsidRDefault="002935C4" w:rsidP="002935C4">
      <w:pPr>
        <w:tabs>
          <w:tab w:val="left" w:pos="720"/>
          <w:tab w:val="left" w:pos="1440"/>
        </w:tabs>
        <w:spacing w:line="240" w:lineRule="auto"/>
        <w:ind w:left="720"/>
        <w:rPr>
          <w:rFonts w:cstheme="minorHAnsi"/>
          <w:u w:val="single"/>
        </w:rPr>
      </w:pPr>
      <w:r>
        <w:rPr>
          <w:rFonts w:cstheme="minorHAnsi"/>
        </w:rPr>
        <w:lastRenderedPageBreak/>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79CF531C" w14:textId="77777777" w:rsidR="002935C4" w:rsidRDefault="002935C4" w:rsidP="002935C4">
      <w:pPr>
        <w:tabs>
          <w:tab w:val="left" w:pos="720"/>
          <w:tab w:val="left" w:pos="1440"/>
        </w:tabs>
        <w:spacing w:line="240" w:lineRule="auto"/>
        <w:ind w:left="720"/>
        <w:rPr>
          <w:rFonts w:cstheme="minorHAnsi"/>
        </w:rPr>
      </w:pPr>
      <w:r>
        <w:rPr>
          <w:rFonts w:cstheme="minorHAnsi"/>
        </w:rPr>
        <w:tab/>
      </w:r>
      <w:r>
        <w:rPr>
          <w:rFonts w:cstheme="minorHAnsi"/>
        </w:rPr>
        <w:tab/>
        <w:t>Print Name and Title</w:t>
      </w:r>
    </w:p>
    <w:p w14:paraId="21B44299" w14:textId="77777777" w:rsidR="002935C4" w:rsidRDefault="002935C4" w:rsidP="002935C4">
      <w:pPr>
        <w:tabs>
          <w:tab w:val="left" w:pos="720"/>
          <w:tab w:val="left" w:pos="1440"/>
        </w:tabs>
        <w:spacing w:line="240" w:lineRule="auto"/>
        <w:ind w:left="720"/>
        <w:rPr>
          <w:rFonts w:cstheme="minorHAnsi"/>
          <w:u w:val="single"/>
        </w:rPr>
      </w:pPr>
      <w:r>
        <w:rPr>
          <w:rFonts w:cstheme="minorHAnsi"/>
        </w:rPr>
        <w:t xml:space="preserve">Approved By: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Date: </w:t>
      </w:r>
      <w:r>
        <w:rPr>
          <w:rFonts w:cstheme="minorHAnsi"/>
          <w:u w:val="single"/>
        </w:rPr>
        <w:tab/>
      </w:r>
      <w:r>
        <w:rPr>
          <w:rFonts w:cstheme="minorHAnsi"/>
          <w:u w:val="single"/>
        </w:rPr>
        <w:tab/>
      </w:r>
      <w:r>
        <w:rPr>
          <w:rFonts w:cstheme="minorHAnsi"/>
          <w:u w:val="single"/>
        </w:rPr>
        <w:tab/>
      </w:r>
    </w:p>
    <w:p w14:paraId="1B6BB0F0" w14:textId="77777777" w:rsidR="002935C4" w:rsidRDefault="002935C4" w:rsidP="002935C4">
      <w:pPr>
        <w:tabs>
          <w:tab w:val="left" w:pos="720"/>
          <w:tab w:val="left" w:pos="1440"/>
        </w:tabs>
        <w:spacing w:line="240" w:lineRule="auto"/>
        <w:ind w:left="720"/>
        <w:rPr>
          <w:rFonts w:cstheme="minorHAnsi"/>
        </w:rPr>
      </w:pPr>
      <w:r>
        <w:rPr>
          <w:rFonts w:cstheme="minorHAnsi"/>
        </w:rPr>
        <w:tab/>
      </w:r>
      <w:r>
        <w:rPr>
          <w:rFonts w:cstheme="minorHAnsi"/>
        </w:rPr>
        <w:tab/>
        <w:t>Technical Reviewer</w:t>
      </w:r>
    </w:p>
    <w:p w14:paraId="0D6FBA5C" w14:textId="77777777" w:rsidR="002935C4" w:rsidRDefault="002935C4" w:rsidP="002935C4">
      <w:pPr>
        <w:tabs>
          <w:tab w:val="left" w:pos="720"/>
          <w:tab w:val="left" w:pos="1440"/>
        </w:tabs>
        <w:spacing w:line="240" w:lineRule="auto"/>
        <w:ind w:left="720"/>
        <w:rPr>
          <w:rFonts w:cstheme="minorHAnsi"/>
          <w:u w:val="single"/>
        </w:rPr>
      </w:pPr>
      <w:r>
        <w:rPr>
          <w:rFonts w:cstheme="minorHAnsi"/>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124D26BA" w14:textId="77777777" w:rsidR="002935C4" w:rsidRDefault="002935C4" w:rsidP="002935C4">
      <w:pPr>
        <w:tabs>
          <w:tab w:val="left" w:pos="720"/>
          <w:tab w:val="left" w:pos="1440"/>
        </w:tabs>
        <w:spacing w:line="240" w:lineRule="auto"/>
        <w:ind w:left="720"/>
        <w:rPr>
          <w:rFonts w:cstheme="minorHAnsi"/>
        </w:rPr>
      </w:pPr>
      <w:r>
        <w:rPr>
          <w:rFonts w:cstheme="minorHAnsi"/>
        </w:rPr>
        <w:tab/>
      </w:r>
      <w:r>
        <w:rPr>
          <w:rFonts w:cstheme="minorHAnsi"/>
        </w:rPr>
        <w:tab/>
        <w:t>Print Name and Title</w:t>
      </w:r>
    </w:p>
    <w:p w14:paraId="34D3761A" w14:textId="77777777" w:rsidR="002935C4" w:rsidRDefault="002935C4" w:rsidP="002935C4">
      <w:pPr>
        <w:tabs>
          <w:tab w:val="left" w:pos="720"/>
          <w:tab w:val="left" w:pos="1440"/>
        </w:tabs>
        <w:spacing w:line="240" w:lineRule="auto"/>
        <w:ind w:left="720"/>
        <w:rPr>
          <w:rFonts w:cstheme="minorHAnsi"/>
        </w:rPr>
      </w:pPr>
    </w:p>
    <w:p w14:paraId="2F6696B1" w14:textId="77777777" w:rsidR="002935C4" w:rsidRDefault="002935C4" w:rsidP="002935C4">
      <w:pPr>
        <w:tabs>
          <w:tab w:val="left" w:pos="720"/>
          <w:tab w:val="left" w:pos="1440"/>
        </w:tabs>
        <w:spacing w:line="240" w:lineRule="auto"/>
        <w:ind w:left="720"/>
        <w:rPr>
          <w:rFonts w:cstheme="minorHAnsi"/>
          <w:u w:val="single"/>
        </w:rPr>
      </w:pPr>
      <w:r>
        <w:rPr>
          <w:rFonts w:cstheme="minorHAnsi"/>
        </w:rPr>
        <w:t xml:space="preserve">Approved By: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Date: </w:t>
      </w:r>
      <w:r>
        <w:rPr>
          <w:rFonts w:cstheme="minorHAnsi"/>
          <w:u w:val="single"/>
        </w:rPr>
        <w:tab/>
      </w:r>
      <w:r>
        <w:rPr>
          <w:rFonts w:cstheme="minorHAnsi"/>
          <w:u w:val="single"/>
        </w:rPr>
        <w:tab/>
      </w:r>
      <w:r>
        <w:rPr>
          <w:rFonts w:cstheme="minorHAnsi"/>
          <w:u w:val="single"/>
        </w:rPr>
        <w:tab/>
      </w:r>
    </w:p>
    <w:p w14:paraId="0DAFD693" w14:textId="77777777" w:rsidR="002935C4" w:rsidRDefault="002935C4" w:rsidP="002935C4">
      <w:pPr>
        <w:tabs>
          <w:tab w:val="left" w:pos="720"/>
          <w:tab w:val="left" w:pos="1440"/>
        </w:tabs>
        <w:spacing w:line="240" w:lineRule="auto"/>
        <w:ind w:left="720"/>
        <w:rPr>
          <w:rFonts w:cstheme="minorHAnsi"/>
        </w:rPr>
      </w:pPr>
      <w:r>
        <w:rPr>
          <w:rFonts w:cstheme="minorHAnsi"/>
        </w:rPr>
        <w:tab/>
      </w:r>
      <w:r>
        <w:rPr>
          <w:rFonts w:cstheme="minorHAnsi"/>
        </w:rPr>
        <w:tab/>
        <w:t>Quality Manager / Designee</w:t>
      </w:r>
    </w:p>
    <w:p w14:paraId="2DC789D0" w14:textId="77777777" w:rsidR="002935C4" w:rsidRDefault="002935C4" w:rsidP="002935C4">
      <w:pPr>
        <w:tabs>
          <w:tab w:val="left" w:pos="720"/>
          <w:tab w:val="left" w:pos="1440"/>
        </w:tabs>
        <w:spacing w:line="240" w:lineRule="auto"/>
        <w:ind w:left="720"/>
        <w:rPr>
          <w:rFonts w:cstheme="minorHAnsi"/>
          <w:u w:val="single"/>
        </w:rPr>
      </w:pPr>
      <w:r>
        <w:rPr>
          <w:rFonts w:cstheme="minorHAnsi"/>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AFEC42E" w14:textId="77777777" w:rsidR="002935C4" w:rsidRDefault="002935C4" w:rsidP="002935C4">
      <w:pPr>
        <w:spacing w:line="240" w:lineRule="auto"/>
        <w:rPr>
          <w:rFonts w:cstheme="minorHAnsi"/>
        </w:rPr>
      </w:pPr>
      <w:r>
        <w:rPr>
          <w:rFonts w:cstheme="minorHAnsi"/>
        </w:rPr>
        <w:tab/>
      </w:r>
      <w:r>
        <w:rPr>
          <w:rFonts w:cstheme="minorHAnsi"/>
        </w:rPr>
        <w:tab/>
      </w:r>
      <w:r>
        <w:rPr>
          <w:rFonts w:cstheme="minorHAnsi"/>
        </w:rPr>
        <w:tab/>
        <w:t>Print Name and Title</w:t>
      </w:r>
    </w:p>
    <w:p w14:paraId="7AB90DD2" w14:textId="77777777" w:rsidR="002935C4" w:rsidRDefault="002935C4" w:rsidP="002935C4">
      <w:pPr>
        <w:spacing w:line="240" w:lineRule="auto"/>
      </w:pPr>
    </w:p>
    <w:p w14:paraId="28542DD2" w14:textId="77777777" w:rsidR="002935C4" w:rsidRDefault="002935C4" w:rsidP="002935C4">
      <w:pPr>
        <w:spacing w:line="240" w:lineRule="auto"/>
      </w:pPr>
    </w:p>
    <w:p w14:paraId="406EA6EF" w14:textId="77777777" w:rsidR="002935C4" w:rsidRDefault="002935C4" w:rsidP="002935C4">
      <w:pPr>
        <w:spacing w:line="240" w:lineRule="auto"/>
      </w:pPr>
    </w:p>
    <w:p w14:paraId="7006E9E6" w14:textId="77777777" w:rsidR="002935C4" w:rsidRDefault="002935C4" w:rsidP="002935C4">
      <w:pPr>
        <w:spacing w:line="240" w:lineRule="auto"/>
      </w:pPr>
    </w:p>
    <w:p w14:paraId="54481CE8" w14:textId="77777777" w:rsidR="002935C4" w:rsidRDefault="002935C4" w:rsidP="002935C4">
      <w:pPr>
        <w:spacing w:line="240" w:lineRule="auto"/>
      </w:pPr>
    </w:p>
    <w:p w14:paraId="6D89CFF6" w14:textId="77777777" w:rsidR="002935C4" w:rsidRDefault="002935C4" w:rsidP="002935C4">
      <w:pPr>
        <w:spacing w:line="240" w:lineRule="auto"/>
      </w:pPr>
    </w:p>
    <w:p w14:paraId="5AFC0ED8" w14:textId="77777777" w:rsidR="002935C4" w:rsidRDefault="002935C4" w:rsidP="002935C4">
      <w:pPr>
        <w:spacing w:line="240" w:lineRule="auto"/>
      </w:pPr>
    </w:p>
    <w:p w14:paraId="12D265B0" w14:textId="77777777" w:rsidR="002935C4" w:rsidRDefault="002935C4" w:rsidP="002935C4">
      <w:pPr>
        <w:spacing w:line="240" w:lineRule="auto"/>
      </w:pPr>
    </w:p>
    <w:p w14:paraId="2C93D606" w14:textId="77777777" w:rsidR="002935C4" w:rsidRDefault="002935C4" w:rsidP="002935C4">
      <w:pPr>
        <w:spacing w:line="240" w:lineRule="auto"/>
      </w:pPr>
    </w:p>
    <w:p w14:paraId="3E8669CA" w14:textId="77777777" w:rsidR="002935C4" w:rsidRDefault="002935C4" w:rsidP="002935C4">
      <w:pPr>
        <w:spacing w:line="240" w:lineRule="auto"/>
      </w:pPr>
    </w:p>
    <w:p w14:paraId="45953A68" w14:textId="77777777" w:rsidR="002935C4" w:rsidRDefault="002935C4" w:rsidP="002935C4">
      <w:pPr>
        <w:spacing w:line="240" w:lineRule="auto"/>
      </w:pPr>
    </w:p>
    <w:p w14:paraId="08EE8153" w14:textId="77777777" w:rsidR="002935C4" w:rsidRDefault="002935C4" w:rsidP="002935C4">
      <w:pPr>
        <w:spacing w:line="240" w:lineRule="auto"/>
      </w:pPr>
    </w:p>
    <w:p w14:paraId="40E402F3" w14:textId="77777777" w:rsidR="002935C4" w:rsidRDefault="002935C4" w:rsidP="002935C4">
      <w:pPr>
        <w:spacing w:line="240" w:lineRule="auto"/>
      </w:pPr>
    </w:p>
    <w:p w14:paraId="06520E28" w14:textId="77777777" w:rsidR="002935C4" w:rsidRDefault="002935C4" w:rsidP="002935C4">
      <w:pPr>
        <w:spacing w:line="240" w:lineRule="auto"/>
      </w:pPr>
    </w:p>
    <w:p w14:paraId="14F5BAE6" w14:textId="77777777" w:rsidR="002935C4" w:rsidRDefault="002935C4" w:rsidP="002935C4">
      <w:pPr>
        <w:spacing w:line="240" w:lineRule="auto"/>
      </w:pPr>
    </w:p>
    <w:p w14:paraId="320FBD08" w14:textId="77777777" w:rsidR="002935C4" w:rsidRDefault="002935C4" w:rsidP="002935C4">
      <w:pPr>
        <w:spacing w:line="240" w:lineRule="auto"/>
      </w:pPr>
    </w:p>
    <w:p w14:paraId="482FD569" w14:textId="457623E3" w:rsidR="002935C4" w:rsidRDefault="002935C4" w:rsidP="002935C4">
      <w:pPr>
        <w:spacing w:line="240" w:lineRule="auto"/>
      </w:pPr>
    </w:p>
    <w:p w14:paraId="604B9946" w14:textId="77777777" w:rsidR="00C734C6" w:rsidRDefault="00C734C6" w:rsidP="002935C4">
      <w:pPr>
        <w:spacing w:line="240" w:lineRule="auto"/>
      </w:pPr>
    </w:p>
    <w:p w14:paraId="0EB7ACCB" w14:textId="77777777" w:rsidR="00911E8C" w:rsidRDefault="00911E8C" w:rsidP="002935C4">
      <w:pPr>
        <w:rPr>
          <w:rFonts w:cstheme="minorHAnsi"/>
          <w:b/>
        </w:rPr>
      </w:pPr>
    </w:p>
    <w:p w14:paraId="6E1AFE06" w14:textId="1D277B73" w:rsidR="002935C4" w:rsidRDefault="002935C4" w:rsidP="002935C4">
      <w:pPr>
        <w:rPr>
          <w:rFonts w:cstheme="minorHAnsi"/>
          <w:b/>
        </w:rPr>
      </w:pPr>
      <w:r>
        <w:rPr>
          <w:rFonts w:cstheme="minorHAnsi"/>
          <w:b/>
        </w:rPr>
        <w:lastRenderedPageBreak/>
        <w:t xml:space="preserve">Appendix A – Trainee Answer Sheet </w:t>
      </w:r>
    </w:p>
    <w:p w14:paraId="1C902711" w14:textId="77777777" w:rsidR="002935C4" w:rsidRDefault="002935C4" w:rsidP="002935C4">
      <w:pPr>
        <w:rPr>
          <w:rFonts w:cstheme="minorHAnsi"/>
          <w:b/>
        </w:rPr>
      </w:pPr>
      <w:r>
        <w:rPr>
          <w:rFonts w:cstheme="minorHAnsi"/>
          <w:b/>
        </w:rPr>
        <w:t>Why is fragment size important for producing high quality libraries?</w:t>
      </w:r>
    </w:p>
    <w:p w14:paraId="61376674" w14:textId="77777777" w:rsidR="002935C4" w:rsidRDefault="002935C4" w:rsidP="002935C4">
      <w:pPr>
        <w:rPr>
          <w:rFonts w:cstheme="minorHAnsi"/>
          <w:i/>
          <w:color w:val="44546A" w:themeColor="text2"/>
        </w:rPr>
      </w:pPr>
      <w:r>
        <w:rPr>
          <w:rFonts w:cstheme="minorHAnsi"/>
          <w:i/>
          <w:color w:val="44546A" w:themeColor="text2"/>
        </w:rPr>
        <w:t>High-quality size selection can boost sequencing efficiency, improve assemblies, and allow sequencing of low-input samples. iSeq operates best when fed DNA libraries that contain fragments of similar sizes, when fragments have been improperly size selected efficiency is compromised. For example, it might take two lanes of sequencing to accomplish what could have been done in a single lane when a well sized library is selected.</w:t>
      </w:r>
    </w:p>
    <w:p w14:paraId="25626196" w14:textId="77777777" w:rsidR="002935C4" w:rsidRDefault="002935C4" w:rsidP="002935C4">
      <w:pPr>
        <w:rPr>
          <w:rFonts w:cstheme="minorHAnsi"/>
          <w:i/>
          <w:color w:val="44546A" w:themeColor="text2"/>
        </w:rPr>
      </w:pPr>
      <w:r>
        <w:rPr>
          <w:rFonts w:cstheme="minorHAnsi"/>
          <w:b/>
        </w:rPr>
        <w:t>Describe Illumina’s on-board clustering technique.</w:t>
      </w:r>
    </w:p>
    <w:p w14:paraId="4A466B1E" w14:textId="77777777" w:rsidR="002935C4" w:rsidRDefault="002935C4" w:rsidP="002935C4">
      <w:pPr>
        <w:rPr>
          <w:rFonts w:cstheme="minorHAnsi"/>
          <w:i/>
          <w:color w:val="44546A" w:themeColor="text2"/>
        </w:rPr>
      </w:pPr>
      <w:r>
        <w:rPr>
          <w:rFonts w:cstheme="minorHAnsi"/>
          <w:i/>
          <w:color w:val="44546A" w:themeColor="text2"/>
        </w:rPr>
        <w:t>A cluster is a clonal group of DNA strands generated from the library fragments that attach to a flow cell. Each cluster will produce one single read or one paired-end read.</w:t>
      </w:r>
    </w:p>
    <w:p w14:paraId="0A883D83" w14:textId="77777777" w:rsidR="002935C4" w:rsidRDefault="002935C4" w:rsidP="002935C4">
      <w:pPr>
        <w:rPr>
          <w:rFonts w:cstheme="minorHAnsi"/>
          <w:i/>
          <w:color w:val="44546A" w:themeColor="text2"/>
        </w:rPr>
      </w:pPr>
      <w:r>
        <w:rPr>
          <w:rFonts w:cstheme="minorHAnsi"/>
          <w:i/>
          <w:color w:val="44546A" w:themeColor="text2"/>
        </w:rPr>
        <w:t xml:space="preserve">During clustering, each strand of the library will bind to the flow cell. This template is amplified until the cluster consists of many copies. During a run the location and number of clusters is fixed. Each fragment is tagged with a fluorescent-labeled nucleotide by an incorporation mix that flows through the cell. Light is emitted which is detected by sensors in the instrument which results in base calls from each cluster. </w:t>
      </w:r>
    </w:p>
    <w:p w14:paraId="27AC7560" w14:textId="77777777" w:rsidR="002935C4" w:rsidRDefault="002935C4" w:rsidP="002935C4">
      <w:pPr>
        <w:rPr>
          <w:b/>
        </w:rPr>
      </w:pPr>
      <w:r>
        <w:rPr>
          <w:b/>
        </w:rPr>
        <w:t>What is an acceptable percentage of bases with a quality score greater than Q30 for a 2 x 150 bp run?</w:t>
      </w:r>
    </w:p>
    <w:p w14:paraId="1E1FB2DA" w14:textId="77777777" w:rsidR="002935C4" w:rsidRDefault="002935C4" w:rsidP="002935C4">
      <w:pPr>
        <w:rPr>
          <w:rFonts w:cstheme="minorHAnsi"/>
          <w:i/>
          <w:color w:val="44546A" w:themeColor="text2"/>
        </w:rPr>
      </w:pPr>
      <w:r>
        <w:rPr>
          <w:rFonts w:cstheme="minorHAnsi"/>
          <w:i/>
          <w:color w:val="44546A" w:themeColor="text2"/>
        </w:rPr>
        <w:t>Illumina considers a run successful if &gt; 80% of bases are higher than Q30.</w:t>
      </w:r>
    </w:p>
    <w:p w14:paraId="411D19E8" w14:textId="77777777" w:rsidR="002935C4" w:rsidRDefault="002935C4" w:rsidP="002935C4">
      <w:pPr>
        <w:rPr>
          <w:b/>
        </w:rPr>
      </w:pPr>
      <w:r>
        <w:rPr>
          <w:b/>
        </w:rPr>
        <w:t>Why would you add PhiX to the library and how much is appropriate to add for</w:t>
      </w:r>
      <w:r>
        <w:rPr>
          <w:b/>
          <w:color w:val="4472C4" w:themeColor="accent5"/>
        </w:rPr>
        <w:t xml:space="preserve"> </w:t>
      </w:r>
      <w:r>
        <w:rPr>
          <w:b/>
        </w:rPr>
        <w:t>an iSeq 100 run?</w:t>
      </w:r>
    </w:p>
    <w:p w14:paraId="1477A26A" w14:textId="77777777" w:rsidR="002935C4" w:rsidRDefault="002935C4" w:rsidP="002935C4">
      <w:pPr>
        <w:rPr>
          <w:b/>
        </w:rPr>
      </w:pPr>
      <w:r>
        <w:rPr>
          <w:rFonts w:cstheme="minorHAnsi"/>
          <w:i/>
          <w:color w:val="44546A" w:themeColor="text2"/>
        </w:rPr>
        <w:t>PhiX Control v3 is a ready-to-use library that serves as a defined control genome. The iSeq 100 software is designed to look for it during a run to provide quality control for cluster generation, sequencing, and alignment, and a calibration control for cross-talk matrix generation, phasing, and prephasing. Illumina recommends users start with 5% PhiX in their library, at least initially, to ensure the instrument is performing adequately.</w:t>
      </w:r>
      <w:r>
        <w:rPr>
          <w:rFonts w:cstheme="minorHAnsi"/>
          <w:b/>
        </w:rPr>
        <w:t xml:space="preserve"> </w:t>
      </w:r>
    </w:p>
    <w:p w14:paraId="4C9E7AC6" w14:textId="77777777" w:rsidR="002935C4" w:rsidRDefault="002935C4" w:rsidP="002935C4">
      <w:pPr>
        <w:rPr>
          <w:rFonts w:cstheme="minorHAnsi"/>
          <w:b/>
        </w:rPr>
      </w:pPr>
      <w:r>
        <w:rPr>
          <w:rFonts w:cstheme="minorHAnsi"/>
          <w:b/>
        </w:rPr>
        <w:t>Why is the iSeq 100 cartridge inverted and then tapped on the benchtop prior to loading the library?</w:t>
      </w:r>
    </w:p>
    <w:p w14:paraId="76D8D598" w14:textId="77777777" w:rsidR="002935C4" w:rsidRDefault="002935C4" w:rsidP="002935C4">
      <w:pPr>
        <w:rPr>
          <w:rFonts w:cstheme="minorHAnsi"/>
          <w:i/>
          <w:color w:val="44546A" w:themeColor="text2"/>
        </w:rPr>
      </w:pPr>
      <w:r>
        <w:rPr>
          <w:rFonts w:cstheme="minorHAnsi"/>
          <w:i/>
          <w:color w:val="44546A" w:themeColor="text2"/>
        </w:rPr>
        <w:t>The iSeq 100 cartridge is inverted to mix reagents within the cartridge. Tapping the cartridge afterward on the benchtop dislodges air bubbles that may have formed during the inversion step.</w:t>
      </w:r>
    </w:p>
    <w:p w14:paraId="14E3F62C" w14:textId="77777777" w:rsidR="00B137A1" w:rsidRDefault="00B137A1"/>
    <w:sectPr w:rsidR="00B137A1" w:rsidSect="00692090">
      <w:headerReference w:type="even" r:id="rId27"/>
      <w:headerReference w:type="default" r:id="rId28"/>
      <w:footerReference w:type="default" r:id="rId29"/>
      <w:headerReference w:type="first" r:id="rId30"/>
      <w:footerReference w:type="first" r:id="rId31"/>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93EA7" w14:textId="77777777" w:rsidR="00D10835" w:rsidRDefault="00D10835" w:rsidP="00695A4E">
      <w:pPr>
        <w:spacing w:after="0" w:line="240" w:lineRule="auto"/>
      </w:pPr>
      <w:r>
        <w:separator/>
      </w:r>
    </w:p>
  </w:endnote>
  <w:endnote w:type="continuationSeparator" w:id="0">
    <w:p w14:paraId="37E970CC" w14:textId="77777777" w:rsidR="00D10835" w:rsidRDefault="00D10835"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2935C4" w14:paraId="4D0C1F16" w14:textId="77777777" w:rsidTr="002935C4">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079E4D47" w14:textId="77777777" w:rsidR="002935C4" w:rsidRDefault="002935C4" w:rsidP="002935C4">
          <w:pPr>
            <w:spacing w:after="0" w:line="240" w:lineRule="auto"/>
            <w:jc w:val="right"/>
            <w:rPr>
              <w:rFonts w:eastAsia="Times New Roman" w:cstheme="minorHAnsi"/>
              <w:sz w:val="20"/>
              <w:szCs w:val="20"/>
            </w:rPr>
          </w:pPr>
          <w:r>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5F075A28" w14:textId="77777777" w:rsidR="002935C4" w:rsidRDefault="002935C4" w:rsidP="002935C4">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381AA7AB" w14:textId="77777777" w:rsidR="002935C4" w:rsidRDefault="002935C4" w:rsidP="002935C4">
          <w:pPr>
            <w:spacing w:after="0" w:line="240" w:lineRule="auto"/>
            <w:jc w:val="right"/>
            <w:rPr>
              <w:rFonts w:eastAsia="Times New Roman" w:cstheme="minorHAnsi"/>
              <w:sz w:val="20"/>
              <w:szCs w:val="20"/>
            </w:rPr>
          </w:pPr>
          <w:r>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719F1D9D" w14:textId="77777777" w:rsidR="002935C4" w:rsidRDefault="002935C4" w:rsidP="002935C4">
          <w:pPr>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00400FB8" w14:textId="77777777" w:rsidR="002935C4" w:rsidRDefault="002935C4" w:rsidP="002935C4">
          <w:pPr>
            <w:spacing w:after="0" w:line="240" w:lineRule="auto"/>
            <w:jc w:val="right"/>
            <w:rPr>
              <w:rFonts w:eastAsia="Times New Roman" w:cstheme="minorHAnsi"/>
              <w:sz w:val="20"/>
              <w:szCs w:val="20"/>
            </w:rPr>
          </w:pPr>
          <w:r>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34A7A6BD" w14:textId="77777777" w:rsidR="002935C4" w:rsidRDefault="002935C4" w:rsidP="002935C4">
          <w:pPr>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1EB4708A" w14:textId="77777777" w:rsidR="002935C4" w:rsidRDefault="002935C4" w:rsidP="002935C4">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0B4E11C3" w14:textId="77777777" w:rsidR="002935C4" w:rsidRDefault="002935C4" w:rsidP="002935C4">
          <w:pPr>
            <w:spacing w:after="0" w:line="240" w:lineRule="auto"/>
            <w:jc w:val="right"/>
            <w:rPr>
              <w:rFonts w:eastAsia="Times New Roman" w:cstheme="minorHAnsi"/>
              <w:b/>
              <w:sz w:val="20"/>
              <w:szCs w:val="20"/>
            </w:rPr>
          </w:pPr>
          <w:r>
            <w:rPr>
              <w:rFonts w:eastAsia="Times New Roman" w:cstheme="minorHAnsi"/>
              <w:b/>
              <w:sz w:val="20"/>
              <w:szCs w:val="20"/>
            </w:rPr>
            <w:t xml:space="preserve">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Pr>
              <w:rFonts w:eastAsia="Times New Roman" w:cstheme="minorHAnsi"/>
              <w:b/>
              <w:noProof/>
              <w:sz w:val="20"/>
              <w:szCs w:val="20"/>
            </w:rPr>
            <w:t>5</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Pr>
              <w:rFonts w:eastAsia="Times New Roman" w:cstheme="minorHAnsi"/>
              <w:b/>
              <w:noProof/>
              <w:sz w:val="20"/>
              <w:szCs w:val="20"/>
            </w:rPr>
            <w:t>5</w:t>
          </w:r>
          <w:r>
            <w:rPr>
              <w:rFonts w:eastAsia="Times New Roman" w:cstheme="minorHAnsi"/>
              <w:b/>
              <w:sz w:val="20"/>
              <w:szCs w:val="20"/>
            </w:rPr>
            <w:fldChar w:fldCharType="end"/>
          </w:r>
        </w:p>
      </w:tc>
    </w:tr>
  </w:tbl>
  <w:p w14:paraId="4EC2519F" w14:textId="77777777" w:rsidR="005179C9" w:rsidRDefault="0051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2935C4" w14:paraId="37B1F5FE" w14:textId="77777777" w:rsidTr="002935C4">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1830EAB5" w14:textId="77777777" w:rsidR="002935C4" w:rsidRDefault="002935C4" w:rsidP="002935C4">
          <w:pPr>
            <w:spacing w:after="0" w:line="240" w:lineRule="auto"/>
            <w:jc w:val="right"/>
            <w:rPr>
              <w:rFonts w:eastAsia="Times New Roman" w:cstheme="minorHAnsi"/>
              <w:sz w:val="20"/>
              <w:szCs w:val="20"/>
            </w:rPr>
          </w:pPr>
          <w:r>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27A8E44B" w14:textId="77777777" w:rsidR="002935C4" w:rsidRDefault="002935C4" w:rsidP="002935C4">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154AD01D" w14:textId="77777777" w:rsidR="002935C4" w:rsidRDefault="002935C4" w:rsidP="002935C4">
          <w:pPr>
            <w:spacing w:after="0" w:line="240" w:lineRule="auto"/>
            <w:jc w:val="right"/>
            <w:rPr>
              <w:rFonts w:eastAsia="Times New Roman" w:cstheme="minorHAnsi"/>
              <w:sz w:val="20"/>
              <w:szCs w:val="20"/>
            </w:rPr>
          </w:pPr>
          <w:r>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721EAB38" w14:textId="77777777" w:rsidR="002935C4" w:rsidRDefault="002935C4" w:rsidP="002935C4">
          <w:pPr>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1D9B7683" w14:textId="77777777" w:rsidR="002935C4" w:rsidRDefault="002935C4" w:rsidP="002935C4">
          <w:pPr>
            <w:spacing w:after="0" w:line="240" w:lineRule="auto"/>
            <w:jc w:val="right"/>
            <w:rPr>
              <w:rFonts w:eastAsia="Times New Roman" w:cstheme="minorHAnsi"/>
              <w:sz w:val="20"/>
              <w:szCs w:val="20"/>
            </w:rPr>
          </w:pPr>
          <w:r>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701E3A1B" w14:textId="77777777" w:rsidR="002935C4" w:rsidRDefault="002935C4" w:rsidP="002935C4">
          <w:pPr>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52A818B1" w14:textId="77777777" w:rsidR="002935C4" w:rsidRDefault="002935C4" w:rsidP="002935C4">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15C813F2" w14:textId="77777777" w:rsidR="002935C4" w:rsidRDefault="002935C4" w:rsidP="002935C4">
          <w:pPr>
            <w:spacing w:after="0" w:line="240" w:lineRule="auto"/>
            <w:jc w:val="right"/>
            <w:rPr>
              <w:rFonts w:eastAsia="Times New Roman" w:cstheme="minorHAnsi"/>
              <w:b/>
              <w:sz w:val="20"/>
              <w:szCs w:val="20"/>
            </w:rPr>
          </w:pPr>
          <w:r>
            <w:rPr>
              <w:rFonts w:eastAsia="Times New Roman" w:cstheme="minorHAnsi"/>
              <w:b/>
              <w:sz w:val="20"/>
              <w:szCs w:val="20"/>
            </w:rPr>
            <w:t xml:space="preserve">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Pr>
              <w:rFonts w:eastAsia="Times New Roman" w:cstheme="minorHAnsi"/>
              <w:b/>
              <w:noProof/>
              <w:sz w:val="20"/>
              <w:szCs w:val="20"/>
            </w:rPr>
            <w:t>5</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Pr>
              <w:rFonts w:eastAsia="Times New Roman" w:cstheme="minorHAnsi"/>
              <w:b/>
              <w:noProof/>
              <w:sz w:val="20"/>
              <w:szCs w:val="20"/>
            </w:rPr>
            <w:t>5</w:t>
          </w:r>
          <w:r>
            <w:rPr>
              <w:rFonts w:eastAsia="Times New Roman" w:cstheme="minorHAnsi"/>
              <w:b/>
              <w:sz w:val="20"/>
              <w:szCs w:val="20"/>
            </w:rPr>
            <w:fldChar w:fldCharType="end"/>
          </w:r>
        </w:p>
      </w:tc>
    </w:tr>
  </w:tbl>
  <w:p w14:paraId="22AECCB3" w14:textId="77777777" w:rsidR="005179C9" w:rsidRDefault="0051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BEA06" w14:textId="77777777" w:rsidR="00D10835" w:rsidRDefault="00D10835" w:rsidP="00695A4E">
      <w:pPr>
        <w:spacing w:after="0" w:line="240" w:lineRule="auto"/>
      </w:pPr>
      <w:r>
        <w:separator/>
      </w:r>
    </w:p>
  </w:footnote>
  <w:footnote w:type="continuationSeparator" w:id="0">
    <w:p w14:paraId="7B41D25B" w14:textId="77777777" w:rsidR="00D10835" w:rsidRDefault="00D10835"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1" w14:textId="77777777" w:rsidR="00CB1A65" w:rsidRDefault="00D43135">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4A705FC0">
          <wp:simplePos x="0" y="0"/>
          <wp:positionH relativeFrom="page">
            <wp:align>left</wp:align>
          </wp:positionH>
          <wp:positionV relativeFrom="paragraph">
            <wp:posOffset>-449885</wp:posOffset>
          </wp:positionV>
          <wp:extent cx="7766572" cy="10051085"/>
          <wp:effectExtent l="0" t="0" r="6350" b="7620"/>
          <wp:wrapNone/>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4D915B77">
          <wp:simplePos x="0" y="0"/>
          <wp:positionH relativeFrom="margin">
            <wp:posOffset>-670560</wp:posOffset>
          </wp:positionH>
          <wp:positionV relativeFrom="page">
            <wp:posOffset>19050</wp:posOffset>
          </wp:positionV>
          <wp:extent cx="7742602" cy="10020300"/>
          <wp:effectExtent l="0" t="0" r="0" b="0"/>
          <wp:wrapNone/>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2459"/>
    <w:multiLevelType w:val="multilevel"/>
    <w:tmpl w:val="0F60570E"/>
    <w:lvl w:ilvl="0">
      <w:start w:val="1"/>
      <w:numFmt w:val="decimal"/>
      <w:lvlText w:val="%1.0"/>
      <w:lvlJc w:val="left"/>
      <w:pPr>
        <w:tabs>
          <w:tab w:val="num" w:pos="720"/>
        </w:tabs>
        <w:ind w:left="720" w:hanging="720"/>
      </w:pPr>
      <w:rPr>
        <w:rFonts w:asciiTheme="minorHAnsi" w:hAnsiTheme="minorHAnsi" w:cstheme="minorHAnsi" w:hint="default"/>
        <w:b/>
        <w:sz w:val="22"/>
        <w:szCs w:val="22"/>
      </w:rPr>
    </w:lvl>
    <w:lvl w:ilvl="1">
      <w:start w:val="1"/>
      <w:numFmt w:val="decimal"/>
      <w:lvlText w:val="%1.%2"/>
      <w:lvlJc w:val="left"/>
      <w:pPr>
        <w:tabs>
          <w:tab w:val="num" w:pos="1440"/>
        </w:tabs>
        <w:ind w:left="1296" w:hanging="576"/>
      </w:pPr>
      <w:rPr>
        <w:b/>
        <w:i w:val="0"/>
        <w:color w:val="auto"/>
      </w:rPr>
    </w:lvl>
    <w:lvl w:ilvl="2">
      <w:start w:val="1"/>
      <w:numFmt w:val="lowerLetter"/>
      <w:lvlText w:val="%3."/>
      <w:lvlJc w:val="left"/>
      <w:pPr>
        <w:tabs>
          <w:tab w:val="num" w:pos="2160"/>
        </w:tabs>
        <w:ind w:left="1728" w:hanging="288"/>
      </w:pPr>
      <w:rPr>
        <w:rFonts w:asciiTheme="minorHAnsi" w:eastAsia="Times New Roman" w:hAnsiTheme="minorHAnsi" w:cstheme="minorHAnsi" w:hint="default"/>
        <w:b/>
        <w:color w:val="auto"/>
      </w:rPr>
    </w:lvl>
    <w:lvl w:ilvl="3">
      <w:start w:val="1"/>
      <w:numFmt w:val="lowerRoman"/>
      <w:lvlText w:val="%4."/>
      <w:lvlJc w:val="left"/>
      <w:pPr>
        <w:tabs>
          <w:tab w:val="num" w:pos="2610"/>
        </w:tabs>
        <w:ind w:left="2160" w:hanging="360"/>
      </w:pPr>
      <w:rPr>
        <w:rFonts w:asciiTheme="minorHAnsi" w:eastAsia="Times New Roman" w:hAnsiTheme="minorHAnsi" w:cstheme="minorHAnsi" w:hint="default"/>
        <w:b/>
        <w:i w:val="0"/>
        <w:color w:val="auto"/>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2B064C86"/>
    <w:multiLevelType w:val="hybridMultilevel"/>
    <w:tmpl w:val="721640AA"/>
    <w:lvl w:ilvl="0" w:tplc="44222AD4">
      <w:start w:val="4"/>
      <w:numFmt w:val="lowerRoman"/>
      <w:lvlText w:val="%1."/>
      <w:lvlJc w:val="left"/>
      <w:pPr>
        <w:ind w:left="2160" w:hanging="360"/>
      </w:pPr>
      <w:rPr>
        <w:rFonts w:eastAsiaTheme="minorHAnsi"/>
        <w:b/>
      </w:rPr>
    </w:lvl>
    <w:lvl w:ilvl="1" w:tplc="04090019">
      <w:start w:val="1"/>
      <w:numFmt w:val="lowerLetter"/>
      <w:lvlText w:val="%2."/>
      <w:lvlJc w:val="left"/>
      <w:pPr>
        <w:ind w:left="171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4045670C"/>
    <w:multiLevelType w:val="hybridMultilevel"/>
    <w:tmpl w:val="27621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106E5B"/>
    <w:rsid w:val="002935C4"/>
    <w:rsid w:val="004F5CEF"/>
    <w:rsid w:val="005179C9"/>
    <w:rsid w:val="00571E56"/>
    <w:rsid w:val="00651BF1"/>
    <w:rsid w:val="00692090"/>
    <w:rsid w:val="00695A4E"/>
    <w:rsid w:val="007E2258"/>
    <w:rsid w:val="00833614"/>
    <w:rsid w:val="008B3F95"/>
    <w:rsid w:val="00911E8C"/>
    <w:rsid w:val="00916697"/>
    <w:rsid w:val="009F436A"/>
    <w:rsid w:val="00B137A1"/>
    <w:rsid w:val="00BE527E"/>
    <w:rsid w:val="00C734C6"/>
    <w:rsid w:val="00CA558E"/>
    <w:rsid w:val="00CB1A65"/>
    <w:rsid w:val="00D10835"/>
    <w:rsid w:val="00D26908"/>
    <w:rsid w:val="00D43135"/>
    <w:rsid w:val="00F516C9"/>
    <w:rsid w:val="00F63EE5"/>
    <w:rsid w:val="00FB0C0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35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character" w:styleId="Hyperlink">
    <w:name w:val="Hyperlink"/>
    <w:semiHidden/>
    <w:unhideWhenUsed/>
    <w:rsid w:val="002935C4"/>
    <w:rPr>
      <w:color w:val="0563C1"/>
      <w:u w:val="single"/>
    </w:rPr>
  </w:style>
  <w:style w:type="paragraph" w:styleId="NoSpacing">
    <w:name w:val="No Spacing"/>
    <w:uiPriority w:val="1"/>
    <w:qFormat/>
    <w:rsid w:val="002935C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35C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29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887045">
      <w:bodyDiv w:val="1"/>
      <w:marLeft w:val="0"/>
      <w:marRight w:val="0"/>
      <w:marTop w:val="0"/>
      <w:marBottom w:val="0"/>
      <w:divBdr>
        <w:top w:val="none" w:sz="0" w:space="0" w:color="auto"/>
        <w:left w:val="none" w:sz="0" w:space="0" w:color="auto"/>
        <w:bottom w:val="none" w:sz="0" w:space="0" w:color="auto"/>
        <w:right w:val="none" w:sz="0" w:space="0" w:color="auto"/>
      </w:divBdr>
    </w:div>
    <w:div w:id="1010060657">
      <w:bodyDiv w:val="1"/>
      <w:marLeft w:val="0"/>
      <w:marRight w:val="0"/>
      <w:marTop w:val="0"/>
      <w:marBottom w:val="0"/>
      <w:divBdr>
        <w:top w:val="none" w:sz="0" w:space="0" w:color="auto"/>
        <w:left w:val="none" w:sz="0" w:space="0" w:color="auto"/>
        <w:bottom w:val="none" w:sz="0" w:space="0" w:color="auto"/>
        <w:right w:val="none" w:sz="0" w:space="0" w:color="auto"/>
      </w:divBdr>
    </w:div>
    <w:div w:id="16867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luminasupport.webex.com/cmp3300/webcomponents/docshow/docshow.do?siteurl=illuminasupport&amp;setupStatus=1" TargetMode="External"/><Relationship Id="rId18" Type="http://schemas.openxmlformats.org/officeDocument/2006/relationships/hyperlink" Target="https://support.illumina.com/content/dam/illumina-support/courses/nextera-flex/story_html5.html" TargetMode="External"/><Relationship Id="rId26" Type="http://schemas.openxmlformats.org/officeDocument/2006/relationships/hyperlink" Target="https://support.illumina.com/content/dam/illumina-support/documents/documentation/system_documentation/cluster-optimization-overview-guide-1000000071511-00.pdf" TargetMode="External"/><Relationship Id="rId3" Type="http://schemas.openxmlformats.org/officeDocument/2006/relationships/customXml" Target="../customXml/item3.xml"/><Relationship Id="rId21" Type="http://schemas.openxmlformats.org/officeDocument/2006/relationships/hyperlink" Target="https://support.illumina.com/content/dam/illumina-support/documents/documentation/system_documentation/iseq100/iseq-100-sequencing-system-guide-1000000036024-05.pdf" TargetMode="External"/><Relationship Id="rId7" Type="http://schemas.openxmlformats.org/officeDocument/2006/relationships/settings" Target="settings.xml"/><Relationship Id="rId12" Type="http://schemas.openxmlformats.org/officeDocument/2006/relationships/hyperlink" Target="https://support.illumina.com/content/dam/illumina-support/courses/sequencing-fundamentals/story_html5.html" TargetMode="External"/><Relationship Id="rId17" Type="http://schemas.openxmlformats.org/officeDocument/2006/relationships/hyperlink" Target="https://support.illumina.com/content/dam/illumina-support/courses/ampliseq-for-illumina-overview/story_html5.html" TargetMode="External"/><Relationship Id="rId25" Type="http://schemas.openxmlformats.org/officeDocument/2006/relationships/hyperlink" Target="https://support.illumina.com/content/dam/illumina-support/documents/documentation/system_documentation/miseq/indexed-sequencing-overview-guide-15057455-05.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port.illumina.com/content/dam/illumina-support/courses/ampliseq-for-illumina-protocol/story_html5.html" TargetMode="External"/><Relationship Id="rId20" Type="http://schemas.openxmlformats.org/officeDocument/2006/relationships/hyperlink" Target="https://support.illumina.com/content/dam/illumina-support/courses/illumina-experiment-manager/story.html?ifram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illumina.com/content/dam/illumina-support/courses/Sequencing_Illumina_Technology/story_html5.html" TargetMode="External"/><Relationship Id="rId24" Type="http://schemas.openxmlformats.org/officeDocument/2006/relationships/hyperlink" Target="https://support.illumina.com/content/dam/illumina-support/documents/documentation/system_documentation/iseq100/iseq-100-site-prep-guide-1000000035337-05.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pport.illumina.com/content/dam/illumina-support/courses/iseq-100-how-to-start-a-run/story_html5.html" TargetMode="External"/><Relationship Id="rId23" Type="http://schemas.openxmlformats.org/officeDocument/2006/relationships/hyperlink" Target="https://support.illumina.com/content/dam/illumina-support/documents/documentation/system_documentation/iseq100/iseq-100-safety-compliance-guide-1000000035336-00.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lluminasupport.webex.com/cmp3300/webcomponents/docshow/docshow.do?siteurl=illuminasupport&amp;setupStatus=1"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illumina.com/content/dam/illumina-support/courses/iseq-100-how-to-start-a-run/story_html5.html" TargetMode="External"/><Relationship Id="rId22" Type="http://schemas.openxmlformats.org/officeDocument/2006/relationships/hyperlink" Target="https://support.illumina.com/content/dam/illumina-marketing/documents/products/appnotes/novaseq-qc-iseq-app-note-770-2018-019.pdf"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7DAU5SSH7P55-1089477449-716</_dlc_DocId>
    <_dlc_DocIdUrl xmlns="61e0aa89-821a-4b43-b623-2509ea82b111">
      <Url>https://esp.cdc.gov/sites/csels/DLS/NGS/_layouts/15/DocIdRedir.aspx?ID=7DAU5SSH7P55-1089477449-716</Url>
      <Description>7DAU5SSH7P55-1089477449-716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8492D-96AE-4405-A726-6D06F66320D2}">
  <ds:schemaRefs>
    <ds:schemaRef ds:uri="http://schemas.microsoft.com/sharepoint/events"/>
  </ds:schemaRefs>
</ds:datastoreItem>
</file>

<file path=customXml/itemProps2.xml><?xml version="1.0" encoding="utf-8"?>
<ds:datastoreItem xmlns:ds="http://schemas.openxmlformats.org/officeDocument/2006/customXml" ds:itemID="{315F1FEA-9DED-495E-A8E1-A981618CB2A9}">
  <ds:schemaRefs>
    <ds:schemaRef ds:uri="http://schemas.microsoft.com/sharepoint/v3/contenttype/forms"/>
  </ds:schemaRefs>
</ds:datastoreItem>
</file>

<file path=customXml/itemProps3.xml><?xml version="1.0" encoding="utf-8"?>
<ds:datastoreItem xmlns:ds="http://schemas.openxmlformats.org/officeDocument/2006/customXml" ds:itemID="{7A1CBCF4-759C-49AD-8EBD-70E922A80E22}">
  <ds:schemaRefs>
    <ds:schemaRef ds:uri="http://purl.org/dc/terms/"/>
    <ds:schemaRef ds:uri="http://schemas.microsoft.com/office/2006/documentManagement/types"/>
    <ds:schemaRef ds:uri="61e0aa89-821a-4b43-b623-2509ea82b111"/>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223A6C2-0EE7-4334-8B4B-DCF64695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Hutchins, Rebecca J. (CDC/DDID/OD)</cp:lastModifiedBy>
  <cp:revision>2</cp:revision>
  <dcterms:created xsi:type="dcterms:W3CDTF">2020-02-26T17:34:00Z</dcterms:created>
  <dcterms:modified xsi:type="dcterms:W3CDTF">2020-02-26T17:34:00Z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0x0101005783CEA49787DA4F8CCE74DC07A13A3A</vt:lpwstr>
  </property>
  <property fmtid="{D5CDD505-2E9C-101B-9397-08002B2CF9AE}" pid="3" name="_dlc_DocIdItemGuid">
    <vt:lpwstr>837e1703-f109-4181-8b69-8c7e961b2dd4</vt:lpwstr>
  </property>
</Properties>
</file>