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33F55" w:rsidRPr="005D2D0A" w14:paraId="5FB12FEE" w14:textId="77777777" w:rsidTr="00984486">
        <w:trPr>
          <w:trHeight w:val="341"/>
        </w:trPr>
        <w:tc>
          <w:tcPr>
            <w:tcW w:w="10070" w:type="dxa"/>
          </w:tcPr>
          <w:p w14:paraId="1A8E49C8" w14:textId="77777777" w:rsidR="00333F55" w:rsidRPr="005D2D0A" w:rsidRDefault="00333F55" w:rsidP="00984486">
            <w:pPr>
              <w:spacing w:after="0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1A60DE">
              <w:rPr>
                <w:rFonts w:ascii="Calibri" w:eastAsia="Times New Roman" w:hAnsi="Calibri" w:cs="Calibri"/>
                <w:b/>
                <w:i/>
                <w:noProof/>
                <w:color w:val="00698E"/>
                <w:sz w:val="20"/>
                <w:szCs w:val="20"/>
              </w:rPr>
              <w:t xml:space="preserve">  Insert Laboratory Specific Name Here</w:t>
            </w:r>
          </w:p>
        </w:tc>
      </w:tr>
      <w:tr w:rsidR="00333F55" w:rsidRPr="005D2D0A" w14:paraId="37319C52" w14:textId="77777777" w:rsidTr="00984486">
        <w:trPr>
          <w:trHeight w:val="395"/>
        </w:trPr>
        <w:tc>
          <w:tcPr>
            <w:tcW w:w="10070" w:type="dxa"/>
          </w:tcPr>
          <w:p w14:paraId="2B88B918" w14:textId="4F753E30" w:rsidR="00333F55" w:rsidRPr="005D2D0A" w:rsidRDefault="00333F55" w:rsidP="00984486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5D2D0A">
              <w:rPr>
                <w:rFonts w:ascii="Calibri" w:eastAsia="Times New Roman" w:hAnsi="Calibri" w:cs="Calibri"/>
                <w:b/>
                <w:noProof/>
                <w:sz w:val="28"/>
                <w:szCs w:val="16"/>
              </w:rPr>
              <w:t xml:space="preserve">MinION Employee Training 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16"/>
              </w:rPr>
              <w:t>SOP</w:t>
            </w:r>
          </w:p>
        </w:tc>
      </w:tr>
    </w:tbl>
    <w:p w14:paraId="0C429B7A" w14:textId="77777777" w:rsidR="00D91BE4" w:rsidRPr="00984486" w:rsidRDefault="00D91BE4" w:rsidP="000E1521">
      <w:pPr>
        <w:spacing w:after="0"/>
        <w:rPr>
          <w:rFonts w:cstheme="minorHAnsi"/>
          <w:b/>
        </w:rPr>
      </w:pPr>
    </w:p>
    <w:p w14:paraId="72535C67" w14:textId="77777777" w:rsidR="00D91BE4" w:rsidRDefault="00D91BE4" w:rsidP="00D91BE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F48C8">
        <w:rPr>
          <w:rFonts w:cstheme="minorHAnsi"/>
          <w:b/>
        </w:rPr>
        <w:t>Purpose</w:t>
      </w:r>
    </w:p>
    <w:p w14:paraId="030CC765" w14:textId="77777777" w:rsidR="00D91BE4" w:rsidRDefault="00D91BE4" w:rsidP="00D91BE4">
      <w:pPr>
        <w:pStyle w:val="ListParagraph"/>
        <w:tabs>
          <w:tab w:val="left" w:pos="720"/>
          <w:tab w:val="left" w:pos="1440"/>
        </w:tabs>
        <w:ind w:left="432"/>
      </w:pPr>
      <w:r>
        <w:t xml:space="preserve">This procedure outlines the steps for training personnel to acquire the skills and knowledge necessary to run the Oxford Nanopore </w:t>
      </w:r>
      <w:proofErr w:type="spellStart"/>
      <w:r>
        <w:t>MinION</w:t>
      </w:r>
      <w:proofErr w:type="spellEnd"/>
      <w:r>
        <w:t xml:space="preserve"> sequencer from initial sample quality control to the review of sequencing run quality metrics.</w:t>
      </w:r>
    </w:p>
    <w:p w14:paraId="1C4A176E" w14:textId="77777777" w:rsidR="00D91BE4" w:rsidRPr="001F48C8" w:rsidRDefault="00D91BE4" w:rsidP="00D91BE4">
      <w:pPr>
        <w:pStyle w:val="ListParagraph"/>
        <w:ind w:left="432"/>
        <w:rPr>
          <w:rFonts w:cstheme="minorHAnsi"/>
          <w:b/>
        </w:rPr>
      </w:pPr>
    </w:p>
    <w:p w14:paraId="6171911B" w14:textId="77777777" w:rsidR="00D91BE4" w:rsidRDefault="00D91BE4" w:rsidP="00D91BE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F48C8">
        <w:rPr>
          <w:rFonts w:cstheme="minorHAnsi"/>
          <w:b/>
        </w:rPr>
        <w:t>Scope</w:t>
      </w:r>
    </w:p>
    <w:p w14:paraId="5CD8A7DA" w14:textId="77777777" w:rsidR="00D91BE4" w:rsidRPr="000813E2" w:rsidRDefault="00D91BE4" w:rsidP="00D91BE4">
      <w:pPr>
        <w:pStyle w:val="ListParagraph"/>
        <w:ind w:left="432"/>
        <w:rPr>
          <w:rFonts w:cstheme="minorHAnsi"/>
          <w:b/>
        </w:rPr>
      </w:pPr>
      <w:r>
        <w:t xml:space="preserve">This document applies to all staff that operate the Oxford Nanopore </w:t>
      </w:r>
      <w:proofErr w:type="spellStart"/>
      <w:r>
        <w:t>MinION</w:t>
      </w:r>
      <w:proofErr w:type="spellEnd"/>
      <w:r>
        <w:t xml:space="preserve"> next generation sequencer and supervisors that oversee these operations. Training on the Oxford Nanopore </w:t>
      </w:r>
      <w:proofErr w:type="spellStart"/>
      <w:r>
        <w:t>MinION</w:t>
      </w:r>
      <w:proofErr w:type="spellEnd"/>
      <w:r>
        <w:t xml:space="preserve"> sequencer is </w:t>
      </w:r>
      <w:proofErr w:type="gramStart"/>
      <w:r>
        <w:t xml:space="preserve">a </w:t>
      </w:r>
      <w:r w:rsidRPr="000813E2">
        <w:rPr>
          <w:highlight w:val="yellow"/>
        </w:rPr>
        <w:t xml:space="preserve"> </w:t>
      </w:r>
      <w:r w:rsidRPr="00B86CCB">
        <w:t>process</w:t>
      </w:r>
      <w:proofErr w:type="gramEnd"/>
      <w:r w:rsidRPr="00B86CCB">
        <w:t xml:space="preserve"> that includes</w:t>
      </w:r>
      <w:r>
        <w:t xml:space="preserve"> building a base of sequencing knowledge, observing the trainer perform the sequencing procedures, performing sequencing procedures under direct trainer supervision, and individually executing the sequencing procedures.</w:t>
      </w:r>
    </w:p>
    <w:p w14:paraId="7EAC3760" w14:textId="77777777" w:rsidR="00D91BE4" w:rsidRPr="001F48C8" w:rsidRDefault="00D91BE4" w:rsidP="00D91BE4">
      <w:pPr>
        <w:pStyle w:val="ListParagraph"/>
        <w:ind w:left="432"/>
        <w:rPr>
          <w:rFonts w:cstheme="minorHAnsi"/>
          <w:b/>
        </w:rPr>
      </w:pPr>
    </w:p>
    <w:p w14:paraId="2FD54E45" w14:textId="77777777" w:rsidR="00D91BE4" w:rsidRPr="001F48C8" w:rsidRDefault="00D91BE4" w:rsidP="00D91BE4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1F48C8">
        <w:rPr>
          <w:rFonts w:cstheme="minorHAnsi"/>
          <w:b/>
        </w:rPr>
        <w:t>Related Documents</w:t>
      </w:r>
    </w:p>
    <w:tbl>
      <w:tblPr>
        <w:tblW w:w="8753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3533"/>
      </w:tblGrid>
      <w:tr w:rsidR="00D91BE4" w:rsidRPr="001F48C8" w14:paraId="396D9735" w14:textId="77777777" w:rsidTr="00D91BE4">
        <w:trPr>
          <w:trHeight w:val="77"/>
        </w:trPr>
        <w:tc>
          <w:tcPr>
            <w:tcW w:w="5220" w:type="dxa"/>
            <w:shd w:val="clear" w:color="auto" w:fill="BDD6EE" w:themeFill="accent1" w:themeFillTint="66"/>
          </w:tcPr>
          <w:p w14:paraId="2528723A" w14:textId="77777777" w:rsidR="00D91BE4" w:rsidRPr="001F48C8" w:rsidRDefault="00D91BE4" w:rsidP="00D91BE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1F48C8">
              <w:rPr>
                <w:rFonts w:eastAsia="Times New Roman" w:cstheme="minorHAnsi"/>
                <w:b/>
              </w:rPr>
              <w:t>Title</w:t>
            </w:r>
          </w:p>
        </w:tc>
        <w:tc>
          <w:tcPr>
            <w:tcW w:w="3533" w:type="dxa"/>
            <w:shd w:val="clear" w:color="auto" w:fill="BDD6EE" w:themeFill="accent1" w:themeFillTint="66"/>
          </w:tcPr>
          <w:p w14:paraId="1BB2E7A6" w14:textId="77777777" w:rsidR="00D91BE4" w:rsidRPr="001F48C8" w:rsidRDefault="00D91BE4" w:rsidP="00D91BE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1F48C8">
              <w:rPr>
                <w:rFonts w:eastAsia="Times New Roman" w:cstheme="minorHAnsi"/>
                <w:b/>
              </w:rPr>
              <w:t>Document Control Number</w:t>
            </w:r>
          </w:p>
        </w:tc>
      </w:tr>
      <w:tr w:rsidR="00D91BE4" w:rsidRPr="001F48C8" w14:paraId="1263179D" w14:textId="77777777" w:rsidTr="00D91BE4">
        <w:tc>
          <w:tcPr>
            <w:tcW w:w="5220" w:type="dxa"/>
          </w:tcPr>
          <w:p w14:paraId="3C4EA62B" w14:textId="77777777" w:rsidR="00D91BE4" w:rsidRPr="000813E2" w:rsidRDefault="00D91BE4" w:rsidP="00D91BE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0813E2">
              <w:rPr>
                <w:rFonts w:eastAsia="Times New Roman" w:cstheme="minorHAnsi"/>
              </w:rPr>
              <w:t>MinION</w:t>
            </w:r>
            <w:proofErr w:type="spellEnd"/>
            <w:r w:rsidRPr="000813E2">
              <w:rPr>
                <w:rFonts w:eastAsia="Times New Roman" w:cstheme="minorHAnsi"/>
              </w:rPr>
              <w:t xml:space="preserve"> Employee Training Form</w:t>
            </w:r>
          </w:p>
        </w:tc>
        <w:tc>
          <w:tcPr>
            <w:tcW w:w="3533" w:type="dxa"/>
          </w:tcPr>
          <w:p w14:paraId="30499843" w14:textId="77777777" w:rsidR="00D91BE4" w:rsidRPr="001F48C8" w:rsidRDefault="00D91BE4" w:rsidP="00D91BE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D91BE4" w:rsidRPr="001F48C8" w14:paraId="38DB9C21" w14:textId="77777777" w:rsidTr="00D91BE4">
        <w:tc>
          <w:tcPr>
            <w:tcW w:w="5220" w:type="dxa"/>
          </w:tcPr>
          <w:p w14:paraId="7E8D8A45" w14:textId="77777777" w:rsidR="00D91BE4" w:rsidRPr="000813E2" w:rsidRDefault="00D91BE4" w:rsidP="00D91BE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0813E2">
              <w:rPr>
                <w:rFonts w:eastAsia="Times New Roman" w:cstheme="minorHAnsi"/>
              </w:rPr>
              <w:t>MinION</w:t>
            </w:r>
            <w:proofErr w:type="spellEnd"/>
            <w:r w:rsidRPr="000813E2">
              <w:rPr>
                <w:rFonts w:eastAsia="Times New Roman" w:cstheme="minorHAnsi"/>
              </w:rPr>
              <w:t xml:space="preserve"> Trainer Designation Form</w:t>
            </w:r>
          </w:p>
        </w:tc>
        <w:tc>
          <w:tcPr>
            <w:tcW w:w="3533" w:type="dxa"/>
          </w:tcPr>
          <w:p w14:paraId="16FE67AA" w14:textId="77777777" w:rsidR="00D91BE4" w:rsidRPr="001F48C8" w:rsidRDefault="00D91BE4" w:rsidP="00D91BE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D91BE4" w:rsidRPr="001F48C8" w14:paraId="765A5F50" w14:textId="77777777" w:rsidTr="00D91BE4">
        <w:tc>
          <w:tcPr>
            <w:tcW w:w="5220" w:type="dxa"/>
          </w:tcPr>
          <w:p w14:paraId="5C0180BE" w14:textId="77777777" w:rsidR="00D91BE4" w:rsidRPr="000813E2" w:rsidRDefault="00D91BE4" w:rsidP="00D91BE4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1A60DE">
              <w:rPr>
                <w:rFonts w:eastAsia="Times New Roman" w:cstheme="minorHAnsi"/>
                <w:i/>
                <w:color w:val="00698E"/>
              </w:rPr>
              <w:t>“Lab-developed Risk Assessment/Mitigation Steps”</w:t>
            </w:r>
          </w:p>
        </w:tc>
        <w:tc>
          <w:tcPr>
            <w:tcW w:w="3533" w:type="dxa"/>
          </w:tcPr>
          <w:p w14:paraId="40B4E24C" w14:textId="77777777" w:rsidR="00D91BE4" w:rsidRPr="001F48C8" w:rsidRDefault="00D91BE4" w:rsidP="00D91BE4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04077AE0" w14:textId="77777777" w:rsidR="00D91BE4" w:rsidRPr="001F48C8" w:rsidRDefault="00D91BE4" w:rsidP="00D91BE4">
      <w:pPr>
        <w:pStyle w:val="ListParagraph"/>
        <w:ind w:left="432"/>
        <w:rPr>
          <w:rFonts w:cstheme="minorHAnsi"/>
          <w:b/>
        </w:rPr>
      </w:pPr>
    </w:p>
    <w:p w14:paraId="2E018BC3" w14:textId="77777777" w:rsidR="00D91BE4" w:rsidRPr="001F48C8" w:rsidRDefault="00D91BE4" w:rsidP="00D91BE4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1F48C8">
        <w:rPr>
          <w:rFonts w:cstheme="minorHAnsi"/>
          <w:b/>
        </w:rPr>
        <w:t>Responsibilities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6424"/>
      </w:tblGrid>
      <w:tr w:rsidR="00D91BE4" w:rsidRPr="001F48C8" w14:paraId="1F9F1FDA" w14:textId="77777777" w:rsidTr="00D91BE4">
        <w:trPr>
          <w:trHeight w:val="332"/>
        </w:trPr>
        <w:tc>
          <w:tcPr>
            <w:tcW w:w="2332" w:type="dxa"/>
            <w:shd w:val="clear" w:color="auto" w:fill="BDD6EE" w:themeFill="accent1" w:themeFillTint="66"/>
          </w:tcPr>
          <w:p w14:paraId="0C5B8E03" w14:textId="77777777" w:rsidR="00D91BE4" w:rsidRPr="001F48C8" w:rsidRDefault="00D91BE4" w:rsidP="00D91BE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1F48C8">
              <w:rPr>
                <w:rFonts w:eastAsia="Times New Roman" w:cstheme="minorHAnsi"/>
                <w:b/>
              </w:rPr>
              <w:t>Position</w:t>
            </w:r>
          </w:p>
        </w:tc>
        <w:tc>
          <w:tcPr>
            <w:tcW w:w="6424" w:type="dxa"/>
            <w:shd w:val="clear" w:color="auto" w:fill="BDD6EE" w:themeFill="accent1" w:themeFillTint="66"/>
          </w:tcPr>
          <w:p w14:paraId="2F63B839" w14:textId="77777777" w:rsidR="00D91BE4" w:rsidRPr="001F48C8" w:rsidRDefault="00D91BE4" w:rsidP="00D91BE4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1F48C8">
              <w:rPr>
                <w:rFonts w:eastAsia="Times New Roman" w:cstheme="minorHAnsi"/>
                <w:b/>
              </w:rPr>
              <w:t>Responsibility</w:t>
            </w:r>
          </w:p>
        </w:tc>
      </w:tr>
      <w:tr w:rsidR="00D91BE4" w:rsidRPr="001F48C8" w14:paraId="63CECCAC" w14:textId="77777777" w:rsidTr="00D91BE4">
        <w:trPr>
          <w:trHeight w:val="242"/>
        </w:trPr>
        <w:tc>
          <w:tcPr>
            <w:tcW w:w="2332" w:type="dxa"/>
          </w:tcPr>
          <w:p w14:paraId="3695AA10" w14:textId="77777777" w:rsidR="00D91BE4" w:rsidRPr="00371D23" w:rsidRDefault="00D91BE4" w:rsidP="00D91BE4">
            <w:pPr>
              <w:pStyle w:val="NoSpacing"/>
            </w:pPr>
            <w:r w:rsidRPr="00371D23">
              <w:t xml:space="preserve">All </w:t>
            </w:r>
            <w:r>
              <w:t xml:space="preserve">laboratory </w:t>
            </w:r>
            <w:r w:rsidRPr="00371D23">
              <w:t>staff</w:t>
            </w:r>
          </w:p>
        </w:tc>
        <w:tc>
          <w:tcPr>
            <w:tcW w:w="6424" w:type="dxa"/>
          </w:tcPr>
          <w:p w14:paraId="26AA06AC" w14:textId="77777777" w:rsidR="00D91BE4" w:rsidRPr="00585029" w:rsidRDefault="00D91BE4" w:rsidP="00D91BE4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t>Complete all necessary training requirements</w:t>
            </w:r>
          </w:p>
        </w:tc>
      </w:tr>
      <w:tr w:rsidR="00D91BE4" w:rsidRPr="001F48C8" w14:paraId="108BEEE3" w14:textId="77777777" w:rsidTr="00D91BE4">
        <w:trPr>
          <w:trHeight w:val="242"/>
        </w:trPr>
        <w:tc>
          <w:tcPr>
            <w:tcW w:w="2332" w:type="dxa"/>
          </w:tcPr>
          <w:p w14:paraId="0F8EDAAC" w14:textId="77777777" w:rsidR="00D91BE4" w:rsidRPr="00371D23" w:rsidRDefault="00D91BE4" w:rsidP="00D91BE4">
            <w:pPr>
              <w:pStyle w:val="NoSpacing"/>
            </w:pPr>
            <w:r>
              <w:t>Team Lead</w:t>
            </w:r>
          </w:p>
        </w:tc>
        <w:tc>
          <w:tcPr>
            <w:tcW w:w="6424" w:type="dxa"/>
          </w:tcPr>
          <w:p w14:paraId="7667B972" w14:textId="77777777" w:rsidR="00D91BE4" w:rsidRDefault="00D91BE4" w:rsidP="00D91BE4">
            <w:pPr>
              <w:pStyle w:val="NoSpacing"/>
              <w:numPr>
                <w:ilvl w:val="0"/>
                <w:numId w:val="2"/>
              </w:numPr>
            </w:pPr>
            <w:r>
              <w:t>Determine the training needs for the laboratory team</w:t>
            </w:r>
          </w:p>
          <w:p w14:paraId="044236C4" w14:textId="77777777" w:rsidR="00D91BE4" w:rsidRDefault="00D91BE4" w:rsidP="00D91BE4">
            <w:pPr>
              <w:pStyle w:val="NoSpacing"/>
              <w:numPr>
                <w:ilvl w:val="0"/>
                <w:numId w:val="2"/>
              </w:numPr>
            </w:pPr>
            <w:r>
              <w:t>Ensure all staff are trained and evaluated according to this procedure</w:t>
            </w:r>
          </w:p>
          <w:p w14:paraId="7B3BA37D" w14:textId="77777777" w:rsidR="00D91BE4" w:rsidRDefault="00D91BE4" w:rsidP="00D91BE4">
            <w:pPr>
              <w:pStyle w:val="NoSpacing"/>
              <w:numPr>
                <w:ilvl w:val="0"/>
                <w:numId w:val="2"/>
              </w:numPr>
            </w:pPr>
            <w:r>
              <w:t xml:space="preserve">Designate the trainer by completing the </w:t>
            </w:r>
            <w:proofErr w:type="spellStart"/>
            <w:r>
              <w:t>MinION</w:t>
            </w:r>
            <w:proofErr w:type="spellEnd"/>
            <w:r>
              <w:t xml:space="preserve"> Trainer Designation Form</w:t>
            </w:r>
          </w:p>
          <w:p w14:paraId="39FBEBA5" w14:textId="77777777" w:rsidR="00D91BE4" w:rsidRDefault="00D91BE4" w:rsidP="00D91BE4">
            <w:pPr>
              <w:pStyle w:val="NoSpacing"/>
              <w:numPr>
                <w:ilvl w:val="0"/>
                <w:numId w:val="2"/>
              </w:numPr>
            </w:pPr>
            <w:r>
              <w:t>Create training plans, review training materials, and assign trainers as needed</w:t>
            </w:r>
          </w:p>
        </w:tc>
      </w:tr>
      <w:tr w:rsidR="00D91BE4" w:rsidRPr="001F48C8" w14:paraId="0C610108" w14:textId="77777777" w:rsidTr="00D91BE4">
        <w:trPr>
          <w:trHeight w:val="242"/>
        </w:trPr>
        <w:tc>
          <w:tcPr>
            <w:tcW w:w="2332" w:type="dxa"/>
          </w:tcPr>
          <w:p w14:paraId="63583B0D" w14:textId="77777777" w:rsidR="00D91BE4" w:rsidRDefault="00D91BE4" w:rsidP="00D91BE4">
            <w:pPr>
              <w:pStyle w:val="NoSpacing"/>
            </w:pPr>
            <w:r>
              <w:t>Trainers</w:t>
            </w:r>
          </w:p>
        </w:tc>
        <w:tc>
          <w:tcPr>
            <w:tcW w:w="6424" w:type="dxa"/>
          </w:tcPr>
          <w:p w14:paraId="4ADE5197" w14:textId="77777777" w:rsidR="00D91BE4" w:rsidRDefault="00D91BE4" w:rsidP="00D91BE4">
            <w:pPr>
              <w:pStyle w:val="NoSpacing"/>
              <w:numPr>
                <w:ilvl w:val="0"/>
                <w:numId w:val="2"/>
              </w:numPr>
            </w:pPr>
            <w:r>
              <w:t>Develop training materials</w:t>
            </w:r>
          </w:p>
          <w:p w14:paraId="4DECEEF6" w14:textId="77777777" w:rsidR="00D91BE4" w:rsidRDefault="00D91BE4" w:rsidP="00D91BE4">
            <w:pPr>
              <w:pStyle w:val="NoSpacing"/>
              <w:numPr>
                <w:ilvl w:val="0"/>
                <w:numId w:val="2"/>
              </w:numPr>
            </w:pPr>
            <w:r>
              <w:t>Train staff as directed by the Team Lead</w:t>
            </w:r>
          </w:p>
          <w:p w14:paraId="15983CCB" w14:textId="77777777" w:rsidR="00D91BE4" w:rsidRDefault="00D91BE4" w:rsidP="00D91BE4">
            <w:pPr>
              <w:pStyle w:val="NoSpacing"/>
              <w:numPr>
                <w:ilvl w:val="0"/>
                <w:numId w:val="2"/>
              </w:numPr>
            </w:pPr>
            <w:r>
              <w:t>Document training activities</w:t>
            </w:r>
          </w:p>
        </w:tc>
      </w:tr>
      <w:tr w:rsidR="00D91BE4" w:rsidRPr="001F48C8" w14:paraId="1E8D231D" w14:textId="77777777" w:rsidTr="00D91BE4">
        <w:trPr>
          <w:trHeight w:val="242"/>
        </w:trPr>
        <w:tc>
          <w:tcPr>
            <w:tcW w:w="2332" w:type="dxa"/>
          </w:tcPr>
          <w:p w14:paraId="007135C0" w14:textId="77777777" w:rsidR="00D91BE4" w:rsidRPr="00371D23" w:rsidRDefault="00D91BE4" w:rsidP="00D91BE4">
            <w:pPr>
              <w:pStyle w:val="NoSpacing"/>
            </w:pPr>
            <w:r w:rsidRPr="00371D23">
              <w:t>Branch Chief</w:t>
            </w:r>
          </w:p>
        </w:tc>
        <w:tc>
          <w:tcPr>
            <w:tcW w:w="6424" w:type="dxa"/>
          </w:tcPr>
          <w:p w14:paraId="1227AFD0" w14:textId="77777777" w:rsidR="00D91BE4" w:rsidRDefault="00D91BE4" w:rsidP="00D91BE4">
            <w:pPr>
              <w:pStyle w:val="NoSpacing"/>
              <w:numPr>
                <w:ilvl w:val="0"/>
                <w:numId w:val="2"/>
              </w:numPr>
            </w:pPr>
            <w:r>
              <w:t>Ensure applicable laboratory staff are accountable for completing all training and evaluation requirements described in this procedure</w:t>
            </w:r>
          </w:p>
          <w:p w14:paraId="179086B9" w14:textId="77777777" w:rsidR="00D91BE4" w:rsidRDefault="00D91BE4" w:rsidP="00D91BE4">
            <w:pPr>
              <w:pStyle w:val="NoSpacing"/>
              <w:numPr>
                <w:ilvl w:val="0"/>
                <w:numId w:val="2"/>
              </w:numPr>
            </w:pPr>
            <w:r>
              <w:t>Review and approve this procedure</w:t>
            </w:r>
          </w:p>
        </w:tc>
      </w:tr>
      <w:tr w:rsidR="00D91BE4" w:rsidRPr="001F48C8" w14:paraId="110DB7D5" w14:textId="77777777" w:rsidTr="00D91BE4">
        <w:trPr>
          <w:trHeight w:val="242"/>
        </w:trPr>
        <w:tc>
          <w:tcPr>
            <w:tcW w:w="2332" w:type="dxa"/>
          </w:tcPr>
          <w:p w14:paraId="2788DEB3" w14:textId="77777777" w:rsidR="00D91BE4" w:rsidRPr="00A200D1" w:rsidRDefault="00D91BE4" w:rsidP="00D91BE4">
            <w:pPr>
              <w:spacing w:after="120"/>
            </w:pPr>
            <w:r>
              <w:t>Quality Manag</w:t>
            </w:r>
            <w:r w:rsidRPr="00A200D1">
              <w:t>er</w:t>
            </w:r>
          </w:p>
        </w:tc>
        <w:tc>
          <w:tcPr>
            <w:tcW w:w="6424" w:type="dxa"/>
          </w:tcPr>
          <w:p w14:paraId="48D43BFA" w14:textId="77777777" w:rsidR="00D91BE4" w:rsidRPr="00A200D1" w:rsidRDefault="00D91BE4" w:rsidP="00D91BE4">
            <w:pPr>
              <w:numPr>
                <w:ilvl w:val="0"/>
                <w:numId w:val="2"/>
              </w:numPr>
              <w:spacing w:after="120" w:line="240" w:lineRule="auto"/>
            </w:pPr>
            <w:r>
              <w:t>Review training documentation</w:t>
            </w:r>
          </w:p>
        </w:tc>
      </w:tr>
    </w:tbl>
    <w:p w14:paraId="5652259E" w14:textId="77777777" w:rsidR="00D91BE4" w:rsidRPr="000813E2" w:rsidRDefault="00D91BE4" w:rsidP="00D91BE4">
      <w:pPr>
        <w:rPr>
          <w:rFonts w:cstheme="minorHAnsi"/>
          <w:b/>
        </w:rPr>
      </w:pPr>
    </w:p>
    <w:p w14:paraId="287A03EE" w14:textId="77777777" w:rsidR="00D91BE4" w:rsidRDefault="00D91BE4" w:rsidP="00D91BE4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Training Information Resources</w:t>
      </w:r>
    </w:p>
    <w:p w14:paraId="6BF579A8" w14:textId="77777777" w:rsidR="00D91BE4" w:rsidRDefault="00D91BE4" w:rsidP="00D91BE4">
      <w:pPr>
        <w:pStyle w:val="ListParagraph"/>
        <w:numPr>
          <w:ilvl w:val="1"/>
          <w:numId w:val="1"/>
        </w:numPr>
        <w:rPr>
          <w:i/>
          <w:color w:val="5B9BD5"/>
        </w:rPr>
      </w:pPr>
      <w:r w:rsidRPr="001A60DE">
        <w:rPr>
          <w:i/>
          <w:color w:val="00698E"/>
        </w:rPr>
        <w:lastRenderedPageBreak/>
        <w:t xml:space="preserve">Reference your laboratory SOP or the </w:t>
      </w:r>
      <w:proofErr w:type="spellStart"/>
      <w:r w:rsidRPr="001A60DE">
        <w:rPr>
          <w:i/>
          <w:color w:val="00698E"/>
        </w:rPr>
        <w:t>MinION</w:t>
      </w:r>
      <w:proofErr w:type="spellEnd"/>
      <w:r w:rsidRPr="001A60DE">
        <w:rPr>
          <w:i/>
          <w:color w:val="00698E"/>
        </w:rPr>
        <w:t xml:space="preserve"> SOP your laboratory uses here.</w:t>
      </w:r>
    </w:p>
    <w:p w14:paraId="434904B6" w14:textId="77777777" w:rsidR="00D91BE4" w:rsidRPr="00561369" w:rsidRDefault="00D91BE4" w:rsidP="00D91BE4">
      <w:pPr>
        <w:numPr>
          <w:ilvl w:val="1"/>
          <w:numId w:val="1"/>
        </w:numPr>
        <w:tabs>
          <w:tab w:val="left" w:pos="720"/>
        </w:tabs>
        <w:spacing w:after="0" w:line="240" w:lineRule="auto"/>
        <w:rPr>
          <w:i/>
          <w:color w:val="5B9BD5"/>
        </w:rPr>
      </w:pPr>
      <w:r w:rsidRPr="001A60DE">
        <w:rPr>
          <w:i/>
          <w:color w:val="00698E"/>
        </w:rPr>
        <w:t xml:space="preserve">   Reference your laboratory-developed risk assessment/mitigation document here; this may be specific to the </w:t>
      </w:r>
      <w:proofErr w:type="spellStart"/>
      <w:r w:rsidRPr="001A60DE">
        <w:rPr>
          <w:i/>
          <w:color w:val="00698E"/>
        </w:rPr>
        <w:t>MinION</w:t>
      </w:r>
      <w:proofErr w:type="spellEnd"/>
      <w:r w:rsidRPr="001A60DE">
        <w:rPr>
          <w:i/>
          <w:color w:val="00698E"/>
        </w:rPr>
        <w:t xml:space="preserve"> or to the specific nucleic acid source.</w:t>
      </w:r>
    </w:p>
    <w:p w14:paraId="63469C7F" w14:textId="77777777" w:rsidR="00D91BE4" w:rsidRPr="00F17014" w:rsidRDefault="00D91BE4" w:rsidP="00D91BE4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</w:rPr>
        <w:t>Biosafety in Microbiological and Biomedical Laboratories, 5</w:t>
      </w:r>
      <w:r w:rsidRPr="00F1701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Edition, HHS Publication Number (CDC) 21-1112</w:t>
      </w:r>
    </w:p>
    <w:p w14:paraId="26EEA0EF" w14:textId="77777777" w:rsidR="00D91BE4" w:rsidRPr="0069651E" w:rsidRDefault="00D91BE4" w:rsidP="00D91BE4">
      <w:pPr>
        <w:pStyle w:val="ListParagraph"/>
        <w:numPr>
          <w:ilvl w:val="1"/>
          <w:numId w:val="1"/>
        </w:numPr>
        <w:rPr>
          <w:rFonts w:cstheme="minorHAnsi"/>
          <w:b/>
        </w:rPr>
      </w:pPr>
      <w:proofErr w:type="spellStart"/>
      <w:r>
        <w:rPr>
          <w:rFonts w:cstheme="minorHAnsi"/>
        </w:rPr>
        <w:t>MinION</w:t>
      </w:r>
      <w:proofErr w:type="spellEnd"/>
      <w:r>
        <w:rPr>
          <w:rFonts w:cstheme="minorHAnsi"/>
        </w:rPr>
        <w:t xml:space="preserve"> Support Training Videos (select the videos relevant to your lab processes; add other videos as appropriate) </w:t>
      </w:r>
    </w:p>
    <w:p w14:paraId="2BA0C0C6" w14:textId="77777777" w:rsidR="00D91BE4" w:rsidRDefault="005B2D08" w:rsidP="00D91BE4">
      <w:pPr>
        <w:pStyle w:val="ListParagraph"/>
        <w:numPr>
          <w:ilvl w:val="2"/>
          <w:numId w:val="1"/>
        </w:numPr>
        <w:rPr>
          <w:rFonts w:cstheme="minorHAnsi"/>
          <w:b/>
        </w:rPr>
      </w:pPr>
      <w:hyperlink r:id="rId11" w:history="1">
        <w:proofErr w:type="spellStart"/>
        <w:r w:rsidR="00D91BE4" w:rsidRPr="0069651E">
          <w:rPr>
            <w:rStyle w:val="Hyperlink"/>
            <w:rFonts w:cstheme="minorHAnsi"/>
            <w:b/>
          </w:rPr>
          <w:t>MinION</w:t>
        </w:r>
        <w:proofErr w:type="spellEnd"/>
        <w:r w:rsidR="00D91BE4" w:rsidRPr="0069651E">
          <w:rPr>
            <w:rStyle w:val="Hyperlink"/>
            <w:rFonts w:cstheme="minorHAnsi"/>
            <w:b/>
          </w:rPr>
          <w:t>: A Portable, Real-Time DNA/RNA Sequencing Device</w:t>
        </w:r>
      </w:hyperlink>
      <w:r w:rsidR="00D91BE4">
        <w:rPr>
          <w:rFonts w:cstheme="minorHAnsi"/>
          <w:b/>
        </w:rPr>
        <w:t xml:space="preserve"> </w:t>
      </w:r>
    </w:p>
    <w:p w14:paraId="51103E80" w14:textId="77777777" w:rsidR="00D91BE4" w:rsidRDefault="005B2D08" w:rsidP="00D91BE4">
      <w:pPr>
        <w:pStyle w:val="ListParagraph"/>
        <w:numPr>
          <w:ilvl w:val="2"/>
          <w:numId w:val="1"/>
        </w:numPr>
        <w:rPr>
          <w:rFonts w:cstheme="minorHAnsi"/>
          <w:b/>
        </w:rPr>
      </w:pPr>
      <w:hyperlink r:id="rId12" w:history="1">
        <w:proofErr w:type="spellStart"/>
        <w:r w:rsidR="00D91BE4" w:rsidRPr="0069651E">
          <w:rPr>
            <w:rStyle w:val="Hyperlink"/>
            <w:rFonts w:cstheme="minorHAnsi"/>
            <w:b/>
          </w:rPr>
          <w:t>Flongle</w:t>
        </w:r>
        <w:proofErr w:type="spellEnd"/>
        <w:r w:rsidR="00D91BE4" w:rsidRPr="0069651E">
          <w:rPr>
            <w:rStyle w:val="Hyperlink"/>
            <w:rFonts w:cstheme="minorHAnsi"/>
            <w:b/>
          </w:rPr>
          <w:t>: For Rapid Nanopore Sequencing of Smaller Samples</w:t>
        </w:r>
      </w:hyperlink>
      <w:r w:rsidR="00D91BE4">
        <w:rPr>
          <w:rFonts w:cstheme="minorHAnsi"/>
          <w:b/>
        </w:rPr>
        <w:t xml:space="preserve"> </w:t>
      </w:r>
    </w:p>
    <w:p w14:paraId="773A94C8" w14:textId="77777777" w:rsidR="00D91BE4" w:rsidRPr="0099605D" w:rsidRDefault="005B2D08" w:rsidP="00D91BE4">
      <w:pPr>
        <w:pStyle w:val="ListParagraph"/>
        <w:numPr>
          <w:ilvl w:val="2"/>
          <w:numId w:val="1"/>
        </w:numPr>
        <w:rPr>
          <w:rStyle w:val="Hyperlink"/>
          <w:rFonts w:cstheme="minorHAnsi"/>
          <w:b/>
        </w:rPr>
      </w:pPr>
      <w:hyperlink r:id="rId13" w:history="1">
        <w:r w:rsidR="00D91BE4">
          <w:rPr>
            <w:rStyle w:val="Hyperlink"/>
            <w:rFonts w:cstheme="minorHAnsi"/>
            <w:b/>
          </w:rPr>
          <w:t>Loading an Oxford Nanopore Flow Cell</w:t>
        </w:r>
      </w:hyperlink>
    </w:p>
    <w:p w14:paraId="1D6AA628" w14:textId="77777777" w:rsidR="00D91BE4" w:rsidRPr="00180EFB" w:rsidRDefault="005B2D08" w:rsidP="00D91BE4">
      <w:pPr>
        <w:pStyle w:val="ListParagraph"/>
        <w:numPr>
          <w:ilvl w:val="2"/>
          <w:numId w:val="1"/>
        </w:numPr>
        <w:rPr>
          <w:rFonts w:cstheme="minorHAnsi"/>
          <w:b/>
        </w:rPr>
      </w:pPr>
      <w:hyperlink r:id="rId14" w:history="1">
        <w:r w:rsidR="00D91BE4" w:rsidRPr="0013300D">
          <w:rPr>
            <w:rStyle w:val="Hyperlink"/>
            <w:rFonts w:cstheme="minorHAnsi"/>
            <w:b/>
          </w:rPr>
          <w:t>RNA Sequencing with Nanopore Technology</w:t>
        </w:r>
      </w:hyperlink>
    </w:p>
    <w:p w14:paraId="1F751CC8" w14:textId="77777777" w:rsidR="00D91BE4" w:rsidRPr="002A3C7C" w:rsidRDefault="00D91BE4" w:rsidP="00D91BE4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</w:rPr>
        <w:t xml:space="preserve">Required Reading </w:t>
      </w:r>
      <w:r w:rsidRPr="001A60DE">
        <w:rPr>
          <w:rFonts w:cstheme="minorHAnsi"/>
          <w:i/>
          <w:color w:val="00698E"/>
        </w:rPr>
        <w:t>(select documents relevant to your lab processes; add other documents as appropriate)</w:t>
      </w:r>
      <w:r>
        <w:rPr>
          <w:rFonts w:cstheme="minorHAnsi"/>
        </w:rPr>
        <w:t xml:space="preserve"> </w:t>
      </w:r>
    </w:p>
    <w:p w14:paraId="6ADDECBC" w14:textId="77777777" w:rsidR="00D91BE4" w:rsidRPr="00B86CCB" w:rsidRDefault="00D91BE4" w:rsidP="00D91BE4">
      <w:pPr>
        <w:pStyle w:val="ListParagraph"/>
        <w:numPr>
          <w:ilvl w:val="2"/>
          <w:numId w:val="1"/>
        </w:numPr>
        <w:rPr>
          <w:rFonts w:cstheme="minorHAnsi"/>
          <w:b/>
        </w:rPr>
      </w:pPr>
      <w:proofErr w:type="spellStart"/>
      <w:r>
        <w:rPr>
          <w:rFonts w:cstheme="minorHAnsi"/>
        </w:rPr>
        <w:t>MinION</w:t>
      </w:r>
      <w:proofErr w:type="spellEnd"/>
      <w:r>
        <w:rPr>
          <w:rFonts w:cstheme="minorHAnsi"/>
        </w:rPr>
        <w:t xml:space="preserve"> Flow Cell Check Protocol</w:t>
      </w:r>
    </w:p>
    <w:p w14:paraId="5ECFDE75" w14:textId="77777777" w:rsidR="00D91BE4" w:rsidRPr="00B86CCB" w:rsidRDefault="00D91BE4" w:rsidP="00D91BE4">
      <w:pPr>
        <w:pStyle w:val="ListParagraph"/>
        <w:numPr>
          <w:ilvl w:val="2"/>
          <w:numId w:val="1"/>
        </w:numPr>
        <w:rPr>
          <w:rFonts w:cstheme="minorHAnsi"/>
          <w:b/>
        </w:rPr>
      </w:pPr>
      <w:proofErr w:type="spellStart"/>
      <w:r>
        <w:rPr>
          <w:rFonts w:cstheme="minorHAnsi"/>
        </w:rPr>
        <w:t>MinION</w:t>
      </w:r>
      <w:proofErr w:type="spellEnd"/>
      <w:r>
        <w:rPr>
          <w:rFonts w:cstheme="minorHAnsi"/>
        </w:rPr>
        <w:t xml:space="preserve"> Rapid Sequencing Protocol</w:t>
      </w:r>
    </w:p>
    <w:p w14:paraId="67961993" w14:textId="77777777" w:rsidR="00D91BE4" w:rsidRPr="004A0F3A" w:rsidRDefault="00D91BE4" w:rsidP="00D91BE4">
      <w:pPr>
        <w:pStyle w:val="ListParagraph"/>
        <w:numPr>
          <w:ilvl w:val="2"/>
          <w:numId w:val="1"/>
        </w:numPr>
        <w:rPr>
          <w:rFonts w:cstheme="minorHAnsi"/>
          <w:b/>
        </w:rPr>
      </w:pPr>
      <w:proofErr w:type="spellStart"/>
      <w:r>
        <w:rPr>
          <w:rFonts w:cstheme="minorHAnsi"/>
        </w:rPr>
        <w:t>MinION</w:t>
      </w:r>
      <w:proofErr w:type="spellEnd"/>
      <w:r>
        <w:rPr>
          <w:rFonts w:cstheme="minorHAnsi"/>
        </w:rPr>
        <w:t xml:space="preserve"> 1D Genomic DNA by Ligation Protocol</w:t>
      </w:r>
    </w:p>
    <w:p w14:paraId="04600BE6" w14:textId="77777777" w:rsidR="00D91BE4" w:rsidRPr="002A3C7C" w:rsidRDefault="00D91BE4" w:rsidP="00D91BE4">
      <w:pPr>
        <w:pStyle w:val="ListParagraph"/>
        <w:numPr>
          <w:ilvl w:val="2"/>
          <w:numId w:val="1"/>
        </w:numPr>
        <w:rPr>
          <w:rFonts w:cstheme="minorHAnsi"/>
          <w:b/>
        </w:rPr>
      </w:pPr>
      <w:r>
        <w:rPr>
          <w:rFonts w:cstheme="minorHAnsi"/>
        </w:rPr>
        <w:t xml:space="preserve">Oxford Nanopore Community Discussion Board </w:t>
      </w:r>
    </w:p>
    <w:p w14:paraId="73B534D1" w14:textId="77777777" w:rsidR="00D91BE4" w:rsidRPr="002A3C7C" w:rsidRDefault="00D91BE4" w:rsidP="00D91BE4">
      <w:pPr>
        <w:pStyle w:val="ListParagraph"/>
        <w:ind w:left="1152"/>
        <w:rPr>
          <w:rFonts w:cstheme="minorHAnsi"/>
          <w:b/>
        </w:rPr>
      </w:pPr>
    </w:p>
    <w:p w14:paraId="09B833F5" w14:textId="77777777" w:rsidR="00D91BE4" w:rsidRPr="001F48C8" w:rsidRDefault="00D91BE4" w:rsidP="00D91BE4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Equipment/Materials</w:t>
      </w:r>
    </w:p>
    <w:p w14:paraId="7AAE058F" w14:textId="77777777" w:rsidR="00D91BE4" w:rsidRDefault="00D91BE4" w:rsidP="00D91BE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Oxford Nanopore </w:t>
      </w:r>
      <w:proofErr w:type="spellStart"/>
      <w:r>
        <w:rPr>
          <w:rFonts w:cstheme="minorHAnsi"/>
        </w:rPr>
        <w:t>MinION</w:t>
      </w:r>
      <w:proofErr w:type="spellEnd"/>
      <w:r>
        <w:rPr>
          <w:rFonts w:cstheme="minorHAnsi"/>
        </w:rPr>
        <w:t xml:space="preserve"> Sequencer </w:t>
      </w:r>
    </w:p>
    <w:p w14:paraId="01182AB3" w14:textId="77777777" w:rsidR="00D91BE4" w:rsidRDefault="00D91BE4" w:rsidP="00D91BE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Library preparation and sequencing reagents </w:t>
      </w:r>
    </w:p>
    <w:p w14:paraId="172AD04C" w14:textId="77777777" w:rsidR="00D91BE4" w:rsidRPr="00180EFB" w:rsidRDefault="00D91BE4" w:rsidP="00D91BE4">
      <w:pPr>
        <w:pStyle w:val="ListParagraph"/>
        <w:ind w:left="864"/>
        <w:rPr>
          <w:rFonts w:cstheme="minorHAnsi"/>
        </w:rPr>
      </w:pPr>
    </w:p>
    <w:p w14:paraId="6085C116" w14:textId="77777777" w:rsidR="00D91BE4" w:rsidRDefault="00D91BE4" w:rsidP="00D91BE4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Safety Precautions </w:t>
      </w:r>
    </w:p>
    <w:p w14:paraId="064D474B" w14:textId="77777777" w:rsidR="00D91BE4" w:rsidRDefault="00D91BE4" w:rsidP="00D91BE4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</w:pPr>
      <w:r>
        <w:t xml:space="preserve">   All BSL-2 practices, safety equipment, and facility design must comply with the requirements listed in the most current version of Biosafety in Microbiology and Biomedical Laboratories.</w:t>
      </w:r>
    </w:p>
    <w:p w14:paraId="5DB4BF64" w14:textId="77777777" w:rsidR="00D91BE4" w:rsidRDefault="00D91BE4" w:rsidP="00D91BE4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</w:pPr>
      <w:r>
        <w:t xml:space="preserve">   Appropriate PPE </w:t>
      </w:r>
      <w:proofErr w:type="gramStart"/>
      <w:r>
        <w:t>must be worn at all times</w:t>
      </w:r>
      <w:proofErr w:type="gramEnd"/>
      <w:r>
        <w:t xml:space="preserve"> when working in the laboratory, including laboratory coat, gloves, and safety glasses (if splashes are anticipated</w:t>
      </w:r>
    </w:p>
    <w:p w14:paraId="7A1F538A" w14:textId="77777777" w:rsidR="00D91BE4" w:rsidRPr="00180EFB" w:rsidRDefault="00D91BE4" w:rsidP="00D91BE4">
      <w:pPr>
        <w:pStyle w:val="ListParagraph"/>
        <w:tabs>
          <w:tab w:val="left" w:pos="720"/>
        </w:tabs>
        <w:spacing w:after="0" w:line="240" w:lineRule="auto"/>
        <w:ind w:left="864"/>
      </w:pPr>
    </w:p>
    <w:p w14:paraId="1ED4CAC6" w14:textId="77777777" w:rsidR="00D91BE4" w:rsidRDefault="00D91BE4" w:rsidP="00D91BE4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Procedure</w:t>
      </w:r>
    </w:p>
    <w:p w14:paraId="6473C84C" w14:textId="77777777" w:rsidR="00D91BE4" w:rsidRDefault="00D91BE4" w:rsidP="00D91BE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The trainee will build a basic understanding of </w:t>
      </w:r>
      <w:proofErr w:type="spellStart"/>
      <w:r>
        <w:rPr>
          <w:rFonts w:cstheme="minorHAnsi"/>
        </w:rPr>
        <w:t>MinION</w:t>
      </w:r>
      <w:proofErr w:type="spellEnd"/>
      <w:r>
        <w:rPr>
          <w:rFonts w:cstheme="minorHAnsi"/>
        </w:rPr>
        <w:t xml:space="preserve"> next generation sequencing (NGS) technology by: </w:t>
      </w:r>
    </w:p>
    <w:p w14:paraId="48D7F88E" w14:textId="77777777" w:rsidR="00D91BE4" w:rsidRDefault="00D91BE4" w:rsidP="00D91BE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Reviewing the </w:t>
      </w:r>
      <w:proofErr w:type="spellStart"/>
      <w:r>
        <w:rPr>
          <w:rFonts w:cstheme="minorHAnsi"/>
        </w:rPr>
        <w:t>MinION</w:t>
      </w:r>
      <w:proofErr w:type="spellEnd"/>
      <w:r>
        <w:rPr>
          <w:rFonts w:cstheme="minorHAnsi"/>
        </w:rPr>
        <w:t xml:space="preserve"> support training </w:t>
      </w:r>
      <w:r w:rsidRPr="00D23B6D">
        <w:rPr>
          <w:rFonts w:cstheme="minorHAnsi"/>
        </w:rPr>
        <w:t>videos (Section 5.4)</w:t>
      </w:r>
      <w:r>
        <w:rPr>
          <w:rFonts w:cstheme="minorHAnsi"/>
        </w:rPr>
        <w:t xml:space="preserve"> </w:t>
      </w:r>
    </w:p>
    <w:p w14:paraId="20673D79" w14:textId="77777777" w:rsidR="00D91BE4" w:rsidRDefault="00D91BE4" w:rsidP="00D91BE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Complete the required readings </w:t>
      </w:r>
      <w:r w:rsidRPr="00D23B6D">
        <w:rPr>
          <w:rFonts w:cstheme="minorHAnsi"/>
        </w:rPr>
        <w:t>(Section 5.5)</w:t>
      </w:r>
      <w:r>
        <w:rPr>
          <w:rFonts w:cstheme="minorHAnsi"/>
        </w:rPr>
        <w:t xml:space="preserve"> </w:t>
      </w:r>
    </w:p>
    <w:p w14:paraId="33AE1549" w14:textId="77777777" w:rsidR="00D91BE4" w:rsidRPr="0094719E" w:rsidRDefault="00D91BE4" w:rsidP="00D91BE4">
      <w:pPr>
        <w:pStyle w:val="ListParagraph"/>
        <w:numPr>
          <w:ilvl w:val="1"/>
          <w:numId w:val="1"/>
        </w:numPr>
        <w:rPr>
          <w:rFonts w:cstheme="minorHAnsi"/>
        </w:rPr>
      </w:pPr>
      <w:r w:rsidRPr="0094719E">
        <w:rPr>
          <w:rFonts w:cstheme="minorHAnsi"/>
        </w:rPr>
        <w:t>The traine</w:t>
      </w:r>
      <w:r>
        <w:rPr>
          <w:rFonts w:cstheme="minorHAnsi"/>
        </w:rPr>
        <w:t>r will perform all steps within</w:t>
      </w:r>
      <w:r w:rsidRPr="0094719E">
        <w:rPr>
          <w:rFonts w:cstheme="minorHAnsi"/>
        </w:rPr>
        <w:t xml:space="preserve"> the seque</w:t>
      </w:r>
      <w:r>
        <w:rPr>
          <w:rFonts w:cstheme="minorHAnsi"/>
        </w:rPr>
        <w:t>ncing SOP in the laboratory while</w:t>
      </w:r>
      <w:r w:rsidRPr="0094719E">
        <w:rPr>
          <w:rFonts w:cstheme="minorHAnsi"/>
        </w:rPr>
        <w:t xml:space="preserve"> the trainee observes.</w:t>
      </w:r>
    </w:p>
    <w:p w14:paraId="3873728D" w14:textId="77777777" w:rsidR="00D91BE4" w:rsidRDefault="00D91BE4" w:rsidP="00D91BE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The trainer will verbally walk the trainee through the entire sequencing process from the beginning to end using the operational protocol as a training guide (Section 5.5) </w:t>
      </w:r>
    </w:p>
    <w:p w14:paraId="3FFE6DAE" w14:textId="77777777" w:rsidR="00D91BE4" w:rsidRDefault="00D91BE4" w:rsidP="00D91BE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This 1:1 review will cover initial sample quality control, preparing sample libraries, preparing the sequencing instrument, running the sequencing instrument, clean-up, and review of sequencing run quality control metrics.</w:t>
      </w:r>
    </w:p>
    <w:p w14:paraId="1EC2799D" w14:textId="77777777" w:rsidR="00D91BE4" w:rsidRDefault="00D91BE4" w:rsidP="00D91BE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The trainee will perform all steps within the sequencing SOP under direct and full observation of the trainer.</w:t>
      </w:r>
    </w:p>
    <w:p w14:paraId="25C047DD" w14:textId="77777777" w:rsidR="00D91BE4" w:rsidRDefault="00D91BE4" w:rsidP="00D91BE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The trainer will quiz the trainee on multiple aspects of the protocol, including the questions below </w:t>
      </w:r>
      <w:r w:rsidRPr="001A60DE">
        <w:rPr>
          <w:rFonts w:cstheme="minorHAnsi"/>
          <w:i/>
          <w:color w:val="00698E"/>
        </w:rPr>
        <w:t>(the laboratory should populate this section with questions relevant to their procedure</w:t>
      </w:r>
      <w:r>
        <w:rPr>
          <w:rFonts w:cstheme="minorHAnsi"/>
        </w:rPr>
        <w:t>):</w:t>
      </w:r>
    </w:p>
    <w:p w14:paraId="5C91BC3B" w14:textId="77777777" w:rsidR="00D91BE4" w:rsidRPr="00A32011" w:rsidRDefault="00D91BE4" w:rsidP="00D91BE4">
      <w:pPr>
        <w:pStyle w:val="ListParagraph"/>
        <w:numPr>
          <w:ilvl w:val="3"/>
          <w:numId w:val="1"/>
        </w:numPr>
        <w:rPr>
          <w:rFonts w:cstheme="minorHAnsi"/>
          <w:i/>
          <w:color w:val="00B0F0"/>
        </w:rPr>
      </w:pPr>
      <w:r w:rsidRPr="001A60DE">
        <w:rPr>
          <w:rFonts w:cstheme="minorHAnsi"/>
          <w:i/>
          <w:color w:val="00698E"/>
        </w:rPr>
        <w:t xml:space="preserve">Describe how the </w:t>
      </w:r>
      <w:proofErr w:type="spellStart"/>
      <w:r w:rsidRPr="001A60DE">
        <w:rPr>
          <w:rFonts w:cstheme="minorHAnsi"/>
          <w:i/>
          <w:color w:val="00698E"/>
        </w:rPr>
        <w:t>MinION</w:t>
      </w:r>
      <w:proofErr w:type="spellEnd"/>
      <w:r w:rsidRPr="001A60DE">
        <w:rPr>
          <w:rFonts w:cstheme="minorHAnsi"/>
          <w:i/>
          <w:color w:val="00698E"/>
        </w:rPr>
        <w:t xml:space="preserve"> identifies signals from the library fragment during sequencing.</w:t>
      </w:r>
    </w:p>
    <w:p w14:paraId="5DEF0031" w14:textId="77777777" w:rsidR="00D91BE4" w:rsidRPr="00A32011" w:rsidRDefault="00D91BE4" w:rsidP="00D91BE4">
      <w:pPr>
        <w:pStyle w:val="ListParagraph"/>
        <w:numPr>
          <w:ilvl w:val="3"/>
          <w:numId w:val="1"/>
        </w:numPr>
        <w:rPr>
          <w:rFonts w:cstheme="minorHAnsi"/>
          <w:i/>
          <w:color w:val="00B0F0"/>
        </w:rPr>
      </w:pPr>
      <w:r w:rsidRPr="001A60DE">
        <w:rPr>
          <w:rFonts w:cstheme="minorHAnsi"/>
          <w:i/>
          <w:color w:val="00698E"/>
        </w:rPr>
        <w:t xml:space="preserve">What can be done if the library does not absorb by capillary action into the </w:t>
      </w:r>
      <w:proofErr w:type="spellStart"/>
      <w:r w:rsidRPr="001A60DE">
        <w:rPr>
          <w:rFonts w:cstheme="minorHAnsi"/>
          <w:i/>
          <w:color w:val="00698E"/>
        </w:rPr>
        <w:t>SpotON</w:t>
      </w:r>
      <w:proofErr w:type="spellEnd"/>
      <w:r w:rsidRPr="001A60DE">
        <w:rPr>
          <w:rFonts w:cstheme="minorHAnsi"/>
          <w:i/>
          <w:color w:val="00698E"/>
        </w:rPr>
        <w:t xml:space="preserve"> priming port?</w:t>
      </w:r>
    </w:p>
    <w:p w14:paraId="34E7530F" w14:textId="77777777" w:rsidR="00D91BE4" w:rsidRPr="00A32011" w:rsidRDefault="00D91BE4" w:rsidP="00D91BE4">
      <w:pPr>
        <w:pStyle w:val="ListParagraph"/>
        <w:numPr>
          <w:ilvl w:val="3"/>
          <w:numId w:val="1"/>
        </w:numPr>
        <w:rPr>
          <w:rFonts w:cstheme="minorHAnsi"/>
          <w:i/>
          <w:color w:val="00B0F0"/>
        </w:rPr>
      </w:pPr>
      <w:r w:rsidRPr="001A60DE">
        <w:rPr>
          <w:rFonts w:cstheme="minorHAnsi"/>
          <w:i/>
          <w:color w:val="00698E"/>
        </w:rPr>
        <w:t>Why do you open the flow cell priming port and then add 200 µl?</w:t>
      </w:r>
    </w:p>
    <w:p w14:paraId="296A3893" w14:textId="77777777" w:rsidR="00D91BE4" w:rsidRPr="00A32011" w:rsidRDefault="00D91BE4" w:rsidP="00D91BE4">
      <w:pPr>
        <w:pStyle w:val="ListParagraph"/>
        <w:numPr>
          <w:ilvl w:val="3"/>
          <w:numId w:val="1"/>
        </w:numPr>
        <w:rPr>
          <w:rFonts w:cstheme="minorHAnsi"/>
          <w:i/>
          <w:color w:val="00B0F0"/>
        </w:rPr>
      </w:pPr>
      <w:r w:rsidRPr="001A60DE">
        <w:rPr>
          <w:rFonts w:cstheme="minorHAnsi"/>
          <w:i/>
          <w:color w:val="00698E"/>
        </w:rPr>
        <w:t>Why is it important to have greater than 800 active pores?</w:t>
      </w:r>
    </w:p>
    <w:p w14:paraId="6B0915DF" w14:textId="77777777" w:rsidR="00D91BE4" w:rsidRPr="00A32011" w:rsidRDefault="00D91BE4" w:rsidP="00D91BE4">
      <w:pPr>
        <w:pStyle w:val="ListParagraph"/>
        <w:numPr>
          <w:ilvl w:val="3"/>
          <w:numId w:val="1"/>
        </w:numPr>
        <w:rPr>
          <w:rFonts w:cstheme="minorHAnsi"/>
          <w:i/>
          <w:color w:val="00B0F0"/>
        </w:rPr>
      </w:pPr>
      <w:r w:rsidRPr="001A60DE">
        <w:rPr>
          <w:rFonts w:cstheme="minorHAnsi"/>
          <w:i/>
          <w:color w:val="00698E"/>
        </w:rPr>
        <w:t xml:space="preserve">What could cause </w:t>
      </w:r>
      <w:proofErr w:type="gramStart"/>
      <w:r w:rsidRPr="001A60DE">
        <w:rPr>
          <w:rFonts w:cstheme="minorHAnsi"/>
          <w:i/>
          <w:color w:val="00698E"/>
        </w:rPr>
        <w:t>a large number of</w:t>
      </w:r>
      <w:proofErr w:type="gramEnd"/>
      <w:r w:rsidRPr="001A60DE">
        <w:rPr>
          <w:rFonts w:cstheme="minorHAnsi"/>
          <w:i/>
          <w:color w:val="00698E"/>
        </w:rPr>
        <w:t xml:space="preserve"> unavailable/inactive pores after loading the flow cell?</w:t>
      </w:r>
    </w:p>
    <w:p w14:paraId="56990E3C" w14:textId="77777777" w:rsidR="00D91BE4" w:rsidRDefault="00D91BE4" w:rsidP="00D91BE4">
      <w:pPr>
        <w:pStyle w:val="ListParagraph"/>
        <w:numPr>
          <w:ilvl w:val="2"/>
          <w:numId w:val="1"/>
        </w:numPr>
        <w:rPr>
          <w:rFonts w:cstheme="minorHAnsi"/>
        </w:rPr>
      </w:pPr>
      <w:r w:rsidRPr="00A70C2D">
        <w:rPr>
          <w:rFonts w:cstheme="minorHAnsi"/>
        </w:rPr>
        <w:t xml:space="preserve">The trainer will review the trainee’s quality control data as </w:t>
      </w:r>
      <w:r>
        <w:rPr>
          <w:rFonts w:cstheme="minorHAnsi"/>
        </w:rPr>
        <w:t xml:space="preserve">described in the sequencing protocol </w:t>
      </w:r>
      <w:r w:rsidRPr="00A70C2D">
        <w:rPr>
          <w:rFonts w:cstheme="minorHAnsi"/>
        </w:rPr>
        <w:t>to assess the competency of the trainee.</w:t>
      </w:r>
    </w:p>
    <w:p w14:paraId="48C4084F" w14:textId="77777777" w:rsidR="00D91BE4" w:rsidRDefault="00D91BE4" w:rsidP="00D91BE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Once the trainee successfully performs a sequencing run under the observation of the trainer, the trainee will perform an unaccompanied sequencing run.</w:t>
      </w:r>
    </w:p>
    <w:p w14:paraId="237FA9D9" w14:textId="77777777" w:rsidR="00D91BE4" w:rsidRPr="00A70C2D" w:rsidRDefault="00D91BE4" w:rsidP="00D91BE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The trainer will review the trainee’s quality control data and run data to assess the competency of the trainee.</w:t>
      </w:r>
    </w:p>
    <w:p w14:paraId="73A3B9ED" w14:textId="77777777" w:rsidR="00D91BE4" w:rsidRDefault="00D91BE4" w:rsidP="00D91BE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Is it the responsibility of the primary user to ensure that preventative maintenance is scheduled and </w:t>
      </w:r>
      <w:proofErr w:type="gramStart"/>
      <w:r>
        <w:rPr>
          <w:rFonts w:cstheme="minorHAnsi"/>
        </w:rPr>
        <w:t>executed.</w:t>
      </w:r>
      <w:proofErr w:type="gramEnd"/>
    </w:p>
    <w:p w14:paraId="6B20BFF7" w14:textId="77777777" w:rsidR="00D91BE4" w:rsidRDefault="00D91BE4" w:rsidP="00D91BE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The trainee will observe proper user performed preventive maintenance.</w:t>
      </w:r>
    </w:p>
    <w:p w14:paraId="62716522" w14:textId="77777777" w:rsidR="00D91BE4" w:rsidRDefault="00D91BE4" w:rsidP="00D91BE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The trainee will perform user performed preventive maintenance.</w:t>
      </w:r>
    </w:p>
    <w:p w14:paraId="3341B3AD" w14:textId="77777777" w:rsidR="00D91BE4" w:rsidRDefault="00D91BE4" w:rsidP="00D91BE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The trainer will assess the trainee’s ability to properly maintain the instrument according to established maintenance procedures. </w:t>
      </w:r>
    </w:p>
    <w:p w14:paraId="7A96C405" w14:textId="77777777" w:rsidR="00D91BE4" w:rsidRPr="00F5168F" w:rsidRDefault="00D91BE4" w:rsidP="00D91BE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5168F">
        <w:rPr>
          <w:rFonts w:cstheme="minorHAnsi"/>
          <w:b/>
        </w:rPr>
        <w:t>Continued Learning</w:t>
      </w:r>
    </w:p>
    <w:p w14:paraId="04EADB4C" w14:textId="77777777" w:rsidR="00D91BE4" w:rsidRDefault="00D91BE4" w:rsidP="00D91BE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Trainers and primary users should regularly attend Oxford Nanopore </w:t>
      </w:r>
      <w:proofErr w:type="spellStart"/>
      <w:r>
        <w:rPr>
          <w:rFonts w:cstheme="minorHAnsi"/>
        </w:rPr>
        <w:t>MinION</w:t>
      </w:r>
      <w:proofErr w:type="spellEnd"/>
      <w:r>
        <w:rPr>
          <w:rFonts w:cstheme="minorHAnsi"/>
        </w:rPr>
        <w:t xml:space="preserve"> webinars, read primary literature, and review new product releases.</w:t>
      </w:r>
    </w:p>
    <w:p w14:paraId="40EBA03E" w14:textId="77777777" w:rsidR="00D91BE4" w:rsidRDefault="00D91BE4" w:rsidP="00D91BE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It is expected that trainers will try new protocols in the laboratory and teach new skills to primary users on a semiannual basis.</w:t>
      </w:r>
    </w:p>
    <w:p w14:paraId="2A6F35C1" w14:textId="77777777" w:rsidR="00D91BE4" w:rsidRPr="00B86CCB" w:rsidRDefault="00D91BE4" w:rsidP="00D91BE4">
      <w:pPr>
        <w:pStyle w:val="ListParagraph"/>
        <w:ind w:left="864"/>
        <w:rPr>
          <w:rFonts w:cstheme="minorHAnsi"/>
        </w:rPr>
      </w:pPr>
    </w:p>
    <w:p w14:paraId="076DEEAE" w14:textId="77777777" w:rsidR="00D91BE4" w:rsidRPr="001F48C8" w:rsidRDefault="00D91BE4" w:rsidP="00D91BE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F48C8">
        <w:rPr>
          <w:rFonts w:cstheme="minorHAnsi"/>
          <w:b/>
        </w:rPr>
        <w:t>References</w:t>
      </w:r>
    </w:p>
    <w:p w14:paraId="1F6A3A37" w14:textId="77777777" w:rsidR="00D91BE4" w:rsidRPr="001F48C8" w:rsidRDefault="00D91BE4" w:rsidP="00D91BE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F48C8">
        <w:rPr>
          <w:rFonts w:cstheme="minorHAnsi"/>
          <w:b/>
        </w:rPr>
        <w:t>Appendices</w:t>
      </w:r>
    </w:p>
    <w:p w14:paraId="494821E0" w14:textId="77777777" w:rsidR="00D91BE4" w:rsidRPr="001F48C8" w:rsidRDefault="00D91BE4" w:rsidP="00D91BE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F48C8">
        <w:rPr>
          <w:rFonts w:cstheme="minorHAnsi"/>
          <w:b/>
        </w:rPr>
        <w:t>Revision History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530"/>
        <w:gridCol w:w="4756"/>
        <w:gridCol w:w="1701"/>
      </w:tblGrid>
      <w:tr w:rsidR="00D91BE4" w:rsidRPr="001F48C8" w14:paraId="668B9A3A" w14:textId="77777777" w:rsidTr="00D91BE4">
        <w:tc>
          <w:tcPr>
            <w:tcW w:w="833" w:type="dxa"/>
            <w:shd w:val="clear" w:color="auto" w:fill="BDD6EE" w:themeFill="accent1" w:themeFillTint="66"/>
          </w:tcPr>
          <w:p w14:paraId="6F487CAB" w14:textId="77777777" w:rsidR="00D91BE4" w:rsidRPr="001F48C8" w:rsidRDefault="00D91BE4" w:rsidP="00D91BE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F48C8">
              <w:rPr>
                <w:rFonts w:eastAsia="Times New Roman" w:cstheme="minorHAnsi"/>
                <w:b/>
              </w:rPr>
              <w:t>Rev #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14:paraId="4AE39459" w14:textId="77777777" w:rsidR="00D91BE4" w:rsidRPr="001F48C8" w:rsidRDefault="00D91BE4" w:rsidP="00D91BE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F48C8">
              <w:rPr>
                <w:rFonts w:eastAsia="Times New Roman" w:cstheme="minorHAnsi"/>
                <w:b/>
              </w:rPr>
              <w:t>DCR #</w:t>
            </w:r>
          </w:p>
        </w:tc>
        <w:tc>
          <w:tcPr>
            <w:tcW w:w="4756" w:type="dxa"/>
            <w:shd w:val="clear" w:color="auto" w:fill="BDD6EE" w:themeFill="accent1" w:themeFillTint="66"/>
          </w:tcPr>
          <w:p w14:paraId="17BEE749" w14:textId="77777777" w:rsidR="00D91BE4" w:rsidRPr="001F48C8" w:rsidRDefault="00D91BE4" w:rsidP="00D91BE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F48C8">
              <w:rPr>
                <w:rFonts w:eastAsia="Times New Roman" w:cstheme="minorHAnsi"/>
                <w:b/>
              </w:rPr>
              <w:t>Change Summary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11BBA3E7" w14:textId="77777777" w:rsidR="00D91BE4" w:rsidRPr="001F48C8" w:rsidRDefault="00D91BE4" w:rsidP="00D91BE4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F48C8">
              <w:rPr>
                <w:rFonts w:eastAsia="Times New Roman" w:cstheme="minorHAnsi"/>
                <w:b/>
              </w:rPr>
              <w:t>Date</w:t>
            </w:r>
          </w:p>
        </w:tc>
      </w:tr>
      <w:tr w:rsidR="00D91BE4" w:rsidRPr="001F48C8" w14:paraId="6D6B9A3D" w14:textId="77777777" w:rsidTr="00D91BE4">
        <w:tc>
          <w:tcPr>
            <w:tcW w:w="833" w:type="dxa"/>
          </w:tcPr>
          <w:p w14:paraId="14A87D96" w14:textId="77777777" w:rsidR="00D91BE4" w:rsidRPr="001F48C8" w:rsidRDefault="00D91BE4" w:rsidP="00D91BE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530" w:type="dxa"/>
          </w:tcPr>
          <w:p w14:paraId="1EE6A728" w14:textId="77777777" w:rsidR="00D91BE4" w:rsidRPr="001F48C8" w:rsidRDefault="00D91BE4" w:rsidP="00D91BE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756" w:type="dxa"/>
          </w:tcPr>
          <w:p w14:paraId="11A75DD6" w14:textId="77777777" w:rsidR="00D91BE4" w:rsidRPr="001F48C8" w:rsidRDefault="00D91BE4" w:rsidP="00D91BE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</w:tcPr>
          <w:p w14:paraId="5CC785F9" w14:textId="77777777" w:rsidR="00D91BE4" w:rsidRPr="001F48C8" w:rsidRDefault="00D91BE4" w:rsidP="00D91BE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4090EDE" w14:textId="77777777" w:rsidR="00D91BE4" w:rsidRPr="001F48C8" w:rsidRDefault="00D91BE4" w:rsidP="00D91BE4">
      <w:pPr>
        <w:pStyle w:val="ListParagraph"/>
        <w:ind w:left="432"/>
        <w:rPr>
          <w:rFonts w:cstheme="minorHAnsi"/>
          <w:b/>
        </w:rPr>
      </w:pPr>
    </w:p>
    <w:p w14:paraId="7A8C4C76" w14:textId="77777777" w:rsidR="00D91BE4" w:rsidRPr="001F48C8" w:rsidRDefault="00D91BE4" w:rsidP="00D91BE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F48C8">
        <w:rPr>
          <w:rFonts w:cstheme="minorHAnsi"/>
          <w:b/>
        </w:rPr>
        <w:t>Approval</w:t>
      </w:r>
    </w:p>
    <w:p w14:paraId="735E47B2" w14:textId="77777777" w:rsidR="00D91BE4" w:rsidRPr="00F5168F" w:rsidRDefault="00D91BE4" w:rsidP="00D91BE4">
      <w:pPr>
        <w:pStyle w:val="ListParagraph"/>
        <w:tabs>
          <w:tab w:val="left" w:pos="720"/>
          <w:tab w:val="left" w:pos="1440"/>
        </w:tabs>
        <w:ind w:left="432"/>
        <w:rPr>
          <w:b/>
        </w:rPr>
      </w:pPr>
    </w:p>
    <w:p w14:paraId="02F1692F" w14:textId="77777777" w:rsidR="00D91BE4" w:rsidRPr="00F5168F" w:rsidRDefault="00D91BE4" w:rsidP="00D91BE4">
      <w:pPr>
        <w:pStyle w:val="ListParagraph"/>
        <w:tabs>
          <w:tab w:val="left" w:pos="720"/>
          <w:tab w:val="left" w:pos="1440"/>
        </w:tabs>
        <w:ind w:left="432"/>
        <w:rPr>
          <w:u w:val="single"/>
        </w:rPr>
      </w:pPr>
      <w:r>
        <w:t xml:space="preserve">Approved By: </w:t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>
        <w:t xml:space="preserve">Date: </w:t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</w:p>
    <w:p w14:paraId="025CEABF" w14:textId="77777777" w:rsidR="00D91BE4" w:rsidRPr="00F5168F" w:rsidRDefault="00D91BE4" w:rsidP="00D91BE4">
      <w:pPr>
        <w:pStyle w:val="ListParagraph"/>
        <w:tabs>
          <w:tab w:val="left" w:pos="720"/>
          <w:tab w:val="left" w:pos="1440"/>
        </w:tabs>
        <w:ind w:left="432"/>
        <w:rPr>
          <w:sz w:val="20"/>
          <w:szCs w:val="20"/>
        </w:rPr>
      </w:pPr>
      <w:r w:rsidRPr="00F5168F">
        <w:rPr>
          <w:sz w:val="20"/>
          <w:szCs w:val="20"/>
        </w:rPr>
        <w:tab/>
      </w:r>
      <w:r w:rsidRPr="00F5168F">
        <w:rPr>
          <w:sz w:val="20"/>
          <w:szCs w:val="20"/>
        </w:rPr>
        <w:tab/>
        <w:t>Author</w:t>
      </w:r>
    </w:p>
    <w:p w14:paraId="41A65D7B" w14:textId="77777777" w:rsidR="00D91BE4" w:rsidRDefault="00D91BE4" w:rsidP="00D91BE4">
      <w:pPr>
        <w:pStyle w:val="ListParagraph"/>
        <w:tabs>
          <w:tab w:val="left" w:pos="720"/>
          <w:tab w:val="left" w:pos="1440"/>
        </w:tabs>
        <w:ind w:left="432"/>
      </w:pPr>
    </w:p>
    <w:p w14:paraId="265D1C16" w14:textId="77777777" w:rsidR="00D91BE4" w:rsidRPr="00F5168F" w:rsidRDefault="00D91BE4" w:rsidP="00D91BE4">
      <w:pPr>
        <w:pStyle w:val="ListParagraph"/>
        <w:tabs>
          <w:tab w:val="left" w:pos="720"/>
          <w:tab w:val="left" w:pos="1440"/>
        </w:tabs>
        <w:ind w:left="432"/>
        <w:rPr>
          <w:u w:val="single"/>
        </w:rPr>
      </w:pPr>
      <w:r>
        <w:tab/>
      </w:r>
      <w: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</w:p>
    <w:p w14:paraId="5D0B331C" w14:textId="77777777" w:rsidR="00D91BE4" w:rsidRDefault="00D91BE4" w:rsidP="00D91BE4">
      <w:pPr>
        <w:pStyle w:val="ListParagraph"/>
        <w:tabs>
          <w:tab w:val="left" w:pos="720"/>
          <w:tab w:val="left" w:pos="1440"/>
        </w:tabs>
        <w:ind w:left="432"/>
      </w:pPr>
      <w:r w:rsidRPr="00F5168F">
        <w:rPr>
          <w:sz w:val="20"/>
          <w:szCs w:val="20"/>
        </w:rPr>
        <w:tab/>
      </w:r>
      <w:r w:rsidRPr="00F5168F">
        <w:rPr>
          <w:sz w:val="20"/>
          <w:szCs w:val="20"/>
        </w:rPr>
        <w:tab/>
        <w:t>Print Name and Title</w:t>
      </w:r>
    </w:p>
    <w:p w14:paraId="11B49F14" w14:textId="77777777" w:rsidR="00D91BE4" w:rsidRDefault="00D91BE4" w:rsidP="00D91BE4">
      <w:pPr>
        <w:pStyle w:val="ListParagraph"/>
        <w:tabs>
          <w:tab w:val="left" w:pos="720"/>
          <w:tab w:val="left" w:pos="1440"/>
        </w:tabs>
        <w:ind w:left="432"/>
      </w:pPr>
    </w:p>
    <w:p w14:paraId="594776F0" w14:textId="77777777" w:rsidR="00D91BE4" w:rsidRPr="00F5168F" w:rsidRDefault="00D91BE4" w:rsidP="00D91BE4">
      <w:pPr>
        <w:pStyle w:val="ListParagraph"/>
        <w:tabs>
          <w:tab w:val="left" w:pos="720"/>
          <w:tab w:val="left" w:pos="1440"/>
        </w:tabs>
        <w:ind w:left="432"/>
        <w:rPr>
          <w:u w:val="single"/>
        </w:rPr>
      </w:pPr>
      <w:r>
        <w:t xml:space="preserve">Approved By: </w:t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>
        <w:t xml:space="preserve">Date: </w:t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</w:p>
    <w:p w14:paraId="25AAC9A1" w14:textId="77777777" w:rsidR="00D91BE4" w:rsidRDefault="00D91BE4" w:rsidP="00D91BE4">
      <w:pPr>
        <w:pStyle w:val="ListParagraph"/>
        <w:tabs>
          <w:tab w:val="left" w:pos="720"/>
          <w:tab w:val="left" w:pos="1440"/>
        </w:tabs>
        <w:ind w:left="432"/>
      </w:pPr>
      <w:r w:rsidRPr="00F5168F">
        <w:rPr>
          <w:sz w:val="20"/>
          <w:szCs w:val="20"/>
        </w:rPr>
        <w:tab/>
      </w:r>
      <w:r w:rsidRPr="00F5168F">
        <w:rPr>
          <w:sz w:val="20"/>
          <w:szCs w:val="20"/>
        </w:rPr>
        <w:tab/>
        <w:t>Technical Reviewer</w:t>
      </w:r>
    </w:p>
    <w:p w14:paraId="2405E34E" w14:textId="77777777" w:rsidR="00D91BE4" w:rsidRDefault="00D91BE4" w:rsidP="00D91BE4">
      <w:pPr>
        <w:pStyle w:val="ListParagraph"/>
        <w:tabs>
          <w:tab w:val="left" w:pos="720"/>
          <w:tab w:val="left" w:pos="1440"/>
        </w:tabs>
        <w:ind w:left="432"/>
      </w:pPr>
    </w:p>
    <w:p w14:paraId="10EDFB8F" w14:textId="77777777" w:rsidR="00D91BE4" w:rsidRPr="00F5168F" w:rsidRDefault="00D91BE4" w:rsidP="00D91BE4">
      <w:pPr>
        <w:pStyle w:val="ListParagraph"/>
        <w:tabs>
          <w:tab w:val="left" w:pos="720"/>
          <w:tab w:val="left" w:pos="1440"/>
        </w:tabs>
        <w:ind w:left="432"/>
        <w:rPr>
          <w:u w:val="single"/>
        </w:rPr>
      </w:pPr>
      <w:r>
        <w:tab/>
      </w:r>
      <w: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</w:p>
    <w:p w14:paraId="14D856B9" w14:textId="77777777" w:rsidR="00D91BE4" w:rsidRDefault="00D91BE4" w:rsidP="00D91BE4">
      <w:pPr>
        <w:pStyle w:val="ListParagraph"/>
        <w:tabs>
          <w:tab w:val="left" w:pos="720"/>
          <w:tab w:val="left" w:pos="1440"/>
        </w:tabs>
        <w:ind w:left="432"/>
      </w:pPr>
      <w:r w:rsidRPr="00F5168F">
        <w:rPr>
          <w:sz w:val="20"/>
          <w:szCs w:val="20"/>
        </w:rPr>
        <w:tab/>
      </w:r>
      <w:r w:rsidRPr="00F5168F">
        <w:rPr>
          <w:sz w:val="20"/>
          <w:szCs w:val="20"/>
        </w:rPr>
        <w:tab/>
        <w:t>Print Name and Title</w:t>
      </w:r>
    </w:p>
    <w:p w14:paraId="4A83AC68" w14:textId="77777777" w:rsidR="00D91BE4" w:rsidRDefault="00D91BE4" w:rsidP="00D91BE4">
      <w:pPr>
        <w:pStyle w:val="ListParagraph"/>
        <w:tabs>
          <w:tab w:val="left" w:pos="720"/>
          <w:tab w:val="left" w:pos="1440"/>
        </w:tabs>
        <w:ind w:left="432"/>
      </w:pPr>
    </w:p>
    <w:p w14:paraId="3879EA46" w14:textId="77777777" w:rsidR="00D91BE4" w:rsidRPr="00F5168F" w:rsidRDefault="00D91BE4" w:rsidP="00D91BE4">
      <w:pPr>
        <w:pStyle w:val="ListParagraph"/>
        <w:tabs>
          <w:tab w:val="left" w:pos="720"/>
          <w:tab w:val="left" w:pos="1440"/>
        </w:tabs>
        <w:ind w:left="432"/>
        <w:rPr>
          <w:u w:val="single"/>
        </w:rPr>
      </w:pPr>
      <w:r>
        <w:t xml:space="preserve">Approved By: </w:t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>
        <w:t xml:space="preserve"> Date: </w:t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</w:p>
    <w:p w14:paraId="381D46C3" w14:textId="77777777" w:rsidR="00D91BE4" w:rsidRDefault="00D91BE4" w:rsidP="00D91BE4">
      <w:pPr>
        <w:pStyle w:val="ListParagraph"/>
        <w:tabs>
          <w:tab w:val="left" w:pos="720"/>
          <w:tab w:val="left" w:pos="1440"/>
        </w:tabs>
        <w:ind w:left="432"/>
      </w:pPr>
      <w:r w:rsidRPr="00F5168F">
        <w:rPr>
          <w:sz w:val="20"/>
          <w:szCs w:val="20"/>
        </w:rPr>
        <w:tab/>
      </w:r>
      <w:r w:rsidRPr="00F5168F">
        <w:rPr>
          <w:sz w:val="20"/>
          <w:szCs w:val="20"/>
        </w:rPr>
        <w:tab/>
        <w:t>Quality Manager / Designee</w:t>
      </w:r>
    </w:p>
    <w:p w14:paraId="56307DAE" w14:textId="77777777" w:rsidR="00D91BE4" w:rsidRDefault="00D91BE4" w:rsidP="00D91BE4">
      <w:pPr>
        <w:pStyle w:val="ListParagraph"/>
        <w:tabs>
          <w:tab w:val="left" w:pos="720"/>
          <w:tab w:val="left" w:pos="1440"/>
        </w:tabs>
        <w:ind w:left="432"/>
      </w:pPr>
    </w:p>
    <w:p w14:paraId="1D526A0F" w14:textId="77777777" w:rsidR="00D91BE4" w:rsidRPr="00F5168F" w:rsidRDefault="00D91BE4" w:rsidP="00D91BE4">
      <w:pPr>
        <w:pStyle w:val="ListParagraph"/>
        <w:tabs>
          <w:tab w:val="left" w:pos="720"/>
          <w:tab w:val="left" w:pos="1440"/>
        </w:tabs>
        <w:ind w:left="432"/>
        <w:rPr>
          <w:u w:val="single"/>
        </w:rPr>
      </w:pPr>
      <w:r>
        <w:tab/>
      </w:r>
      <w: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  <w:r w:rsidRPr="00F5168F">
        <w:rPr>
          <w:u w:val="single"/>
        </w:rPr>
        <w:tab/>
      </w:r>
    </w:p>
    <w:p w14:paraId="14E3F62C" w14:textId="214B5227" w:rsidR="00B137A1" w:rsidRDefault="00D91BE4" w:rsidP="00A87E46">
      <w:pPr>
        <w:pStyle w:val="ListParagraph"/>
        <w:ind w:left="432"/>
      </w:pPr>
      <w:r w:rsidRPr="00F5168F">
        <w:rPr>
          <w:sz w:val="20"/>
          <w:szCs w:val="20"/>
        </w:rPr>
        <w:tab/>
      </w:r>
      <w:r w:rsidRPr="00F5168F">
        <w:rPr>
          <w:sz w:val="20"/>
          <w:szCs w:val="20"/>
        </w:rPr>
        <w:tab/>
      </w:r>
      <w:r w:rsidRPr="00F5168F">
        <w:rPr>
          <w:sz w:val="20"/>
          <w:szCs w:val="20"/>
        </w:rPr>
        <w:tab/>
        <w:t>Print Name and Title</w:t>
      </w:r>
    </w:p>
    <w:sectPr w:rsidR="00B137A1" w:rsidSect="00692090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89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DBC51" w14:textId="77777777" w:rsidR="00220042" w:rsidRDefault="00220042" w:rsidP="00695A4E">
      <w:pPr>
        <w:spacing w:after="0" w:line="240" w:lineRule="auto"/>
      </w:pPr>
      <w:r>
        <w:separator/>
      </w:r>
    </w:p>
  </w:endnote>
  <w:endnote w:type="continuationSeparator" w:id="0">
    <w:p w14:paraId="3DCDF95A" w14:textId="77777777" w:rsidR="00220042" w:rsidRDefault="00220042" w:rsidP="0069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FD0C" w14:textId="77777777" w:rsidR="00984486" w:rsidRDefault="00984486" w:rsidP="00984486">
    <w:pPr>
      <w:pStyle w:val="Footer"/>
      <w:tabs>
        <w:tab w:val="clear" w:pos="4680"/>
        <w:tab w:val="clear" w:pos="9360"/>
        <w:tab w:val="left" w:pos="1596"/>
      </w:tabs>
    </w:pPr>
    <w:r>
      <w:tab/>
    </w:r>
  </w:p>
  <w:tbl>
    <w:tblPr>
      <w:tblW w:w="103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92"/>
      <w:gridCol w:w="1710"/>
      <w:gridCol w:w="1170"/>
      <w:gridCol w:w="450"/>
      <w:gridCol w:w="1530"/>
      <w:gridCol w:w="1596"/>
      <w:gridCol w:w="729"/>
      <w:gridCol w:w="1743"/>
    </w:tblGrid>
    <w:tr w:rsidR="00984486" w:rsidRPr="001F48C8" w14:paraId="7BD69A5C" w14:textId="77777777" w:rsidTr="008368ED">
      <w:trPr>
        <w:trHeight w:val="125"/>
        <w:jc w:val="center"/>
      </w:trPr>
      <w:tc>
        <w:tcPr>
          <w:tcW w:w="1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0ADA8CF4" w14:textId="77777777" w:rsidR="00984486" w:rsidRPr="001F48C8" w:rsidRDefault="00984486" w:rsidP="00984486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1F48C8">
            <w:rPr>
              <w:rFonts w:eastAsia="Times New Roman" w:cstheme="minorHAnsi"/>
              <w:sz w:val="20"/>
              <w:szCs w:val="20"/>
            </w:rPr>
            <w:t>Document #: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D5E2D13" w14:textId="77777777" w:rsidR="00984486" w:rsidRPr="001F48C8" w:rsidRDefault="00984486" w:rsidP="00984486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20F43A33" w14:textId="77777777" w:rsidR="00984486" w:rsidRPr="001F48C8" w:rsidRDefault="00984486" w:rsidP="00984486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1F48C8">
            <w:rPr>
              <w:rFonts w:eastAsia="Times New Roman" w:cstheme="minorHAnsi"/>
              <w:sz w:val="20"/>
              <w:szCs w:val="20"/>
            </w:rPr>
            <w:t>Revision #:</w:t>
          </w:r>
        </w:p>
      </w:tc>
      <w:tc>
        <w:tcPr>
          <w:tcW w:w="4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4697996" w14:textId="77777777" w:rsidR="00984486" w:rsidRPr="001F48C8" w:rsidRDefault="00984486" w:rsidP="00984486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6D6A5F22" w14:textId="77777777" w:rsidR="00984486" w:rsidRPr="001F48C8" w:rsidRDefault="00984486" w:rsidP="00984486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1F48C8">
            <w:rPr>
              <w:rFonts w:eastAsia="Times New Roman" w:cstheme="minorHAnsi"/>
              <w:sz w:val="20"/>
              <w:szCs w:val="20"/>
            </w:rPr>
            <w:t>Effective Date:</w:t>
          </w:r>
        </w:p>
      </w:tc>
      <w:tc>
        <w:tcPr>
          <w:tcW w:w="15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4D08DEB" w14:textId="77777777" w:rsidR="00984486" w:rsidRPr="001F48C8" w:rsidRDefault="00984486" w:rsidP="00984486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6FE13FDE" w14:textId="77777777" w:rsidR="00984486" w:rsidRPr="001F48C8" w:rsidRDefault="00984486" w:rsidP="00984486">
          <w:pPr>
            <w:spacing w:after="0" w:line="240" w:lineRule="auto"/>
            <w:jc w:val="right"/>
            <w:rPr>
              <w:rFonts w:eastAsia="Times New Roman" w:cstheme="minorHAnsi"/>
              <w:b/>
              <w:sz w:val="20"/>
              <w:szCs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F5C1D23" w14:textId="77777777" w:rsidR="00984486" w:rsidRPr="001F48C8" w:rsidRDefault="00984486" w:rsidP="00984486">
          <w:pPr>
            <w:spacing w:after="0" w:line="240" w:lineRule="auto"/>
            <w:jc w:val="right"/>
            <w:rPr>
              <w:rFonts w:eastAsia="Times New Roman" w:cstheme="minorHAnsi"/>
              <w:b/>
              <w:sz w:val="20"/>
              <w:szCs w:val="20"/>
            </w:rPr>
          </w:pPr>
          <w:r w:rsidRPr="001F48C8">
            <w:rPr>
              <w:rFonts w:eastAsia="Times New Roman" w:cstheme="minorHAnsi"/>
              <w:b/>
              <w:sz w:val="20"/>
              <w:szCs w:val="20"/>
            </w:rPr>
            <w:t xml:space="preserve">Page 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instrText xml:space="preserve"> PAGE </w:instrTex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</w:rPr>
            <w:t>1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t xml:space="preserve"> of 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instrText xml:space="preserve"> NUMPAGES  \# "0" \* Arabic </w:instrTex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</w:rPr>
            <w:t>3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</w:p>
      </w:tc>
    </w:tr>
  </w:tbl>
  <w:p w14:paraId="4EC2519F" w14:textId="1E62CC79" w:rsidR="005179C9" w:rsidRDefault="005179C9" w:rsidP="00984486">
    <w:pPr>
      <w:pStyle w:val="Footer"/>
      <w:tabs>
        <w:tab w:val="clear" w:pos="4680"/>
        <w:tab w:val="clear" w:pos="9360"/>
        <w:tab w:val="left" w:pos="159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92"/>
      <w:gridCol w:w="1710"/>
      <w:gridCol w:w="1170"/>
      <w:gridCol w:w="450"/>
      <w:gridCol w:w="1530"/>
      <w:gridCol w:w="1596"/>
      <w:gridCol w:w="729"/>
      <w:gridCol w:w="1743"/>
    </w:tblGrid>
    <w:tr w:rsidR="00984486" w:rsidRPr="001F48C8" w14:paraId="0F8C9BA0" w14:textId="77777777" w:rsidTr="008368ED">
      <w:trPr>
        <w:trHeight w:val="125"/>
        <w:jc w:val="center"/>
      </w:trPr>
      <w:tc>
        <w:tcPr>
          <w:tcW w:w="13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4CB4F83A" w14:textId="77777777" w:rsidR="00984486" w:rsidRPr="001F48C8" w:rsidRDefault="00984486" w:rsidP="00984486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1F48C8">
            <w:rPr>
              <w:rFonts w:eastAsia="Times New Roman" w:cstheme="minorHAnsi"/>
              <w:sz w:val="20"/>
              <w:szCs w:val="20"/>
            </w:rPr>
            <w:t>Document #: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A394D2" w14:textId="77777777" w:rsidR="00984486" w:rsidRPr="001F48C8" w:rsidRDefault="00984486" w:rsidP="00984486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7F912EA0" w14:textId="77777777" w:rsidR="00984486" w:rsidRPr="001F48C8" w:rsidRDefault="00984486" w:rsidP="00984486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1F48C8">
            <w:rPr>
              <w:rFonts w:eastAsia="Times New Roman" w:cstheme="minorHAnsi"/>
              <w:sz w:val="20"/>
              <w:szCs w:val="20"/>
            </w:rPr>
            <w:t>Revision #:</w:t>
          </w:r>
        </w:p>
      </w:tc>
      <w:tc>
        <w:tcPr>
          <w:tcW w:w="4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FB6B75E" w14:textId="77777777" w:rsidR="00984486" w:rsidRPr="001F48C8" w:rsidRDefault="00984486" w:rsidP="00984486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1FA58C1C" w14:textId="77777777" w:rsidR="00984486" w:rsidRPr="001F48C8" w:rsidRDefault="00984486" w:rsidP="00984486">
          <w:pPr>
            <w:spacing w:after="0" w:line="240" w:lineRule="auto"/>
            <w:jc w:val="right"/>
            <w:rPr>
              <w:rFonts w:eastAsia="Times New Roman" w:cstheme="minorHAnsi"/>
              <w:sz w:val="20"/>
              <w:szCs w:val="20"/>
            </w:rPr>
          </w:pPr>
          <w:r w:rsidRPr="001F48C8">
            <w:rPr>
              <w:rFonts w:eastAsia="Times New Roman" w:cstheme="minorHAnsi"/>
              <w:sz w:val="20"/>
              <w:szCs w:val="20"/>
            </w:rPr>
            <w:t>Effective Date:</w:t>
          </w:r>
        </w:p>
      </w:tc>
      <w:tc>
        <w:tcPr>
          <w:tcW w:w="15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CFCC47F" w14:textId="77777777" w:rsidR="00984486" w:rsidRPr="001F48C8" w:rsidRDefault="00984486" w:rsidP="00984486">
          <w:pPr>
            <w:spacing w:after="0" w:line="240" w:lineRule="auto"/>
            <w:rPr>
              <w:rFonts w:eastAsia="Times New Roman" w:cstheme="minorHAnsi"/>
              <w:sz w:val="20"/>
              <w:szCs w:val="20"/>
            </w:rPr>
          </w:pPr>
        </w:p>
      </w:tc>
      <w:tc>
        <w:tcPr>
          <w:tcW w:w="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780B0A0F" w14:textId="77777777" w:rsidR="00984486" w:rsidRPr="001F48C8" w:rsidRDefault="00984486" w:rsidP="00984486">
          <w:pPr>
            <w:spacing w:after="0" w:line="240" w:lineRule="auto"/>
            <w:jc w:val="right"/>
            <w:rPr>
              <w:rFonts w:eastAsia="Times New Roman" w:cstheme="minorHAnsi"/>
              <w:b/>
              <w:sz w:val="20"/>
              <w:szCs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A8DDE0E" w14:textId="77777777" w:rsidR="00984486" w:rsidRPr="001F48C8" w:rsidRDefault="00984486" w:rsidP="00984486">
          <w:pPr>
            <w:spacing w:after="0" w:line="240" w:lineRule="auto"/>
            <w:jc w:val="right"/>
            <w:rPr>
              <w:rFonts w:eastAsia="Times New Roman" w:cstheme="minorHAnsi"/>
              <w:b/>
              <w:sz w:val="20"/>
              <w:szCs w:val="20"/>
            </w:rPr>
          </w:pPr>
          <w:r w:rsidRPr="001F48C8">
            <w:rPr>
              <w:rFonts w:eastAsia="Times New Roman" w:cstheme="minorHAnsi"/>
              <w:b/>
              <w:sz w:val="20"/>
              <w:szCs w:val="20"/>
            </w:rPr>
            <w:t xml:space="preserve">Page 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instrText xml:space="preserve"> PAGE </w:instrTex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</w:rPr>
            <w:t>1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t xml:space="preserve"> of 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begin"/>
          </w:r>
          <w:r w:rsidRPr="001F48C8">
            <w:rPr>
              <w:rFonts w:eastAsia="Times New Roman" w:cstheme="minorHAnsi"/>
              <w:b/>
              <w:sz w:val="20"/>
              <w:szCs w:val="20"/>
            </w:rPr>
            <w:instrText xml:space="preserve"> NUMPAGES  \# "0" \* Arabic </w:instrTex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</w:rPr>
            <w:t>3</w:t>
          </w:r>
          <w:r w:rsidRPr="001F48C8">
            <w:rPr>
              <w:rFonts w:eastAsia="Times New Roman" w:cstheme="minorHAnsi"/>
              <w:b/>
              <w:sz w:val="20"/>
              <w:szCs w:val="20"/>
            </w:rPr>
            <w:fldChar w:fldCharType="end"/>
          </w:r>
        </w:p>
      </w:tc>
    </w:tr>
  </w:tbl>
  <w:p w14:paraId="22AECCB3" w14:textId="77777777" w:rsidR="005179C9" w:rsidRDefault="00517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42578" w14:textId="77777777" w:rsidR="00220042" w:rsidRDefault="00220042" w:rsidP="00695A4E">
      <w:pPr>
        <w:spacing w:after="0" w:line="240" w:lineRule="auto"/>
      </w:pPr>
      <w:r>
        <w:separator/>
      </w:r>
    </w:p>
  </w:footnote>
  <w:footnote w:type="continuationSeparator" w:id="0">
    <w:p w14:paraId="52866FCC" w14:textId="77777777" w:rsidR="00220042" w:rsidRDefault="00220042" w:rsidP="0069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1" w14:textId="77777777" w:rsidR="00CB1A65" w:rsidRDefault="005B2D08">
    <w:pPr>
      <w:pStyle w:val="Header"/>
    </w:pPr>
    <w:r>
      <w:rPr>
        <w:noProof/>
      </w:rPr>
      <w:pict w14:anchorId="14E3F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18501" o:spid="_x0000_s2050" type="#_x0000_t75" style="position:absolute;margin-left:0;margin-top:0;width:608.15pt;height:787.05pt;z-index:-251657728;mso-position-horizontal:center;mso-position-horizontal-relative:margin;mso-position-vertical:center;mso-position-vertical-relative:margin" o:allowincell="f">
          <v:imagedata r:id="rId1" o:title="NGS-WordDoc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2" w14:textId="77777777" w:rsidR="00695A4E" w:rsidRDefault="00651BF1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4E3F635" wp14:editId="76375C75">
          <wp:simplePos x="0" y="0"/>
          <wp:positionH relativeFrom="page">
            <wp:align>left</wp:align>
          </wp:positionH>
          <wp:positionV relativeFrom="paragraph">
            <wp:posOffset>-449885</wp:posOffset>
          </wp:positionV>
          <wp:extent cx="7766572" cy="10051085"/>
          <wp:effectExtent l="0" t="0" r="6350" b="7620"/>
          <wp:wrapNone/>
          <wp:docPr id="83" name="Picture 8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S-WordDocTemplate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166" cy="10054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F633" w14:textId="77777777" w:rsidR="00CB1A65" w:rsidRDefault="0083361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4E3F637" wp14:editId="7750EA3F">
          <wp:simplePos x="0" y="0"/>
          <wp:positionH relativeFrom="margin">
            <wp:posOffset>-670560</wp:posOffset>
          </wp:positionH>
          <wp:positionV relativeFrom="page">
            <wp:posOffset>19050</wp:posOffset>
          </wp:positionV>
          <wp:extent cx="7742602" cy="10020300"/>
          <wp:effectExtent l="0" t="0" r="0" b="0"/>
          <wp:wrapNone/>
          <wp:docPr id="84" name="Picture 8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NGS-WordDocTemplateB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602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65ECF"/>
    <w:multiLevelType w:val="multilevel"/>
    <w:tmpl w:val="EAA41F5C"/>
    <w:lvl w:ilvl="0">
      <w:start w:val="1"/>
      <w:numFmt w:val="decimal"/>
      <w:lvlText w:val="%1.0"/>
      <w:lvlJc w:val="right"/>
      <w:pPr>
        <w:ind w:left="432" w:hanging="14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432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."/>
      <w:lvlJc w:val="left"/>
      <w:pPr>
        <w:ind w:left="1152" w:hanging="288"/>
      </w:pPr>
      <w:rPr>
        <w:rFonts w:hint="default"/>
        <w:b/>
      </w:rPr>
    </w:lvl>
    <w:lvl w:ilvl="3">
      <w:start w:val="1"/>
      <w:numFmt w:val="lowerRoman"/>
      <w:lvlText w:val="%4."/>
      <w:lvlJc w:val="left"/>
      <w:pPr>
        <w:ind w:left="1386" w:hanging="216"/>
      </w:pPr>
      <w:rPr>
        <w:rFonts w:hint="default"/>
        <w:b/>
      </w:rPr>
    </w:lvl>
    <w:lvl w:ilvl="4">
      <w:start w:val="1"/>
      <w:numFmt w:val="bullet"/>
      <w:lvlText w:val=""/>
      <w:lvlJc w:val="left"/>
      <w:pPr>
        <w:ind w:left="1584" w:hanging="288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3312" w:hanging="14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"/>
      </w:pPr>
      <w:rPr>
        <w:rFonts w:hint="default"/>
      </w:rPr>
    </w:lvl>
  </w:abstractNum>
  <w:abstractNum w:abstractNumId="1" w15:restartNumberingAfterBreak="0">
    <w:nsid w:val="62EB2216"/>
    <w:multiLevelType w:val="hybridMultilevel"/>
    <w:tmpl w:val="A1968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sjQztzQxtTAwNDdV0lEKTi0uzszPAykwrAUA6HyI8iwAAAA="/>
  </w:docVars>
  <w:rsids>
    <w:rsidRoot w:val="00695A4E"/>
    <w:rsid w:val="000E1521"/>
    <w:rsid w:val="001A60DE"/>
    <w:rsid w:val="00220042"/>
    <w:rsid w:val="00333F55"/>
    <w:rsid w:val="004F5CEF"/>
    <w:rsid w:val="005179C9"/>
    <w:rsid w:val="00571E56"/>
    <w:rsid w:val="005A19E1"/>
    <w:rsid w:val="005B2D08"/>
    <w:rsid w:val="00651BF1"/>
    <w:rsid w:val="00692090"/>
    <w:rsid w:val="00695A4E"/>
    <w:rsid w:val="007E2258"/>
    <w:rsid w:val="00833614"/>
    <w:rsid w:val="00984486"/>
    <w:rsid w:val="009D4BDC"/>
    <w:rsid w:val="00A87E46"/>
    <w:rsid w:val="00B137A1"/>
    <w:rsid w:val="00BE527E"/>
    <w:rsid w:val="00CA558E"/>
    <w:rsid w:val="00CB1A65"/>
    <w:rsid w:val="00D26908"/>
    <w:rsid w:val="00D91BE4"/>
    <w:rsid w:val="00FB0C0F"/>
    <w:rsid w:val="00FC70C6"/>
    <w:rsid w:val="00FD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E3F607"/>
  <w15:chartTrackingRefBased/>
  <w15:docId w15:val="{3ECA6CA9-4250-4D79-8EBB-F3C370E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1B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4E"/>
  </w:style>
  <w:style w:type="paragraph" w:styleId="Footer">
    <w:name w:val="footer"/>
    <w:basedOn w:val="Normal"/>
    <w:link w:val="FooterChar"/>
    <w:uiPriority w:val="99"/>
    <w:unhideWhenUsed/>
    <w:rsid w:val="0069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4E"/>
  </w:style>
  <w:style w:type="paragraph" w:styleId="BalloonText">
    <w:name w:val="Balloon Text"/>
    <w:basedOn w:val="Normal"/>
    <w:link w:val="BalloonTextChar"/>
    <w:uiPriority w:val="99"/>
    <w:semiHidden/>
    <w:unhideWhenUsed/>
    <w:rsid w:val="0083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BE4"/>
    <w:pPr>
      <w:ind w:left="720"/>
      <w:contextualSpacing/>
    </w:pPr>
  </w:style>
  <w:style w:type="paragraph" w:styleId="NoSpacing">
    <w:name w:val="No Spacing"/>
    <w:uiPriority w:val="1"/>
    <w:qFormat/>
    <w:rsid w:val="00D91B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1BE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3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CC11Jlydqrc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62ATIxGYLK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Wq35ZXyayu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2WGl9L5d4Z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7DAU5SSH7P55-1089477449-716</_dlc_DocId>
    <_dlc_DocIdUrl xmlns="61e0aa89-821a-4b43-b623-2509ea82b111">
      <Url>https://esp.cdc.gov/sites/csels/DLS/NGS/_layouts/15/DocIdRedir.aspx?ID=7DAU5SSH7P55-1089477449-716</Url>
      <Description>7DAU5SSH7P55-1089477449-716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3CEA49787DA4F8CCE74DC07A13A3A" ma:contentTypeVersion="0" ma:contentTypeDescription="Create a new document." ma:contentTypeScope="" ma:versionID="e6241453f44d180667e9ac28b965859c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CBCF4-759C-49AD-8EBD-70E922A80E22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1e0aa89-821a-4b43-b623-2509ea82b11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98492D-96AE-4405-A726-6D06F66320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23A6C2-0EE7-4334-8B4B-DCF646957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0aa89-821a-4b43-b623-2509ea82b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F1FEA-9DED-495E-A8E1-A981618CB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Brandon M. (CDC/DDPHSS/CSELS/DLS) (CTR)</dc:creator>
  <cp:keywords/>
  <dc:description/>
  <cp:lastModifiedBy>Hutchins, Rebecca J. (CDC/DDID/OD)</cp:lastModifiedBy>
  <cp:revision>2</cp:revision>
  <dcterms:created xsi:type="dcterms:W3CDTF">2020-02-26T17:39:00Z</dcterms:created>
  <dcterms:modified xsi:type="dcterms:W3CDTF">2020-02-26T17:39:00Z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0x0101005783CEA49787DA4F8CCE74DC07A13A3A</vt:lpwstr>
  </property>
  <property fmtid="{D5CDD505-2E9C-101B-9397-08002B2CF9AE}" pid="3" name="_dlc_DocIdItemGuid">
    <vt:lpwstr>837e1703-f109-4181-8b69-8c7e961b2dd4</vt:lpwstr>
  </property>
</Properties>
</file>