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070"/>
      </w:tblGrid>
      <w:tr w:rsidR="00984ACF" w14:paraId="6669475D" w14:textId="77777777" w:rsidTr="00D664C2">
        <w:tc>
          <w:tcPr>
            <w:tcW w:w="10070" w:type="dxa"/>
          </w:tcPr>
          <w:p w14:paraId="3BF94F70" w14:textId="77777777" w:rsidR="00984ACF" w:rsidRDefault="00984ACF" w:rsidP="00D664C2">
            <w:r>
              <w:rPr>
                <w:rFonts w:eastAsia="Times New Roman" w:cstheme="minorHAnsi"/>
                <w:b/>
                <w:i/>
                <w:noProof/>
                <w:color w:val="00B0F0"/>
                <w:sz w:val="20"/>
                <w:szCs w:val="20"/>
              </w:rPr>
              <w:t>Insert Laboratory Specific Name Here</w:t>
            </w:r>
          </w:p>
        </w:tc>
      </w:tr>
      <w:tr w:rsidR="00984ACF" w14:paraId="0B6A318A" w14:textId="77777777" w:rsidTr="00D664C2">
        <w:tc>
          <w:tcPr>
            <w:tcW w:w="10070" w:type="dxa"/>
          </w:tcPr>
          <w:p w14:paraId="6FE3A628" w14:textId="0A486188" w:rsidR="00984ACF" w:rsidRDefault="00984ACF" w:rsidP="00D664C2">
            <w:pPr>
              <w:jc w:val="center"/>
            </w:pPr>
            <w:r>
              <w:rPr>
                <w:b/>
                <w:sz w:val="28"/>
              </w:rPr>
              <w:t>Bioinformatics</w:t>
            </w:r>
            <w:r>
              <w:rPr>
                <w:rFonts w:ascii="Calibri" w:eastAsia="Calibri" w:hAnsi="Calibri" w:cs="Calibri"/>
                <w:b/>
                <w:sz w:val="28"/>
              </w:rPr>
              <w:t xml:space="preserve"> Personnel</w:t>
            </w:r>
            <w:r>
              <w:rPr>
                <w:rFonts w:ascii="Calibri" w:eastAsia="Calibri" w:hAnsi="Calibri" w:cs="Calibri"/>
                <w:b/>
                <w:color w:val="5B9BD4"/>
                <w:sz w:val="28"/>
              </w:rPr>
              <w:t xml:space="preserve"> </w:t>
            </w:r>
            <w:r>
              <w:rPr>
                <w:rFonts w:ascii="Calibri" w:eastAsia="Calibri" w:hAnsi="Calibri" w:cs="Calibri"/>
                <w:b/>
                <w:sz w:val="28"/>
              </w:rPr>
              <w:t>Training S</w:t>
            </w:r>
            <w:r w:rsidR="005F16B8">
              <w:rPr>
                <w:rFonts w:ascii="Calibri" w:eastAsia="Calibri" w:hAnsi="Calibri" w:cs="Calibri"/>
                <w:b/>
                <w:sz w:val="28"/>
              </w:rPr>
              <w:t xml:space="preserve">tandard </w:t>
            </w:r>
            <w:r>
              <w:rPr>
                <w:rFonts w:ascii="Calibri" w:eastAsia="Calibri" w:hAnsi="Calibri" w:cs="Calibri"/>
                <w:b/>
                <w:sz w:val="28"/>
              </w:rPr>
              <w:t>O</w:t>
            </w:r>
            <w:r w:rsidR="005F16B8">
              <w:rPr>
                <w:rFonts w:ascii="Calibri" w:eastAsia="Calibri" w:hAnsi="Calibri" w:cs="Calibri"/>
                <w:b/>
                <w:sz w:val="28"/>
              </w:rPr>
              <w:t xml:space="preserve">perating </w:t>
            </w:r>
            <w:r>
              <w:rPr>
                <w:rFonts w:ascii="Calibri" w:eastAsia="Calibri" w:hAnsi="Calibri" w:cs="Calibri"/>
                <w:b/>
                <w:sz w:val="28"/>
              </w:rPr>
              <w:t>P</w:t>
            </w:r>
            <w:r w:rsidR="005F16B8">
              <w:rPr>
                <w:rFonts w:ascii="Calibri" w:eastAsia="Calibri" w:hAnsi="Calibri" w:cs="Calibri"/>
                <w:b/>
                <w:sz w:val="28"/>
              </w:rPr>
              <w:t>rocedure</w:t>
            </w:r>
            <w:bookmarkStart w:id="0" w:name="_GoBack"/>
            <w:bookmarkEnd w:id="0"/>
          </w:p>
        </w:tc>
      </w:tr>
    </w:tbl>
    <w:p w14:paraId="14E3F607" w14:textId="77777777" w:rsidR="007E2258" w:rsidRDefault="007E2258"/>
    <w:p w14:paraId="53FF935C" w14:textId="77777777" w:rsidR="00984ACF" w:rsidRPr="00BA77B5" w:rsidRDefault="00984ACF" w:rsidP="00984ACF">
      <w:pPr>
        <w:numPr>
          <w:ilvl w:val="0"/>
          <w:numId w:val="8"/>
        </w:numPr>
        <w:tabs>
          <w:tab w:val="num" w:pos="720"/>
          <w:tab w:val="left" w:pos="1440"/>
        </w:tabs>
        <w:spacing w:after="0" w:line="240" w:lineRule="auto"/>
        <w:ind w:left="720" w:hanging="720"/>
      </w:pPr>
      <w:bookmarkStart w:id="1" w:name="_Hlk46229054"/>
      <w:r w:rsidRPr="00BA77B5">
        <w:rPr>
          <w:rFonts w:eastAsia="Times New Roman" w:cstheme="minorHAnsi"/>
          <w:b/>
        </w:rPr>
        <w:t xml:space="preserve">Purpose </w:t>
      </w:r>
      <w:r w:rsidRPr="00BA77B5">
        <w:tab/>
      </w:r>
    </w:p>
    <w:p w14:paraId="0EC50206" w14:textId="591D12CE" w:rsidR="00984ACF" w:rsidRDefault="00984ACF" w:rsidP="00984ACF">
      <w:pPr>
        <w:spacing w:after="0" w:line="240" w:lineRule="auto"/>
        <w:ind w:left="720"/>
      </w:pPr>
      <w:r w:rsidRPr="00BA77B5">
        <w:t xml:space="preserve">This </w:t>
      </w:r>
      <w:r w:rsidR="005F16B8">
        <w:t xml:space="preserve">document describes standard operating </w:t>
      </w:r>
      <w:r w:rsidRPr="00BA77B5">
        <w:t>procedure</w:t>
      </w:r>
      <w:r w:rsidR="005F16B8">
        <w:t>s to be followed by public health laboratory personnel in developing and implementing training courses</w:t>
      </w:r>
      <w:r w:rsidRPr="00BA77B5">
        <w:t xml:space="preserve"> for </w:t>
      </w:r>
      <w:r w:rsidR="005F16B8">
        <w:t xml:space="preserve">the purpose of </w:t>
      </w:r>
      <w:r w:rsidRPr="00BA77B5">
        <w:t xml:space="preserve">training personnel to acquire and demonstrate the skills and knowledge necessary to perform the bioinformatics </w:t>
      </w:r>
      <w:r w:rsidR="00653561">
        <w:t>analysis</w:t>
      </w:r>
      <w:r w:rsidRPr="00BA77B5">
        <w:t xml:space="preserve">. </w:t>
      </w:r>
      <w:r w:rsidR="005F16B8">
        <w:t xml:space="preserve">Bioinformatic analysis includes the use of informatics tools and methods for analysis of Next Generation Sequencing data. </w:t>
      </w:r>
      <w:r>
        <w:t>B</w:t>
      </w:r>
      <w:r w:rsidRPr="00BA77B5">
        <w:t xml:space="preserve">ioinformatics personnel training employs the Tell, Show, Do, Apply learning strategies. These four learning strategies have been shown to increase learning and engagement. </w:t>
      </w:r>
      <w:r w:rsidRPr="00BA77B5">
        <w:rPr>
          <w:rFonts w:ascii="Calibri" w:eastAsia="Calibri" w:hAnsi="Calibri" w:cs="Calibri"/>
          <w:i/>
        </w:rPr>
        <w:t>Tell</w:t>
      </w:r>
      <w:r w:rsidRPr="00BA77B5">
        <w:t xml:space="preserve"> provides the trainee with key information related to their learning. </w:t>
      </w:r>
      <w:r w:rsidRPr="00BA77B5">
        <w:rPr>
          <w:rFonts w:ascii="Calibri" w:eastAsia="Calibri" w:hAnsi="Calibri" w:cs="Calibri"/>
          <w:i/>
        </w:rPr>
        <w:t>Show</w:t>
      </w:r>
      <w:r w:rsidRPr="00BA77B5">
        <w:t xml:space="preserve"> provides the trainee an opportunity to observe the trainer demonstrate what is being taught. </w:t>
      </w:r>
      <w:r w:rsidRPr="00BA77B5">
        <w:rPr>
          <w:rFonts w:ascii="Calibri" w:eastAsia="Calibri" w:hAnsi="Calibri" w:cs="Calibri"/>
          <w:i/>
        </w:rPr>
        <w:t>Do</w:t>
      </w:r>
      <w:r w:rsidRPr="00BA77B5">
        <w:t xml:space="preserve"> provides the trainee with an opportunity to do what they have been taught. </w:t>
      </w:r>
      <w:r w:rsidRPr="00BA77B5">
        <w:rPr>
          <w:rFonts w:ascii="Calibri" w:eastAsia="Calibri" w:hAnsi="Calibri" w:cs="Calibri"/>
          <w:i/>
        </w:rPr>
        <w:t>Apply</w:t>
      </w:r>
      <w:r w:rsidRPr="00BA77B5">
        <w:t xml:space="preserve"> gives the trainee an opportunity to independently apply the information they have learned.  </w:t>
      </w:r>
    </w:p>
    <w:p w14:paraId="36EB4C3D" w14:textId="77777777" w:rsidR="00984ACF" w:rsidRDefault="00984ACF" w:rsidP="00984ACF">
      <w:pPr>
        <w:spacing w:after="0" w:line="240" w:lineRule="auto"/>
        <w:ind w:left="720"/>
      </w:pPr>
    </w:p>
    <w:p w14:paraId="7BD89281" w14:textId="77777777" w:rsidR="00984ACF" w:rsidRPr="00BA77B5" w:rsidRDefault="00984ACF" w:rsidP="00984ACF">
      <w:pPr>
        <w:numPr>
          <w:ilvl w:val="0"/>
          <w:numId w:val="8"/>
        </w:numPr>
        <w:tabs>
          <w:tab w:val="num" w:pos="720"/>
          <w:tab w:val="left" w:pos="1440"/>
        </w:tabs>
        <w:spacing w:after="0" w:line="240" w:lineRule="auto"/>
        <w:ind w:left="720" w:hanging="720"/>
        <w:rPr>
          <w:rFonts w:eastAsia="Times New Roman" w:cstheme="minorHAnsi"/>
          <w:b/>
        </w:rPr>
      </w:pPr>
      <w:r w:rsidRPr="00BA77B5">
        <w:rPr>
          <w:rFonts w:eastAsia="Times New Roman" w:cstheme="minorHAnsi"/>
          <w:b/>
        </w:rPr>
        <w:t xml:space="preserve">Scope </w:t>
      </w:r>
    </w:p>
    <w:p w14:paraId="3E79509B" w14:textId="3EB0F760" w:rsidR="00984ACF" w:rsidRDefault="00984ACF" w:rsidP="00984ACF">
      <w:pPr>
        <w:spacing w:after="0" w:line="240" w:lineRule="auto"/>
        <w:ind w:left="720"/>
      </w:pPr>
      <w:r>
        <w:t xml:space="preserve">This document applies to all bioinformatics </w:t>
      </w:r>
      <w:r w:rsidR="00653561">
        <w:t>analysts</w:t>
      </w:r>
      <w:r>
        <w:t xml:space="preserve"> and bioinformatics supervisors that oversee these operations. Training includes building a base of knowledge, observing the trainer perform the procedures, performing procedures under direct trainer supervision, and a training assessment in the form of independently executing the procedures. </w:t>
      </w:r>
    </w:p>
    <w:p w14:paraId="4F1619F5" w14:textId="77777777" w:rsidR="00984ACF" w:rsidRDefault="00984ACF" w:rsidP="00984ACF">
      <w:pPr>
        <w:spacing w:after="0" w:line="240" w:lineRule="auto"/>
      </w:pPr>
    </w:p>
    <w:p w14:paraId="1DEEA911" w14:textId="77777777" w:rsidR="00984ACF" w:rsidRPr="004865D2" w:rsidRDefault="00984ACF" w:rsidP="00984ACF">
      <w:pPr>
        <w:numPr>
          <w:ilvl w:val="0"/>
          <w:numId w:val="8"/>
        </w:numPr>
        <w:tabs>
          <w:tab w:val="num" w:pos="720"/>
          <w:tab w:val="left" w:pos="1440"/>
        </w:tabs>
        <w:spacing w:after="0" w:line="240" w:lineRule="auto"/>
        <w:ind w:left="720" w:hanging="720"/>
        <w:rPr>
          <w:rFonts w:eastAsia="Times New Roman" w:cstheme="minorHAnsi"/>
          <w:b/>
        </w:rPr>
      </w:pPr>
      <w:r w:rsidRPr="004865D2">
        <w:rPr>
          <w:rFonts w:eastAsia="Times New Roman" w:cstheme="minorHAnsi"/>
          <w:b/>
        </w:rPr>
        <w:t xml:space="preserve">Related Documents </w:t>
      </w:r>
    </w:p>
    <w:tbl>
      <w:tblPr>
        <w:tblStyle w:val="TableGrid1"/>
        <w:tblW w:w="9335" w:type="dxa"/>
        <w:tblInd w:w="835" w:type="dxa"/>
        <w:tblCellMar>
          <w:top w:w="47" w:type="dxa"/>
          <w:left w:w="107" w:type="dxa"/>
          <w:right w:w="115" w:type="dxa"/>
        </w:tblCellMar>
        <w:tblLook w:val="04A0" w:firstRow="1" w:lastRow="0" w:firstColumn="1" w:lastColumn="0" w:noHBand="0" w:noVBand="1"/>
      </w:tblPr>
      <w:tblGrid>
        <w:gridCol w:w="5759"/>
        <w:gridCol w:w="3576"/>
      </w:tblGrid>
      <w:tr w:rsidR="00984ACF" w14:paraId="3C40B18A" w14:textId="77777777" w:rsidTr="00D664C2">
        <w:trPr>
          <w:trHeight w:val="276"/>
        </w:trPr>
        <w:tc>
          <w:tcPr>
            <w:tcW w:w="5759" w:type="dxa"/>
            <w:tcBorders>
              <w:top w:val="single" w:sz="4" w:space="0" w:color="000000"/>
              <w:left w:val="single" w:sz="4" w:space="0" w:color="000000"/>
              <w:bottom w:val="single" w:sz="4" w:space="0" w:color="000000"/>
              <w:right w:val="single" w:sz="4" w:space="0" w:color="000000"/>
            </w:tcBorders>
            <w:shd w:val="clear" w:color="auto" w:fill="DEEAF6"/>
          </w:tcPr>
          <w:p w14:paraId="67D8BB94" w14:textId="77777777" w:rsidR="00984ACF" w:rsidRDefault="00984ACF" w:rsidP="00D664C2">
            <w:r>
              <w:rPr>
                <w:rFonts w:ascii="Calibri" w:eastAsia="Calibri" w:hAnsi="Calibri" w:cs="Calibri"/>
                <w:b/>
              </w:rPr>
              <w:t xml:space="preserve">Title </w:t>
            </w:r>
          </w:p>
        </w:tc>
        <w:tc>
          <w:tcPr>
            <w:tcW w:w="3576" w:type="dxa"/>
            <w:tcBorders>
              <w:top w:val="single" w:sz="4" w:space="0" w:color="000000"/>
              <w:left w:val="single" w:sz="4" w:space="0" w:color="000000"/>
              <w:bottom w:val="single" w:sz="4" w:space="0" w:color="000000"/>
              <w:right w:val="single" w:sz="4" w:space="0" w:color="000000"/>
            </w:tcBorders>
            <w:shd w:val="clear" w:color="auto" w:fill="DEEAF6"/>
          </w:tcPr>
          <w:p w14:paraId="00A104C5" w14:textId="77777777" w:rsidR="00984ACF" w:rsidRDefault="00984ACF" w:rsidP="00D664C2">
            <w:pPr>
              <w:ind w:left="1"/>
            </w:pPr>
            <w:r>
              <w:rPr>
                <w:rFonts w:ascii="Calibri" w:eastAsia="Calibri" w:hAnsi="Calibri" w:cs="Calibri"/>
                <w:b/>
              </w:rPr>
              <w:t xml:space="preserve">Document Control Number </w:t>
            </w:r>
          </w:p>
        </w:tc>
      </w:tr>
      <w:tr w:rsidR="00984ACF" w14:paraId="764CCD31" w14:textId="77777777" w:rsidTr="00D664C2">
        <w:trPr>
          <w:trHeight w:val="280"/>
        </w:trPr>
        <w:tc>
          <w:tcPr>
            <w:tcW w:w="5759" w:type="dxa"/>
            <w:tcBorders>
              <w:top w:val="single" w:sz="4" w:space="0" w:color="000000"/>
              <w:left w:val="single" w:sz="4" w:space="0" w:color="000000"/>
              <w:bottom w:val="single" w:sz="4" w:space="0" w:color="000000"/>
              <w:right w:val="single" w:sz="4" w:space="0" w:color="000000"/>
            </w:tcBorders>
          </w:tcPr>
          <w:p w14:paraId="18E7C8EA" w14:textId="77777777" w:rsidR="00984ACF" w:rsidRPr="005E1F0A" w:rsidRDefault="00984ACF" w:rsidP="00D664C2">
            <w:pPr>
              <w:rPr>
                <w:i/>
                <w:iCs/>
              </w:rPr>
            </w:pPr>
            <w:r w:rsidRPr="005E1F0A">
              <w:rPr>
                <w:i/>
                <w:iCs/>
                <w:color w:val="2E74B5" w:themeColor="accent1" w:themeShade="BF"/>
              </w:rPr>
              <w:t xml:space="preserve">*List </w:t>
            </w:r>
            <w:r>
              <w:rPr>
                <w:i/>
                <w:iCs/>
                <w:color w:val="2E74B5" w:themeColor="accent1" w:themeShade="BF"/>
              </w:rPr>
              <w:t>applicable</w:t>
            </w:r>
            <w:r w:rsidRPr="005E1F0A">
              <w:rPr>
                <w:i/>
                <w:iCs/>
                <w:color w:val="2E74B5" w:themeColor="accent1" w:themeShade="BF"/>
              </w:rPr>
              <w:t xml:space="preserve"> Bioinformatics Training Forms*</w:t>
            </w:r>
          </w:p>
        </w:tc>
        <w:tc>
          <w:tcPr>
            <w:tcW w:w="3576" w:type="dxa"/>
            <w:tcBorders>
              <w:top w:val="single" w:sz="4" w:space="0" w:color="000000"/>
              <w:left w:val="single" w:sz="4" w:space="0" w:color="000000"/>
              <w:bottom w:val="single" w:sz="4" w:space="0" w:color="000000"/>
              <w:right w:val="single" w:sz="4" w:space="0" w:color="000000"/>
            </w:tcBorders>
          </w:tcPr>
          <w:p w14:paraId="0F13666B" w14:textId="77777777" w:rsidR="00984ACF" w:rsidRDefault="00984ACF" w:rsidP="00D664C2">
            <w:pPr>
              <w:ind w:left="1"/>
            </w:pPr>
          </w:p>
        </w:tc>
      </w:tr>
    </w:tbl>
    <w:p w14:paraId="7B68C516" w14:textId="77777777" w:rsidR="00984ACF" w:rsidRDefault="00984ACF" w:rsidP="00984ACF">
      <w:pPr>
        <w:pStyle w:val="Heading1"/>
        <w:tabs>
          <w:tab w:val="center" w:pos="1436"/>
        </w:tabs>
        <w:spacing w:line="240" w:lineRule="auto"/>
        <w:ind w:left="-14" w:firstLine="0"/>
      </w:pPr>
    </w:p>
    <w:p w14:paraId="7D5DD998" w14:textId="77777777" w:rsidR="00984ACF" w:rsidRPr="004865D2" w:rsidRDefault="00984ACF" w:rsidP="00984ACF">
      <w:pPr>
        <w:numPr>
          <w:ilvl w:val="0"/>
          <w:numId w:val="8"/>
        </w:numPr>
        <w:tabs>
          <w:tab w:val="num" w:pos="720"/>
          <w:tab w:val="left" w:pos="1440"/>
        </w:tabs>
        <w:spacing w:after="0" w:line="240" w:lineRule="auto"/>
        <w:ind w:left="720" w:hanging="720"/>
        <w:rPr>
          <w:rFonts w:eastAsia="Times New Roman" w:cstheme="minorHAnsi"/>
          <w:b/>
        </w:rPr>
      </w:pPr>
      <w:r w:rsidRPr="004865D2">
        <w:rPr>
          <w:rFonts w:eastAsia="Times New Roman" w:cstheme="minorHAnsi"/>
          <w:b/>
        </w:rPr>
        <w:t xml:space="preserve">Responsibilities  </w:t>
      </w:r>
    </w:p>
    <w:tbl>
      <w:tblPr>
        <w:tblStyle w:val="TableGrid1"/>
        <w:tblW w:w="9335" w:type="dxa"/>
        <w:tblInd w:w="835" w:type="dxa"/>
        <w:tblCellMar>
          <w:top w:w="47" w:type="dxa"/>
          <w:left w:w="107" w:type="dxa"/>
          <w:right w:w="103" w:type="dxa"/>
        </w:tblCellMar>
        <w:tblLook w:val="04A0" w:firstRow="1" w:lastRow="0" w:firstColumn="1" w:lastColumn="0" w:noHBand="0" w:noVBand="1"/>
      </w:tblPr>
      <w:tblGrid>
        <w:gridCol w:w="1776"/>
        <w:gridCol w:w="7559"/>
      </w:tblGrid>
      <w:tr w:rsidR="00984ACF" w14:paraId="1601DD9C" w14:textId="77777777" w:rsidTr="00D664C2">
        <w:trPr>
          <w:trHeight w:val="276"/>
        </w:trPr>
        <w:tc>
          <w:tcPr>
            <w:tcW w:w="1776" w:type="dxa"/>
            <w:tcBorders>
              <w:top w:val="single" w:sz="4" w:space="0" w:color="000000"/>
              <w:left w:val="single" w:sz="4" w:space="0" w:color="000000"/>
              <w:bottom w:val="single" w:sz="4" w:space="0" w:color="000000"/>
              <w:right w:val="single" w:sz="4" w:space="0" w:color="000000"/>
            </w:tcBorders>
            <w:shd w:val="clear" w:color="auto" w:fill="DEEAF6"/>
          </w:tcPr>
          <w:p w14:paraId="14719F1F" w14:textId="77777777" w:rsidR="00984ACF" w:rsidRDefault="00984ACF" w:rsidP="00D664C2">
            <w:r>
              <w:rPr>
                <w:rFonts w:ascii="Calibri" w:eastAsia="Calibri" w:hAnsi="Calibri" w:cs="Calibri"/>
                <w:b/>
              </w:rPr>
              <w:t xml:space="preserve">Position </w:t>
            </w:r>
          </w:p>
        </w:tc>
        <w:tc>
          <w:tcPr>
            <w:tcW w:w="7559" w:type="dxa"/>
            <w:tcBorders>
              <w:top w:val="single" w:sz="4" w:space="0" w:color="000000"/>
              <w:left w:val="single" w:sz="4" w:space="0" w:color="000000"/>
              <w:bottom w:val="single" w:sz="4" w:space="0" w:color="000000"/>
              <w:right w:val="single" w:sz="4" w:space="0" w:color="000000"/>
            </w:tcBorders>
            <w:shd w:val="clear" w:color="auto" w:fill="DEEAF6"/>
          </w:tcPr>
          <w:p w14:paraId="65F22853" w14:textId="77777777" w:rsidR="00984ACF" w:rsidRDefault="00984ACF" w:rsidP="00D664C2">
            <w:r>
              <w:rPr>
                <w:rFonts w:ascii="Calibri" w:eastAsia="Calibri" w:hAnsi="Calibri" w:cs="Calibri"/>
                <w:b/>
              </w:rPr>
              <w:t xml:space="preserve">Responsibility </w:t>
            </w:r>
          </w:p>
        </w:tc>
      </w:tr>
      <w:tr w:rsidR="00984ACF" w14:paraId="2BD354FE" w14:textId="77777777" w:rsidTr="00D664C2">
        <w:trPr>
          <w:trHeight w:val="292"/>
        </w:trPr>
        <w:tc>
          <w:tcPr>
            <w:tcW w:w="1776" w:type="dxa"/>
            <w:tcBorders>
              <w:top w:val="single" w:sz="4" w:space="0" w:color="000000"/>
              <w:left w:val="single" w:sz="4" w:space="0" w:color="000000"/>
              <w:bottom w:val="single" w:sz="4" w:space="0" w:color="000000"/>
              <w:right w:val="single" w:sz="4" w:space="0" w:color="000000"/>
            </w:tcBorders>
          </w:tcPr>
          <w:p w14:paraId="609F5AE6" w14:textId="77777777" w:rsidR="00984ACF" w:rsidRDefault="00984ACF" w:rsidP="00D664C2">
            <w:r>
              <w:t xml:space="preserve">Trainee </w:t>
            </w:r>
          </w:p>
        </w:tc>
        <w:tc>
          <w:tcPr>
            <w:tcW w:w="7559" w:type="dxa"/>
            <w:tcBorders>
              <w:top w:val="single" w:sz="4" w:space="0" w:color="000000"/>
              <w:left w:val="single" w:sz="4" w:space="0" w:color="000000"/>
              <w:bottom w:val="single" w:sz="4" w:space="0" w:color="000000"/>
              <w:right w:val="single" w:sz="4" w:space="0" w:color="000000"/>
            </w:tcBorders>
          </w:tcPr>
          <w:p w14:paraId="5C6F105B" w14:textId="77777777" w:rsidR="00984ACF" w:rsidRDefault="00984ACF" w:rsidP="00D664C2">
            <w:pPr>
              <w:tabs>
                <w:tab w:val="center" w:pos="2391"/>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Complete all necessary training requirements </w:t>
            </w:r>
          </w:p>
        </w:tc>
      </w:tr>
      <w:tr w:rsidR="00984ACF" w14:paraId="1A9D69F9" w14:textId="77777777" w:rsidTr="00D664C2">
        <w:trPr>
          <w:trHeight w:val="1411"/>
        </w:trPr>
        <w:tc>
          <w:tcPr>
            <w:tcW w:w="1776" w:type="dxa"/>
            <w:tcBorders>
              <w:top w:val="single" w:sz="4" w:space="0" w:color="000000"/>
              <w:left w:val="single" w:sz="4" w:space="0" w:color="000000"/>
              <w:bottom w:val="single" w:sz="4" w:space="0" w:color="000000"/>
              <w:right w:val="single" w:sz="4" w:space="0" w:color="000000"/>
            </w:tcBorders>
          </w:tcPr>
          <w:p w14:paraId="65705742" w14:textId="77777777" w:rsidR="00984ACF" w:rsidRDefault="00984ACF" w:rsidP="00D664C2">
            <w:r>
              <w:t>Bioinformatics Team Lead</w:t>
            </w:r>
          </w:p>
        </w:tc>
        <w:tc>
          <w:tcPr>
            <w:tcW w:w="7559" w:type="dxa"/>
            <w:tcBorders>
              <w:top w:val="single" w:sz="4" w:space="0" w:color="000000"/>
              <w:left w:val="single" w:sz="4" w:space="0" w:color="000000"/>
              <w:bottom w:val="single" w:sz="4" w:space="0" w:color="000000"/>
              <w:right w:val="single" w:sz="4" w:space="0" w:color="000000"/>
            </w:tcBorders>
          </w:tcPr>
          <w:p w14:paraId="21D067A7" w14:textId="77777777" w:rsidR="00984ACF" w:rsidRDefault="00984ACF" w:rsidP="00984ACF">
            <w:pPr>
              <w:numPr>
                <w:ilvl w:val="0"/>
                <w:numId w:val="6"/>
              </w:numPr>
              <w:ind w:hanging="360"/>
            </w:pPr>
            <w:r>
              <w:t xml:space="preserve">Determine the training needs for the laboratory staff </w:t>
            </w:r>
          </w:p>
          <w:p w14:paraId="532541FE" w14:textId="77777777" w:rsidR="00984ACF" w:rsidRDefault="00984ACF" w:rsidP="00984ACF">
            <w:pPr>
              <w:numPr>
                <w:ilvl w:val="0"/>
                <w:numId w:val="6"/>
              </w:numPr>
              <w:ind w:hanging="360"/>
            </w:pPr>
            <w:r>
              <w:t xml:space="preserve">Ensure all staff are trained and evaluated according to this procedure </w:t>
            </w:r>
          </w:p>
          <w:p w14:paraId="57617C52" w14:textId="77777777" w:rsidR="00984ACF" w:rsidRDefault="00984ACF" w:rsidP="00984ACF">
            <w:pPr>
              <w:numPr>
                <w:ilvl w:val="0"/>
                <w:numId w:val="6"/>
              </w:numPr>
              <w:ind w:hanging="360"/>
            </w:pPr>
            <w:r>
              <w:t xml:space="preserve">Create training plans, review training materials, and assign trainers as needed </w:t>
            </w:r>
          </w:p>
          <w:p w14:paraId="51EB47D4" w14:textId="77777777" w:rsidR="00984ACF" w:rsidRDefault="00984ACF" w:rsidP="00984ACF">
            <w:pPr>
              <w:numPr>
                <w:ilvl w:val="0"/>
                <w:numId w:val="6"/>
              </w:numPr>
              <w:ind w:hanging="360"/>
            </w:pPr>
            <w:r>
              <w:t xml:space="preserve">Develop training materials </w:t>
            </w:r>
          </w:p>
          <w:p w14:paraId="4A2F7B63" w14:textId="77777777" w:rsidR="00984ACF" w:rsidRDefault="00984ACF" w:rsidP="00984ACF">
            <w:pPr>
              <w:numPr>
                <w:ilvl w:val="0"/>
                <w:numId w:val="6"/>
              </w:numPr>
              <w:ind w:hanging="360"/>
            </w:pPr>
            <w:r>
              <w:t xml:space="preserve">Document training activities using the Training Form </w:t>
            </w:r>
          </w:p>
        </w:tc>
      </w:tr>
      <w:tr w:rsidR="00984ACF" w14:paraId="1850F0DC" w14:textId="77777777" w:rsidTr="00D664C2">
        <w:trPr>
          <w:trHeight w:val="1109"/>
        </w:trPr>
        <w:tc>
          <w:tcPr>
            <w:tcW w:w="1776" w:type="dxa"/>
            <w:tcBorders>
              <w:top w:val="single" w:sz="4" w:space="0" w:color="000000"/>
              <w:left w:val="single" w:sz="4" w:space="0" w:color="000000"/>
              <w:bottom w:val="single" w:sz="4" w:space="0" w:color="000000"/>
              <w:right w:val="single" w:sz="4" w:space="0" w:color="000000"/>
            </w:tcBorders>
          </w:tcPr>
          <w:p w14:paraId="23F7233E" w14:textId="77777777" w:rsidR="00984ACF" w:rsidRDefault="00984ACF" w:rsidP="00D664C2">
            <w:r>
              <w:t xml:space="preserve">Trainer </w:t>
            </w:r>
          </w:p>
        </w:tc>
        <w:tc>
          <w:tcPr>
            <w:tcW w:w="7559" w:type="dxa"/>
            <w:tcBorders>
              <w:top w:val="single" w:sz="4" w:space="0" w:color="000000"/>
              <w:left w:val="single" w:sz="4" w:space="0" w:color="000000"/>
              <w:bottom w:val="single" w:sz="4" w:space="0" w:color="000000"/>
              <w:right w:val="single" w:sz="4" w:space="0" w:color="000000"/>
            </w:tcBorders>
          </w:tcPr>
          <w:p w14:paraId="5B0FB453" w14:textId="77777777" w:rsidR="00984ACF" w:rsidRDefault="00984ACF" w:rsidP="00984ACF">
            <w:pPr>
              <w:numPr>
                <w:ilvl w:val="0"/>
                <w:numId w:val="7"/>
              </w:numPr>
              <w:ind w:hanging="360"/>
            </w:pPr>
            <w:r>
              <w:t xml:space="preserve">Provide and document training per the SOP, using the Training Form </w:t>
            </w:r>
          </w:p>
          <w:p w14:paraId="0485B3D7" w14:textId="77777777" w:rsidR="00984ACF" w:rsidRDefault="00984ACF" w:rsidP="00984ACF">
            <w:pPr>
              <w:numPr>
                <w:ilvl w:val="0"/>
                <w:numId w:val="7"/>
              </w:numPr>
              <w:ind w:hanging="360"/>
            </w:pPr>
            <w:r>
              <w:t xml:space="preserve">Possess competence in the training topic. Trainers may be vendors or laboratory personnel (either FTE or contractor), provided they have experience in the training topic. </w:t>
            </w:r>
          </w:p>
        </w:tc>
      </w:tr>
    </w:tbl>
    <w:p w14:paraId="08B6B39A" w14:textId="77777777" w:rsidR="00984ACF" w:rsidRDefault="00984ACF" w:rsidP="00984ACF">
      <w:pPr>
        <w:tabs>
          <w:tab w:val="left" w:pos="1440"/>
        </w:tabs>
        <w:spacing w:after="0" w:line="240" w:lineRule="auto"/>
        <w:rPr>
          <w:rFonts w:eastAsia="Times New Roman" w:cstheme="minorHAnsi"/>
          <w:b/>
        </w:rPr>
      </w:pPr>
    </w:p>
    <w:p w14:paraId="6414C5E1" w14:textId="77777777" w:rsidR="00984ACF" w:rsidRDefault="00984ACF" w:rsidP="00984ACF">
      <w:pPr>
        <w:numPr>
          <w:ilvl w:val="0"/>
          <w:numId w:val="8"/>
        </w:numPr>
        <w:tabs>
          <w:tab w:val="num" w:pos="720"/>
          <w:tab w:val="left" w:pos="1440"/>
        </w:tabs>
        <w:spacing w:after="0" w:line="240" w:lineRule="auto"/>
        <w:ind w:left="720" w:hanging="720"/>
        <w:rPr>
          <w:rFonts w:eastAsia="Times New Roman" w:cstheme="minorHAnsi"/>
          <w:b/>
        </w:rPr>
      </w:pPr>
      <w:r w:rsidRPr="004865D2">
        <w:rPr>
          <w:rFonts w:eastAsia="Times New Roman" w:cstheme="minorHAnsi"/>
          <w:b/>
        </w:rPr>
        <w:t xml:space="preserve">Procedure </w:t>
      </w:r>
    </w:p>
    <w:p w14:paraId="0BF825A7" w14:textId="77777777" w:rsidR="00984ACF" w:rsidRDefault="00984ACF" w:rsidP="00984ACF">
      <w:pPr>
        <w:numPr>
          <w:ilvl w:val="1"/>
          <w:numId w:val="8"/>
        </w:numPr>
        <w:tabs>
          <w:tab w:val="left" w:pos="1170"/>
        </w:tabs>
        <w:spacing w:after="0" w:line="240" w:lineRule="auto"/>
        <w:rPr>
          <w:rFonts w:eastAsia="Times New Roman" w:cstheme="minorHAnsi"/>
          <w:b/>
        </w:rPr>
      </w:pPr>
      <w:r w:rsidRPr="004865D2">
        <w:rPr>
          <w:rFonts w:eastAsia="Times New Roman" w:cstheme="minorHAnsi"/>
          <w:b/>
        </w:rPr>
        <w:t xml:space="preserve">TELL: Base Knowledge (Section I) </w:t>
      </w:r>
    </w:p>
    <w:p w14:paraId="49C93423" w14:textId="77777777" w:rsidR="00984ACF" w:rsidRPr="004865D2" w:rsidRDefault="00984ACF" w:rsidP="00984ACF">
      <w:pPr>
        <w:tabs>
          <w:tab w:val="left" w:pos="1170"/>
        </w:tabs>
        <w:spacing w:after="0" w:line="240" w:lineRule="auto"/>
        <w:ind w:left="1170"/>
      </w:pPr>
      <w:r>
        <w:t xml:space="preserve">The trainee will be provided with a list of resources for required reading and/or watching. Resources may include any applicable laboratory developed risk assessment/mitigation documents, SOPs, publications, instrument manuals, and any other applicable information. </w:t>
      </w:r>
    </w:p>
    <w:p w14:paraId="46E1EC98" w14:textId="77777777" w:rsidR="00984ACF" w:rsidRDefault="00984ACF" w:rsidP="00984ACF">
      <w:pPr>
        <w:numPr>
          <w:ilvl w:val="0"/>
          <w:numId w:val="1"/>
        </w:numPr>
        <w:spacing w:after="0" w:line="240" w:lineRule="auto"/>
        <w:ind w:hanging="288"/>
      </w:pPr>
      <w:r>
        <w:lastRenderedPageBreak/>
        <w:t>List the required resources for review in Section I of the Training Form</w:t>
      </w:r>
      <w:r>
        <w:rPr>
          <w:rFonts w:ascii="Calibri" w:eastAsia="Calibri" w:hAnsi="Calibri" w:cs="Calibri"/>
          <w:i/>
          <w:color w:val="5B9BD4"/>
        </w:rPr>
        <w:t xml:space="preserve">.  </w:t>
      </w:r>
    </w:p>
    <w:p w14:paraId="643E60CD" w14:textId="77777777" w:rsidR="00984ACF" w:rsidRDefault="00984ACF" w:rsidP="00984ACF">
      <w:pPr>
        <w:spacing w:after="0" w:line="240" w:lineRule="auto"/>
        <w:ind w:left="1738"/>
      </w:pPr>
      <w:r>
        <w:t>Note: If the trainee will perform only a portion(s) of the overall test method, they are only required to read the documents relevant to the portion(s) they will perform.</w:t>
      </w:r>
    </w:p>
    <w:p w14:paraId="2B08E914" w14:textId="77777777" w:rsidR="00984ACF" w:rsidRDefault="00984ACF" w:rsidP="00984ACF">
      <w:pPr>
        <w:numPr>
          <w:ilvl w:val="0"/>
          <w:numId w:val="1"/>
        </w:numPr>
        <w:spacing w:after="0" w:line="240" w:lineRule="auto"/>
        <w:ind w:hanging="288"/>
      </w:pPr>
      <w:r>
        <w:t>The trainee will build a basic understanding of the testing they are to perform by completing the required reading/watching listed in Section I of the Training Form.</w:t>
      </w:r>
    </w:p>
    <w:p w14:paraId="0FE275CA" w14:textId="77777777" w:rsidR="00984ACF" w:rsidRDefault="00984ACF" w:rsidP="00984ACF">
      <w:pPr>
        <w:numPr>
          <w:ilvl w:val="0"/>
          <w:numId w:val="1"/>
        </w:numPr>
        <w:spacing w:after="0" w:line="240" w:lineRule="auto"/>
        <w:ind w:hanging="288"/>
      </w:pPr>
      <w:r>
        <w:t xml:space="preserve">The trainee will become acquainted with the primary user responsibility to ensure that preventative maintenance is scheduled and executed for all equipment involved in testing. </w:t>
      </w:r>
    </w:p>
    <w:p w14:paraId="7DCD91D5" w14:textId="77777777" w:rsidR="00984ACF" w:rsidRDefault="00984ACF" w:rsidP="00984ACF">
      <w:pPr>
        <w:numPr>
          <w:ilvl w:val="1"/>
          <w:numId w:val="8"/>
        </w:numPr>
        <w:tabs>
          <w:tab w:val="left" w:pos="1170"/>
        </w:tabs>
        <w:spacing w:after="0" w:line="240" w:lineRule="auto"/>
      </w:pPr>
      <w:r w:rsidRPr="004865D2">
        <w:rPr>
          <w:rFonts w:eastAsia="Times New Roman" w:cstheme="minorHAnsi"/>
          <w:b/>
        </w:rPr>
        <w:t>SHOW: Observation (Section II)</w:t>
      </w:r>
      <w:r>
        <w:t xml:space="preserve"> </w:t>
      </w:r>
    </w:p>
    <w:p w14:paraId="52609535" w14:textId="77777777" w:rsidR="00984ACF" w:rsidRDefault="00984ACF" w:rsidP="00984ACF">
      <w:pPr>
        <w:tabs>
          <w:tab w:val="left" w:pos="1440"/>
        </w:tabs>
        <w:spacing w:after="0" w:line="240" w:lineRule="auto"/>
        <w:ind w:left="1170" w:hanging="90"/>
      </w:pPr>
      <w:r>
        <w:tab/>
        <w:t xml:space="preserve">The trainer will perform all steps within the SOP while the trainee observes. </w:t>
      </w:r>
    </w:p>
    <w:p w14:paraId="5E4903C5" w14:textId="77777777" w:rsidR="00984ACF" w:rsidRDefault="00984ACF" w:rsidP="00984ACF">
      <w:pPr>
        <w:numPr>
          <w:ilvl w:val="0"/>
          <w:numId w:val="2"/>
        </w:numPr>
        <w:spacing w:after="0" w:line="240" w:lineRule="auto"/>
        <w:ind w:hanging="288"/>
      </w:pPr>
      <w:r>
        <w:t xml:space="preserve">The trainer will verbally walk the trainee through the entire process from beginning to end using the operational SOP as a training guide. </w:t>
      </w:r>
    </w:p>
    <w:p w14:paraId="32227D86" w14:textId="77777777" w:rsidR="00984ACF" w:rsidRDefault="00984ACF" w:rsidP="00984ACF">
      <w:pPr>
        <w:numPr>
          <w:ilvl w:val="0"/>
          <w:numId w:val="2"/>
        </w:numPr>
        <w:spacing w:after="0" w:line="240" w:lineRule="auto"/>
        <w:ind w:hanging="288"/>
      </w:pPr>
      <w:r>
        <w:t xml:space="preserve">This review will cover all aspects of the total test process for which the trainee will be responsible to perform.  </w:t>
      </w:r>
    </w:p>
    <w:p w14:paraId="7036592A" w14:textId="77777777" w:rsidR="00984ACF" w:rsidRDefault="00984ACF" w:rsidP="00984ACF">
      <w:pPr>
        <w:numPr>
          <w:ilvl w:val="0"/>
          <w:numId w:val="2"/>
        </w:numPr>
        <w:spacing w:after="0" w:line="240" w:lineRule="auto"/>
        <w:ind w:hanging="288"/>
      </w:pPr>
      <w:r>
        <w:t xml:space="preserve">The trainer will discuss key steps and troubleshooting topics listed in Section II of the Training Form. </w:t>
      </w:r>
    </w:p>
    <w:p w14:paraId="70079824" w14:textId="77777777" w:rsidR="00984ACF" w:rsidRDefault="00984ACF" w:rsidP="00984ACF">
      <w:pPr>
        <w:numPr>
          <w:ilvl w:val="0"/>
          <w:numId w:val="2"/>
        </w:numPr>
        <w:spacing w:after="0" w:line="240" w:lineRule="auto"/>
        <w:ind w:hanging="288"/>
      </w:pPr>
      <w:r>
        <w:t xml:space="preserve">The trainee will observe proper user performed preventive maintenance. </w:t>
      </w:r>
    </w:p>
    <w:p w14:paraId="6E648EE4" w14:textId="77777777" w:rsidR="00984ACF" w:rsidRDefault="00984ACF" w:rsidP="00984ACF">
      <w:pPr>
        <w:numPr>
          <w:ilvl w:val="1"/>
          <w:numId w:val="8"/>
        </w:numPr>
        <w:tabs>
          <w:tab w:val="left" w:pos="1170"/>
        </w:tabs>
        <w:spacing w:after="0" w:line="240" w:lineRule="auto"/>
        <w:ind w:left="1080" w:hanging="374"/>
      </w:pPr>
      <w:r w:rsidRPr="004865D2">
        <w:rPr>
          <w:rFonts w:eastAsia="Times New Roman" w:cstheme="minorHAnsi"/>
          <w:b/>
        </w:rPr>
        <w:tab/>
      </w:r>
      <w:r w:rsidRPr="60826590">
        <w:rPr>
          <w:rFonts w:eastAsia="Times New Roman"/>
          <w:b/>
          <w:bCs/>
        </w:rPr>
        <w:t>DO: Performance under Supervision (Section III)</w:t>
      </w:r>
      <w:r>
        <w:t xml:space="preserve"> </w:t>
      </w:r>
    </w:p>
    <w:p w14:paraId="22CABDBC" w14:textId="77777777" w:rsidR="00984ACF" w:rsidRDefault="00984ACF" w:rsidP="00984ACF">
      <w:pPr>
        <w:tabs>
          <w:tab w:val="left" w:pos="1170"/>
        </w:tabs>
        <w:spacing w:after="0" w:line="240" w:lineRule="auto"/>
        <w:ind w:left="1170"/>
      </w:pPr>
      <w:r>
        <w:t xml:space="preserve">The trainee will perform all steps within the total test process that they will be responsible to perform under direct and full observation of the trainer. The trainee will perform any user performed preventive maintenance required. </w:t>
      </w:r>
    </w:p>
    <w:p w14:paraId="2E45CBEF" w14:textId="0116B6E0" w:rsidR="00984ACF" w:rsidRDefault="00984ACF" w:rsidP="00984ACF">
      <w:pPr>
        <w:numPr>
          <w:ilvl w:val="0"/>
          <w:numId w:val="3"/>
        </w:numPr>
        <w:spacing w:after="0" w:line="240" w:lineRule="auto"/>
        <w:ind w:hanging="288"/>
      </w:pPr>
      <w:r>
        <w:t xml:space="preserve">The trainer will document in Section III of the form the success/failure of the trainee to meet the performance criteria. </w:t>
      </w:r>
    </w:p>
    <w:p w14:paraId="1069B0D7" w14:textId="38D3BFCD" w:rsidR="00984ACF" w:rsidRDefault="00984ACF" w:rsidP="00255672">
      <w:pPr>
        <w:spacing w:after="0" w:line="240" w:lineRule="auto"/>
        <w:ind w:left="1890" w:right="346" w:hanging="180"/>
      </w:pPr>
      <w:proofErr w:type="spellStart"/>
      <w:r>
        <w:t>i</w:t>
      </w:r>
      <w:proofErr w:type="spellEnd"/>
      <w:r>
        <w:t>.</w:t>
      </w:r>
      <w:r>
        <w:rPr>
          <w:rFonts w:ascii="Arial" w:eastAsia="Arial" w:hAnsi="Arial" w:cs="Arial"/>
        </w:rPr>
        <w:t xml:space="preserve"> </w:t>
      </w:r>
      <w:r>
        <w:t>If the trainee fails to meet the criteria, the trainer will assess the cause of the failure and</w:t>
      </w:r>
      <w:r w:rsidR="00255672">
        <w:t xml:space="preserve"> </w:t>
      </w:r>
      <w:r>
        <w:t xml:space="preserve">will provide additional training until the trainee is able to successfully meet the performance criteria. Remedial training may be documented in the notes section of the Training Form. </w:t>
      </w:r>
    </w:p>
    <w:p w14:paraId="41B1E1BA" w14:textId="77777777" w:rsidR="00984ACF" w:rsidRDefault="00984ACF" w:rsidP="00984ACF">
      <w:pPr>
        <w:numPr>
          <w:ilvl w:val="0"/>
          <w:numId w:val="3"/>
        </w:numPr>
        <w:spacing w:after="0" w:line="240" w:lineRule="auto"/>
        <w:ind w:hanging="288"/>
      </w:pPr>
      <w:r>
        <w:t xml:space="preserve">The trainer will assess the trainee’s ability to properly maintain the environment according to established maintenance procedures.  </w:t>
      </w:r>
    </w:p>
    <w:p w14:paraId="602D6A32" w14:textId="2C22656D" w:rsidR="00984ACF" w:rsidRDefault="00984ACF" w:rsidP="00255672">
      <w:pPr>
        <w:numPr>
          <w:ilvl w:val="1"/>
          <w:numId w:val="8"/>
        </w:numPr>
        <w:tabs>
          <w:tab w:val="left" w:pos="1170"/>
        </w:tabs>
        <w:spacing w:after="0" w:line="240" w:lineRule="auto"/>
        <w:ind w:left="1260" w:hanging="554"/>
      </w:pPr>
      <w:r w:rsidRPr="60826590">
        <w:rPr>
          <w:rFonts w:eastAsia="Times New Roman"/>
          <w:b/>
          <w:bCs/>
        </w:rPr>
        <w:t>APPLY: Post Training Assessment (Section IV)</w:t>
      </w:r>
      <w:r>
        <w:rPr>
          <w:rFonts w:ascii="Calibri" w:eastAsia="Calibri" w:hAnsi="Calibri" w:cs="Calibri"/>
        </w:rPr>
        <w:t xml:space="preserve"> </w:t>
      </w:r>
    </w:p>
    <w:p w14:paraId="494FE0E5" w14:textId="77777777" w:rsidR="00984ACF" w:rsidRDefault="00984ACF" w:rsidP="00255672">
      <w:pPr>
        <w:tabs>
          <w:tab w:val="left" w:pos="1170"/>
        </w:tabs>
        <w:spacing w:after="0" w:line="240" w:lineRule="auto"/>
        <w:ind w:left="1170"/>
      </w:pPr>
      <w:r>
        <w:t xml:space="preserve">Once the trainee successfully performs the process under the observation of the trainer, the trainee will perform the post training assessment. </w:t>
      </w:r>
    </w:p>
    <w:p w14:paraId="18739E24" w14:textId="77777777" w:rsidR="00984ACF" w:rsidRDefault="00984ACF" w:rsidP="00984ACF">
      <w:pPr>
        <w:numPr>
          <w:ilvl w:val="0"/>
          <w:numId w:val="4"/>
        </w:numPr>
        <w:spacing w:after="0" w:line="240" w:lineRule="auto"/>
        <w:ind w:hanging="288"/>
      </w:pPr>
      <w:r>
        <w:t xml:space="preserve">The trainer will review the trainee’s results and compare them to the expected results to assess the trainee’s performance.  </w:t>
      </w:r>
    </w:p>
    <w:p w14:paraId="2686829A" w14:textId="77777777" w:rsidR="00984ACF" w:rsidRDefault="00984ACF" w:rsidP="00984ACF">
      <w:pPr>
        <w:numPr>
          <w:ilvl w:val="0"/>
          <w:numId w:val="4"/>
        </w:numPr>
        <w:spacing w:after="0" w:line="240" w:lineRule="auto"/>
        <w:ind w:hanging="288"/>
      </w:pPr>
      <w:r>
        <w:t xml:space="preserve">The trainer will record the success/failure of the trainee to meet the performance criteria in Section IV of the Training Form. </w:t>
      </w:r>
    </w:p>
    <w:p w14:paraId="114D1847" w14:textId="77777777" w:rsidR="00984ACF" w:rsidRDefault="00984ACF" w:rsidP="00255672">
      <w:pPr>
        <w:spacing w:after="0" w:line="240" w:lineRule="auto"/>
        <w:ind w:left="1890" w:hanging="180"/>
      </w:pPr>
      <w:proofErr w:type="spellStart"/>
      <w:r>
        <w:t>i</w:t>
      </w:r>
      <w:proofErr w:type="spellEnd"/>
      <w:r>
        <w:t>.</w:t>
      </w:r>
      <w:r>
        <w:rPr>
          <w:rFonts w:ascii="Arial" w:eastAsia="Arial" w:hAnsi="Arial" w:cs="Arial"/>
        </w:rPr>
        <w:t xml:space="preserve"> </w:t>
      </w:r>
      <w:r>
        <w:rPr>
          <w:rFonts w:ascii="Arial" w:eastAsia="Arial" w:hAnsi="Arial" w:cs="Arial"/>
        </w:rPr>
        <w:tab/>
      </w:r>
      <w:r>
        <w:t xml:space="preserve">If the trainee fails to meet the criteria, the trainer will assess the cause of the failure and will provide additional training until the trainee is able to successfully meet the performance criteria. Remedial training may be documented in the notes section of the Training Form. Steps 5.1 through 5.4 may be repeated as necessary to ensure successful completion of training. </w:t>
      </w:r>
    </w:p>
    <w:p w14:paraId="55A91676" w14:textId="596D1DEB" w:rsidR="00984ACF" w:rsidRDefault="00984ACF" w:rsidP="00255672">
      <w:pPr>
        <w:numPr>
          <w:ilvl w:val="1"/>
          <w:numId w:val="8"/>
        </w:numPr>
        <w:tabs>
          <w:tab w:val="left" w:pos="1170"/>
        </w:tabs>
        <w:spacing w:after="0" w:line="240" w:lineRule="auto"/>
        <w:ind w:left="1170" w:hanging="464"/>
      </w:pPr>
      <w:r w:rsidRPr="004865D2">
        <w:rPr>
          <w:rFonts w:eastAsia="Times New Roman" w:cstheme="minorHAnsi"/>
          <w:b/>
        </w:rPr>
        <w:t>Trainee Attestation (Section V)</w:t>
      </w:r>
      <w:r>
        <w:t xml:space="preserve"> </w:t>
      </w:r>
    </w:p>
    <w:p w14:paraId="52CF8F52" w14:textId="77777777" w:rsidR="00984ACF" w:rsidRDefault="00984ACF" w:rsidP="00255672">
      <w:pPr>
        <w:tabs>
          <w:tab w:val="left" w:pos="1440"/>
        </w:tabs>
        <w:spacing w:after="0" w:line="240" w:lineRule="auto"/>
        <w:ind w:left="1441" w:hanging="271"/>
      </w:pPr>
      <w:r>
        <w:t xml:space="preserve">The trainee will complete Section V of the Training Form. </w:t>
      </w:r>
    </w:p>
    <w:p w14:paraId="7FBA308D" w14:textId="53D16F1A" w:rsidR="00984ACF" w:rsidRDefault="00984ACF" w:rsidP="00255672">
      <w:pPr>
        <w:numPr>
          <w:ilvl w:val="1"/>
          <w:numId w:val="8"/>
        </w:numPr>
        <w:tabs>
          <w:tab w:val="left" w:pos="1170"/>
        </w:tabs>
        <w:spacing w:after="0" w:line="240" w:lineRule="auto"/>
      </w:pPr>
      <w:r w:rsidRPr="004865D2">
        <w:rPr>
          <w:rFonts w:eastAsia="Times New Roman" w:cstheme="minorHAnsi"/>
          <w:b/>
        </w:rPr>
        <w:t>Review and Signatures (Section VI)</w:t>
      </w:r>
      <w:r>
        <w:rPr>
          <w:rFonts w:ascii="Calibri" w:eastAsia="Calibri" w:hAnsi="Calibri" w:cs="Calibri"/>
        </w:rPr>
        <w:t xml:space="preserve"> </w:t>
      </w:r>
    </w:p>
    <w:p w14:paraId="24E5836A" w14:textId="77777777" w:rsidR="00984ACF" w:rsidRDefault="00984ACF" w:rsidP="00255672">
      <w:pPr>
        <w:tabs>
          <w:tab w:val="left" w:pos="1440"/>
        </w:tabs>
        <w:spacing w:after="0" w:line="240" w:lineRule="auto"/>
        <w:ind w:left="1170"/>
      </w:pPr>
      <w:r>
        <w:t xml:space="preserve">The trainer will ensure completion of Section VI of the Training Form. </w:t>
      </w:r>
    </w:p>
    <w:p w14:paraId="13EF4C75" w14:textId="77777777" w:rsidR="00984ACF" w:rsidRDefault="00984ACF" w:rsidP="00984ACF">
      <w:pPr>
        <w:numPr>
          <w:ilvl w:val="0"/>
          <w:numId w:val="5"/>
        </w:numPr>
        <w:spacing w:after="0" w:line="240" w:lineRule="auto"/>
        <w:ind w:hanging="288"/>
      </w:pPr>
      <w:r>
        <w:t xml:space="preserve">Both the trainee and trainer will review and sign the Training Form. </w:t>
      </w:r>
    </w:p>
    <w:p w14:paraId="5E54DAE6" w14:textId="77777777" w:rsidR="00984ACF" w:rsidRDefault="00984ACF" w:rsidP="00984ACF">
      <w:pPr>
        <w:numPr>
          <w:ilvl w:val="0"/>
          <w:numId w:val="5"/>
        </w:numPr>
        <w:spacing w:after="0" w:line="240" w:lineRule="auto"/>
        <w:ind w:hanging="288"/>
      </w:pPr>
      <w:r>
        <w:lastRenderedPageBreak/>
        <w:t xml:space="preserve">For CLIA test systems only: If the trainer is neither a General Supervisor nor a Technical Supervisor, an additional review and signature is required by either a CLIA General Supervisor or a CLIA Technical Supervisor. </w:t>
      </w:r>
    </w:p>
    <w:bookmarkEnd w:id="1"/>
    <w:p w14:paraId="14E3F62C" w14:textId="77777777" w:rsidR="00B137A1" w:rsidRDefault="00B137A1"/>
    <w:sectPr w:rsidR="00B137A1" w:rsidSect="00692090">
      <w:headerReference w:type="even" r:id="rId11"/>
      <w:headerReference w:type="default" r:id="rId12"/>
      <w:footerReference w:type="default" r:id="rId13"/>
      <w:headerReference w:type="first" r:id="rId14"/>
      <w:footerReference w:type="first" r:id="rId15"/>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F62F" w14:textId="77777777" w:rsidR="00571E56" w:rsidRDefault="00571E56" w:rsidP="00695A4E">
      <w:pPr>
        <w:spacing w:after="0" w:line="240" w:lineRule="auto"/>
      </w:pPr>
      <w:r>
        <w:separator/>
      </w:r>
    </w:p>
  </w:endnote>
  <w:endnote w:type="continuationSeparator" w:id="0">
    <w:p w14:paraId="14E3F630" w14:textId="77777777" w:rsidR="00571E56" w:rsidRDefault="00571E56"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5E29B32D"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6695799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0F670C13"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F46E36E"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8FEB72"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548513F"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261E01C"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2FDF86B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D3ED2CC"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00CBA1BD" w14:textId="77777777" w:rsidR="0035375A" w:rsidRDefault="0035375A" w:rsidP="0035375A">
    <w:pPr>
      <w:pStyle w:val="Footer"/>
    </w:pPr>
  </w:p>
  <w:p w14:paraId="4EC2519F" w14:textId="77777777" w:rsidR="005179C9" w:rsidRDefault="0051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0CFEE8E0"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316D5BD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B682CFA"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6925AA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7AD48E1"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DD1DC3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6F938B0"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2009F9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7CF6393E"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2A389BD7" w14:textId="77777777" w:rsidR="0035375A" w:rsidRDefault="0035375A" w:rsidP="0035375A">
    <w:pPr>
      <w:pStyle w:val="Footer"/>
    </w:pPr>
  </w:p>
  <w:p w14:paraId="3801A03F" w14:textId="77777777" w:rsidR="0035375A" w:rsidRDefault="0035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F62D" w14:textId="77777777" w:rsidR="00571E56" w:rsidRDefault="00571E56" w:rsidP="00695A4E">
      <w:pPr>
        <w:spacing w:after="0" w:line="240" w:lineRule="auto"/>
      </w:pPr>
      <w:r>
        <w:separator/>
      </w:r>
    </w:p>
  </w:footnote>
  <w:footnote w:type="continuationSeparator" w:id="0">
    <w:p w14:paraId="14E3F62E" w14:textId="77777777" w:rsidR="00571E56" w:rsidRDefault="00571E56"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5F16B8">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E3F636">
          <wp:simplePos x="0" y="0"/>
          <wp:positionH relativeFrom="page">
            <wp:align>left</wp:align>
          </wp:positionH>
          <wp:positionV relativeFrom="paragraph">
            <wp:posOffset>-449885</wp:posOffset>
          </wp:positionV>
          <wp:extent cx="7766572" cy="10051085"/>
          <wp:effectExtent l="0" t="0" r="635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14E3F638">
          <wp:simplePos x="0" y="0"/>
          <wp:positionH relativeFrom="margin">
            <wp:posOffset>-670560</wp:posOffset>
          </wp:positionH>
          <wp:positionV relativeFrom="page">
            <wp:posOffset>19050</wp:posOffset>
          </wp:positionV>
          <wp:extent cx="7742602" cy="10020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003D"/>
    <w:multiLevelType w:val="multilevel"/>
    <w:tmpl w:val="E5B25E4C"/>
    <w:lvl w:ilvl="0">
      <w:start w:val="1"/>
      <w:numFmt w:val="decimal"/>
      <w:lvlText w:val="%1.0"/>
      <w:lvlJc w:val="left"/>
      <w:pPr>
        <w:ind w:left="721" w:hanging="735"/>
      </w:pPr>
      <w:rPr>
        <w:rFonts w:hint="default"/>
      </w:rPr>
    </w:lvl>
    <w:lvl w:ilvl="1">
      <w:start w:val="1"/>
      <w:numFmt w:val="decimal"/>
      <w:lvlText w:val="%1.%2"/>
      <w:lvlJc w:val="left"/>
      <w:pPr>
        <w:ind w:left="1441" w:hanging="735"/>
      </w:pPr>
      <w:rPr>
        <w:rFonts w:hint="default"/>
        <w:b/>
        <w:bCs/>
      </w:rPr>
    </w:lvl>
    <w:lvl w:ilvl="2">
      <w:start w:val="1"/>
      <w:numFmt w:val="decimal"/>
      <w:lvlText w:val="%1.%2.%3"/>
      <w:lvlJc w:val="left"/>
      <w:pPr>
        <w:ind w:left="2161" w:hanging="735"/>
      </w:pPr>
      <w:rPr>
        <w:rFonts w:hint="default"/>
      </w:rPr>
    </w:lvl>
    <w:lvl w:ilvl="3">
      <w:start w:val="1"/>
      <w:numFmt w:val="decimal"/>
      <w:lvlText w:val="%1.%2.%3.%4"/>
      <w:lvlJc w:val="left"/>
      <w:pPr>
        <w:ind w:left="2881" w:hanging="735"/>
      </w:pPr>
      <w:rPr>
        <w:rFonts w:hint="default"/>
      </w:rPr>
    </w:lvl>
    <w:lvl w:ilvl="4">
      <w:start w:val="1"/>
      <w:numFmt w:val="decimal"/>
      <w:lvlText w:val="%1.%2.%3.%4.%5"/>
      <w:lvlJc w:val="left"/>
      <w:pPr>
        <w:ind w:left="3946" w:hanging="1080"/>
      </w:pPr>
      <w:rPr>
        <w:rFonts w:hint="default"/>
      </w:rPr>
    </w:lvl>
    <w:lvl w:ilvl="5">
      <w:start w:val="1"/>
      <w:numFmt w:val="decimal"/>
      <w:lvlText w:val="%1.%2.%3.%4.%5.%6"/>
      <w:lvlJc w:val="left"/>
      <w:pPr>
        <w:ind w:left="4666" w:hanging="1080"/>
      </w:pPr>
      <w:rPr>
        <w:rFonts w:hint="default"/>
      </w:rPr>
    </w:lvl>
    <w:lvl w:ilvl="6">
      <w:start w:val="1"/>
      <w:numFmt w:val="decimal"/>
      <w:lvlText w:val="%1.%2.%3.%4.%5.%6.%7"/>
      <w:lvlJc w:val="left"/>
      <w:pPr>
        <w:ind w:left="5746"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6" w:hanging="1800"/>
      </w:pPr>
      <w:rPr>
        <w:rFonts w:hint="default"/>
      </w:rPr>
    </w:lvl>
  </w:abstractNum>
  <w:abstractNum w:abstractNumId="1" w15:restartNumberingAfterBreak="0">
    <w:nsid w:val="27E07552"/>
    <w:multiLevelType w:val="hybridMultilevel"/>
    <w:tmpl w:val="50DA0A3A"/>
    <w:lvl w:ilvl="0" w:tplc="91AC0B0E">
      <w:start w:val="1"/>
      <w:numFmt w:val="lowerLetter"/>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FE229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DA677C">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EE231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221D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AB43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DE358C">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22D7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A58F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1B4CB1"/>
    <w:multiLevelType w:val="hybridMultilevel"/>
    <w:tmpl w:val="B046EED2"/>
    <w:lvl w:ilvl="0" w:tplc="8F58CF34">
      <w:start w:val="1"/>
      <w:numFmt w:val="lowerLetter"/>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928DA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624A7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6C8302">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C2DA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4679E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C0F4C4">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9E01A4">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B60F3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B961CD"/>
    <w:multiLevelType w:val="hybridMultilevel"/>
    <w:tmpl w:val="5DFE5F1A"/>
    <w:lvl w:ilvl="0" w:tplc="C1707F30">
      <w:start w:val="1"/>
      <w:numFmt w:val="lowerLetter"/>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EEDDB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CABD9C">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B0715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0E05F4">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E42CB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54AA4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F8BBE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489B9E">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A9570B"/>
    <w:multiLevelType w:val="hybridMultilevel"/>
    <w:tmpl w:val="019C0032"/>
    <w:lvl w:ilvl="0" w:tplc="EB4C789E">
      <w:start w:val="1"/>
      <w:numFmt w:val="lowerLetter"/>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044726">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C8366">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90839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2A70E4">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C6445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E0468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D02F9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EA577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C00203"/>
    <w:multiLevelType w:val="hybridMultilevel"/>
    <w:tmpl w:val="C936A38E"/>
    <w:lvl w:ilvl="0" w:tplc="FED4A3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20CD1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2A193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9AB5A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89E1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453B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E658E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E764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B01F1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C61C7B"/>
    <w:multiLevelType w:val="hybridMultilevel"/>
    <w:tmpl w:val="AFAE1E22"/>
    <w:lvl w:ilvl="0" w:tplc="451A8124">
      <w:start w:val="1"/>
      <w:numFmt w:val="lowerLetter"/>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9EE1D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7446A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EA710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CE79B6">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54ACC4">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2AD3FC">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70F936">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60EF4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116C4B"/>
    <w:multiLevelType w:val="hybridMultilevel"/>
    <w:tmpl w:val="B4629B3A"/>
    <w:lvl w:ilvl="0" w:tplc="9984D5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764C0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B6BA5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340B2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6DBE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06E204">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B04BE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2288E4">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7E6ED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255672"/>
    <w:rsid w:val="0035375A"/>
    <w:rsid w:val="004F5CEF"/>
    <w:rsid w:val="005179C9"/>
    <w:rsid w:val="00571E56"/>
    <w:rsid w:val="005F16B8"/>
    <w:rsid w:val="00651BF1"/>
    <w:rsid w:val="00653561"/>
    <w:rsid w:val="00692090"/>
    <w:rsid w:val="00695A4E"/>
    <w:rsid w:val="007E2258"/>
    <w:rsid w:val="00833614"/>
    <w:rsid w:val="00984ACF"/>
    <w:rsid w:val="00B137A1"/>
    <w:rsid w:val="00BE527E"/>
    <w:rsid w:val="00CA558E"/>
    <w:rsid w:val="00CB1A65"/>
    <w:rsid w:val="00D26908"/>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CF"/>
  </w:style>
  <w:style w:type="paragraph" w:styleId="Heading1">
    <w:name w:val="heading 1"/>
    <w:next w:val="Normal"/>
    <w:link w:val="Heading1Char"/>
    <w:uiPriority w:val="9"/>
    <w:qFormat/>
    <w:rsid w:val="00984ACF"/>
    <w:pPr>
      <w:keepNext/>
      <w:keepLines/>
      <w:spacing w:after="0"/>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table" w:styleId="TableGrid">
    <w:name w:val="Table Grid"/>
    <w:basedOn w:val="TableNormal"/>
    <w:uiPriority w:val="59"/>
    <w:rsid w:val="00984A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4ACF"/>
    <w:rPr>
      <w:rFonts w:ascii="Calibri" w:eastAsia="Calibri" w:hAnsi="Calibri" w:cs="Calibri"/>
      <w:b/>
      <w:color w:val="000000"/>
    </w:rPr>
  </w:style>
  <w:style w:type="character" w:styleId="CommentReference">
    <w:name w:val="annotation reference"/>
    <w:basedOn w:val="DefaultParagraphFont"/>
    <w:uiPriority w:val="99"/>
    <w:semiHidden/>
    <w:unhideWhenUsed/>
    <w:rsid w:val="00984ACF"/>
    <w:rPr>
      <w:sz w:val="16"/>
      <w:szCs w:val="16"/>
    </w:rPr>
  </w:style>
  <w:style w:type="paragraph" w:styleId="CommentText">
    <w:name w:val="annotation text"/>
    <w:basedOn w:val="Normal"/>
    <w:link w:val="CommentTextChar"/>
    <w:uiPriority w:val="99"/>
    <w:semiHidden/>
    <w:unhideWhenUsed/>
    <w:rsid w:val="00984ACF"/>
    <w:pPr>
      <w:spacing w:line="240" w:lineRule="auto"/>
    </w:pPr>
    <w:rPr>
      <w:sz w:val="20"/>
      <w:szCs w:val="20"/>
    </w:rPr>
  </w:style>
  <w:style w:type="character" w:customStyle="1" w:styleId="CommentTextChar">
    <w:name w:val="Comment Text Char"/>
    <w:basedOn w:val="DefaultParagraphFont"/>
    <w:link w:val="CommentText"/>
    <w:uiPriority w:val="99"/>
    <w:semiHidden/>
    <w:rsid w:val="00984ACF"/>
    <w:rPr>
      <w:sz w:val="20"/>
      <w:szCs w:val="20"/>
    </w:rPr>
  </w:style>
  <w:style w:type="table" w:customStyle="1" w:styleId="TableGrid1">
    <w:name w:val="Table Grid1"/>
    <w:rsid w:val="00984AC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287" ma:contentTypeDescription="Create a new document." ma:contentTypeScope="" ma:versionID="e66354892528d33ba59f5700fa6b576b">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63111581901f963c9921294a49c63a39"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CSELS-100380373-910</_dlc_DocId>
    <_dlc_DocIdUrl xmlns="0724e717-bbe7-4e48-ae6a-faff532bb476">
      <Url>https://cdc.sharepoint.com/sites/CSELS/DLS/NGS/_layouts/15/DocIdRedir.aspx?ID=CSELS-100380373-910</Url>
      <Description>CSELS-100380373-910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0A0EEB-3084-4DFA-8476-4F3E841BD7FA}"/>
</file>

<file path=customXml/itemProps2.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3.xml><?xml version="1.0" encoding="utf-8"?>
<ds:datastoreItem xmlns:ds="http://schemas.openxmlformats.org/officeDocument/2006/customXml" ds:itemID="{7A1CBCF4-759C-49AD-8EBD-70E922A80E22}">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61e0aa89-821a-4b43-b623-2509ea82b111"/>
    <ds:schemaRef ds:uri="http://www.w3.org/XML/1998/namespace"/>
  </ds:schemaRefs>
</ds:datastoreItem>
</file>

<file path=customXml/itemProps4.xml><?xml version="1.0" encoding="utf-8"?>
<ds:datastoreItem xmlns:ds="http://schemas.openxmlformats.org/officeDocument/2006/customXml" ds:itemID="{4349E66F-8779-41B9-AFD4-5CCB7F161883}"/>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2</cp:revision>
  <dcterms:created xsi:type="dcterms:W3CDTF">2020-10-21T15:49:00Z</dcterms:created>
  <dcterms:modified xsi:type="dcterms:W3CDTF">2020-10-21T15:49:00Z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fd3b0f99-3ebd-4949-a1fc-4d586f243a79</vt:lpwstr>
  </property>
</Properties>
</file>