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32" w:type="dxa"/>
        <w:tblLook w:val="04A0" w:firstRow="1" w:lastRow="0" w:firstColumn="1" w:lastColumn="0" w:noHBand="0" w:noVBand="1"/>
      </w:tblPr>
      <w:tblGrid>
        <w:gridCol w:w="9638"/>
      </w:tblGrid>
      <w:tr w:rsidR="001039FF" w14:paraId="0052CCA1" w14:textId="77777777" w:rsidTr="001039FF">
        <w:tc>
          <w:tcPr>
            <w:tcW w:w="10070" w:type="dxa"/>
          </w:tcPr>
          <w:p w14:paraId="3A1CDCE3" w14:textId="1786BF59" w:rsidR="001039FF" w:rsidRDefault="001039FF" w:rsidP="001039FF">
            <w:bookmarkStart w:id="0" w:name="_GoBack"/>
            <w:bookmarkEnd w:id="0"/>
            <w:r w:rsidRPr="006F7839">
              <w:rPr>
                <w:rFonts w:eastAsia="Times New Roman" w:cstheme="minorHAnsi"/>
                <w:b/>
                <w:i/>
                <w:noProof/>
                <w:color w:val="00698E"/>
                <w:sz w:val="20"/>
                <w:szCs w:val="20"/>
              </w:rPr>
              <w:t>Insert Laboratory Specific Name Here</w:t>
            </w:r>
          </w:p>
        </w:tc>
      </w:tr>
      <w:tr w:rsidR="001039FF" w14:paraId="06E9CCBB" w14:textId="77777777" w:rsidTr="001039FF">
        <w:tc>
          <w:tcPr>
            <w:tcW w:w="10070" w:type="dxa"/>
          </w:tcPr>
          <w:p w14:paraId="03810001" w14:textId="68E442A2" w:rsidR="001039FF" w:rsidRDefault="001039FF" w:rsidP="001039FF">
            <w:pPr>
              <w:jc w:val="center"/>
            </w:pPr>
            <w:r>
              <w:rPr>
                <w:rFonts w:eastAsia="Times New Roman" w:cstheme="minorHAnsi"/>
                <w:b/>
                <w:noProof/>
                <w:sz w:val="28"/>
                <w:szCs w:val="16"/>
              </w:rPr>
              <w:t>NextSeq Equipment Maintenance SOP</w:t>
            </w:r>
          </w:p>
        </w:tc>
      </w:tr>
    </w:tbl>
    <w:p w14:paraId="7BBA4D65" w14:textId="77777777" w:rsidR="001039FF" w:rsidRDefault="001039FF" w:rsidP="001039FF">
      <w:pPr>
        <w:spacing w:after="0"/>
        <w:ind w:left="432" w:hanging="144"/>
      </w:pPr>
    </w:p>
    <w:p w14:paraId="23F0B0B9" w14:textId="77777777" w:rsidR="001039FF" w:rsidRDefault="001039FF" w:rsidP="001039FF">
      <w:pPr>
        <w:pStyle w:val="ListParagraph"/>
        <w:numPr>
          <w:ilvl w:val="0"/>
          <w:numId w:val="1"/>
        </w:numPr>
        <w:rPr>
          <w:rFonts w:cstheme="minorHAnsi"/>
          <w:b/>
        </w:rPr>
      </w:pPr>
      <w:r>
        <w:rPr>
          <w:rFonts w:cstheme="minorHAnsi"/>
          <w:b/>
        </w:rPr>
        <w:t>Purpose</w:t>
      </w:r>
    </w:p>
    <w:p w14:paraId="63B875DB" w14:textId="77777777" w:rsidR="001039FF" w:rsidRDefault="001039FF" w:rsidP="001039FF">
      <w:pPr>
        <w:pStyle w:val="ListParagraph"/>
        <w:spacing w:after="120"/>
        <w:ind w:left="432"/>
      </w:pPr>
      <w:r>
        <w:t xml:space="preserve">This procedure provides instructions for the maintenance of the Illumina NextSeq to ensure the equipment functions according to established criteria to produce the quality of products and services required by the </w:t>
      </w:r>
      <w:r>
        <w:rPr>
          <w:i/>
          <w:color w:val="3366FF"/>
        </w:rPr>
        <w:t>“insert laboratory name here”</w:t>
      </w:r>
      <w:r>
        <w:t>.</w:t>
      </w:r>
    </w:p>
    <w:p w14:paraId="368E4BCB" w14:textId="77777777" w:rsidR="001039FF" w:rsidRDefault="001039FF" w:rsidP="001039FF">
      <w:pPr>
        <w:pStyle w:val="ListParagraph"/>
        <w:ind w:left="432"/>
        <w:rPr>
          <w:rFonts w:cstheme="minorHAnsi"/>
          <w:b/>
        </w:rPr>
      </w:pPr>
    </w:p>
    <w:p w14:paraId="0BFE808B" w14:textId="77777777" w:rsidR="001039FF" w:rsidRDefault="001039FF" w:rsidP="001039FF">
      <w:pPr>
        <w:pStyle w:val="ListParagraph"/>
        <w:numPr>
          <w:ilvl w:val="0"/>
          <w:numId w:val="1"/>
        </w:numPr>
        <w:rPr>
          <w:rFonts w:cstheme="minorHAnsi"/>
          <w:b/>
        </w:rPr>
      </w:pPr>
      <w:r>
        <w:rPr>
          <w:rFonts w:cstheme="minorHAnsi"/>
          <w:b/>
        </w:rPr>
        <w:t>Scope</w:t>
      </w:r>
    </w:p>
    <w:p w14:paraId="3D960726" w14:textId="77777777" w:rsidR="001039FF" w:rsidRDefault="001039FF" w:rsidP="001039FF">
      <w:pPr>
        <w:pStyle w:val="ListParagraph"/>
        <w:spacing w:after="120"/>
        <w:ind w:left="432"/>
      </w:pPr>
      <w:r>
        <w:t>This document applies to Illumina NextSeq</w:t>
      </w:r>
      <w:r>
        <w:rPr>
          <w:i/>
          <w:color w:val="3366FF"/>
        </w:rPr>
        <w:t xml:space="preserve"> </w:t>
      </w:r>
      <w:r>
        <w:t xml:space="preserve">used within the </w:t>
      </w:r>
      <w:r>
        <w:rPr>
          <w:i/>
          <w:color w:val="3366FF"/>
          <w:u w:val="single"/>
        </w:rPr>
        <w:t>(Your Lab / Branch, etc.)</w:t>
      </w:r>
      <w:r>
        <w:rPr>
          <w:color w:val="3366FF"/>
        </w:rPr>
        <w:t xml:space="preserve"> </w:t>
      </w:r>
      <w:r>
        <w:t>for DNA or RNA sequencing.</w:t>
      </w:r>
    </w:p>
    <w:p w14:paraId="3F9D0E8D" w14:textId="77777777" w:rsidR="001039FF" w:rsidRDefault="001039FF" w:rsidP="001039FF">
      <w:pPr>
        <w:pStyle w:val="ListParagraph"/>
        <w:spacing w:after="120"/>
        <w:ind w:left="432"/>
      </w:pPr>
    </w:p>
    <w:p w14:paraId="07441796" w14:textId="77777777" w:rsidR="001039FF" w:rsidRDefault="001039FF" w:rsidP="001039FF">
      <w:pPr>
        <w:pStyle w:val="ListParagraph"/>
        <w:numPr>
          <w:ilvl w:val="0"/>
          <w:numId w:val="1"/>
        </w:numPr>
        <w:spacing w:after="0"/>
        <w:rPr>
          <w:rFonts w:cstheme="minorHAnsi"/>
          <w:b/>
        </w:rPr>
      </w:pPr>
      <w:r>
        <w:rPr>
          <w:rFonts w:cstheme="minorHAnsi"/>
          <w:b/>
        </w:rPr>
        <w:t>Related Documents</w:t>
      </w:r>
    </w:p>
    <w:tbl>
      <w:tblPr>
        <w:tblStyle w:val="TableGrid"/>
        <w:tblW w:w="0" w:type="auto"/>
        <w:tblInd w:w="535" w:type="dxa"/>
        <w:tblLook w:val="04A0" w:firstRow="1" w:lastRow="0" w:firstColumn="1" w:lastColumn="0" w:noHBand="0" w:noVBand="1"/>
      </w:tblPr>
      <w:tblGrid>
        <w:gridCol w:w="4500"/>
        <w:gridCol w:w="4230"/>
      </w:tblGrid>
      <w:tr w:rsidR="001039FF" w14:paraId="16F5528E" w14:textId="77777777" w:rsidTr="001039FF">
        <w:tc>
          <w:tcPr>
            <w:tcW w:w="450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49793B" w14:textId="77777777" w:rsidR="001039FF" w:rsidRDefault="001039FF">
            <w:pPr>
              <w:spacing w:line="240" w:lineRule="auto"/>
              <w:rPr>
                <w:b/>
              </w:rPr>
            </w:pPr>
            <w:r>
              <w:rPr>
                <w:b/>
              </w:rPr>
              <w:t>Title</w:t>
            </w:r>
          </w:p>
        </w:tc>
        <w:tc>
          <w:tcPr>
            <w:tcW w:w="42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BCBEEC" w14:textId="77777777" w:rsidR="001039FF" w:rsidRDefault="001039FF">
            <w:pPr>
              <w:spacing w:line="240" w:lineRule="auto"/>
              <w:rPr>
                <w:b/>
              </w:rPr>
            </w:pPr>
            <w:r>
              <w:rPr>
                <w:b/>
              </w:rPr>
              <w:t>Document Control Number</w:t>
            </w:r>
          </w:p>
        </w:tc>
      </w:tr>
      <w:tr w:rsidR="001039FF" w14:paraId="20B30040" w14:textId="77777777" w:rsidTr="001039FF">
        <w:tc>
          <w:tcPr>
            <w:tcW w:w="4500" w:type="dxa"/>
            <w:tcBorders>
              <w:top w:val="single" w:sz="4" w:space="0" w:color="auto"/>
              <w:left w:val="single" w:sz="4" w:space="0" w:color="auto"/>
              <w:bottom w:val="single" w:sz="4" w:space="0" w:color="auto"/>
              <w:right w:val="single" w:sz="4" w:space="0" w:color="auto"/>
            </w:tcBorders>
            <w:hideMark/>
          </w:tcPr>
          <w:p w14:paraId="5C6CDDDD" w14:textId="77777777" w:rsidR="001039FF" w:rsidRDefault="001039FF">
            <w:pPr>
              <w:spacing w:line="240" w:lineRule="auto"/>
            </w:pPr>
            <w:r>
              <w:t>NextSeq Equipment Maintenance Log</w:t>
            </w:r>
          </w:p>
        </w:tc>
        <w:tc>
          <w:tcPr>
            <w:tcW w:w="4230" w:type="dxa"/>
            <w:tcBorders>
              <w:top w:val="single" w:sz="4" w:space="0" w:color="auto"/>
              <w:left w:val="single" w:sz="4" w:space="0" w:color="auto"/>
              <w:bottom w:val="single" w:sz="4" w:space="0" w:color="auto"/>
              <w:right w:val="single" w:sz="4" w:space="0" w:color="auto"/>
            </w:tcBorders>
          </w:tcPr>
          <w:p w14:paraId="57883DAD" w14:textId="77777777" w:rsidR="001039FF" w:rsidRDefault="001039FF">
            <w:pPr>
              <w:spacing w:line="240" w:lineRule="auto"/>
            </w:pPr>
          </w:p>
        </w:tc>
      </w:tr>
    </w:tbl>
    <w:p w14:paraId="0E1D4808" w14:textId="77777777" w:rsidR="001039FF" w:rsidRDefault="001039FF" w:rsidP="001039FF"/>
    <w:p w14:paraId="146117E7" w14:textId="77777777" w:rsidR="001039FF" w:rsidRDefault="001039FF" w:rsidP="001039FF">
      <w:pPr>
        <w:pStyle w:val="ListParagraph"/>
        <w:numPr>
          <w:ilvl w:val="0"/>
          <w:numId w:val="1"/>
        </w:numPr>
        <w:spacing w:after="0"/>
        <w:rPr>
          <w:rFonts w:cstheme="minorHAnsi"/>
          <w:b/>
        </w:rPr>
      </w:pPr>
      <w:r>
        <w:rPr>
          <w:rFonts w:cstheme="minorHAnsi"/>
          <w:b/>
        </w:rPr>
        <w:t>Definitions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413"/>
      </w:tblGrid>
      <w:tr w:rsidR="001039FF" w14:paraId="24F0DD44" w14:textId="77777777" w:rsidTr="001039FF">
        <w:trPr>
          <w:trHeight w:val="20"/>
        </w:trPr>
        <w:tc>
          <w:tcPr>
            <w:tcW w:w="23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DEA6D9" w14:textId="77777777" w:rsidR="001039FF" w:rsidRDefault="001039FF">
            <w:pPr>
              <w:pStyle w:val="NoSpacing"/>
              <w:spacing w:line="256" w:lineRule="auto"/>
              <w:rPr>
                <w:b/>
              </w:rPr>
            </w:pPr>
            <w:r>
              <w:rPr>
                <w:b/>
              </w:rPr>
              <w:t>Term</w:t>
            </w:r>
          </w:p>
        </w:tc>
        <w:tc>
          <w:tcPr>
            <w:tcW w:w="641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B3B9EF" w14:textId="77777777" w:rsidR="001039FF" w:rsidRDefault="001039FF">
            <w:pPr>
              <w:pStyle w:val="NoSpacing"/>
              <w:spacing w:line="256" w:lineRule="auto"/>
              <w:rPr>
                <w:b/>
              </w:rPr>
            </w:pPr>
            <w:r>
              <w:rPr>
                <w:b/>
              </w:rPr>
              <w:t>Definition</w:t>
            </w:r>
          </w:p>
        </w:tc>
      </w:tr>
      <w:tr w:rsidR="001039FF" w14:paraId="2532636F" w14:textId="77777777" w:rsidTr="001039FF">
        <w:trPr>
          <w:trHeight w:val="20"/>
        </w:trPr>
        <w:tc>
          <w:tcPr>
            <w:tcW w:w="2340" w:type="dxa"/>
            <w:tcBorders>
              <w:top w:val="single" w:sz="4" w:space="0" w:color="auto"/>
              <w:left w:val="single" w:sz="4" w:space="0" w:color="auto"/>
              <w:bottom w:val="single" w:sz="4" w:space="0" w:color="auto"/>
              <w:right w:val="single" w:sz="4" w:space="0" w:color="auto"/>
            </w:tcBorders>
            <w:hideMark/>
          </w:tcPr>
          <w:p w14:paraId="47655291" w14:textId="77777777" w:rsidR="001039FF" w:rsidRDefault="001039FF">
            <w:pPr>
              <w:pStyle w:val="NoSpacing"/>
              <w:spacing w:line="256" w:lineRule="auto"/>
            </w:pPr>
            <w:r>
              <w:t>Preventive maintenance</w:t>
            </w:r>
          </w:p>
        </w:tc>
        <w:tc>
          <w:tcPr>
            <w:tcW w:w="6413" w:type="dxa"/>
            <w:tcBorders>
              <w:top w:val="single" w:sz="4" w:space="0" w:color="auto"/>
              <w:left w:val="single" w:sz="4" w:space="0" w:color="auto"/>
              <w:bottom w:val="single" w:sz="4" w:space="0" w:color="auto"/>
              <w:right w:val="single" w:sz="4" w:space="0" w:color="auto"/>
            </w:tcBorders>
            <w:hideMark/>
          </w:tcPr>
          <w:p w14:paraId="151D6EDA" w14:textId="768C5420" w:rsidR="001039FF" w:rsidRDefault="001039FF">
            <w:pPr>
              <w:pStyle w:val="NoSpacing"/>
              <w:spacing w:line="256" w:lineRule="auto"/>
            </w:pPr>
            <w:r w:rsidRPr="0024187B">
              <w:t>Systematic</w:t>
            </w:r>
            <w:r>
              <w:t xml:space="preserve"> </w:t>
            </w:r>
            <w:r w:rsidRPr="0024187B">
              <w:t>inspection</w:t>
            </w:r>
            <w:r>
              <w:t xml:space="preserve">, detection, </w:t>
            </w:r>
            <w:r w:rsidRPr="0024187B">
              <w:t>correction</w:t>
            </w:r>
            <w:r>
              <w:t xml:space="preserve">, and </w:t>
            </w:r>
            <w:r w:rsidRPr="0024187B">
              <w:t>prevention</w:t>
            </w:r>
            <w:r>
              <w:t xml:space="preserve"> of incipient </w:t>
            </w:r>
            <w:r w:rsidRPr="0024187B">
              <w:t>failures</w:t>
            </w:r>
            <w:r>
              <w:t xml:space="preserve"> for the purpose of preventing actual or major failures.</w:t>
            </w:r>
          </w:p>
        </w:tc>
      </w:tr>
    </w:tbl>
    <w:p w14:paraId="191D62AF" w14:textId="77777777" w:rsidR="001039FF" w:rsidRDefault="001039FF" w:rsidP="001039FF">
      <w:pPr>
        <w:rPr>
          <w:rFonts w:cstheme="minorHAnsi"/>
          <w:b/>
        </w:rPr>
      </w:pPr>
    </w:p>
    <w:p w14:paraId="175F8062" w14:textId="77777777" w:rsidR="001039FF" w:rsidRDefault="001039FF" w:rsidP="001039FF">
      <w:pPr>
        <w:pStyle w:val="ListParagraph"/>
        <w:numPr>
          <w:ilvl w:val="0"/>
          <w:numId w:val="1"/>
        </w:numPr>
        <w:spacing w:before="120" w:after="120" w:line="240" w:lineRule="auto"/>
      </w:pPr>
      <w:r>
        <w:rPr>
          <w:b/>
        </w:rPr>
        <w:t>Equipment / Materials</w:t>
      </w:r>
    </w:p>
    <w:tbl>
      <w:tblPr>
        <w:tblStyle w:val="TableGrid"/>
        <w:tblW w:w="0" w:type="auto"/>
        <w:tblInd w:w="535" w:type="dxa"/>
        <w:tblLook w:val="04A0" w:firstRow="1" w:lastRow="0" w:firstColumn="1" w:lastColumn="0" w:noHBand="0" w:noVBand="1"/>
      </w:tblPr>
      <w:tblGrid>
        <w:gridCol w:w="3456"/>
        <w:gridCol w:w="2880"/>
        <w:gridCol w:w="2484"/>
      </w:tblGrid>
      <w:tr w:rsidR="001039FF" w14:paraId="76DCEB78" w14:textId="77777777" w:rsidTr="001039FF">
        <w:tc>
          <w:tcPr>
            <w:tcW w:w="34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5CCFAE8" w14:textId="77777777" w:rsidR="001039FF" w:rsidRDefault="001039FF">
            <w:pPr>
              <w:spacing w:line="240" w:lineRule="auto"/>
              <w:rPr>
                <w:b/>
              </w:rPr>
            </w:pPr>
            <w:r>
              <w:rPr>
                <w:b/>
              </w:rPr>
              <w:t>Supply</w:t>
            </w:r>
          </w:p>
        </w:tc>
        <w:tc>
          <w:tcPr>
            <w:tcW w:w="28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3C25ECF" w14:textId="77777777" w:rsidR="001039FF" w:rsidRDefault="001039FF">
            <w:pPr>
              <w:spacing w:line="240" w:lineRule="auto"/>
              <w:rPr>
                <w:b/>
              </w:rPr>
            </w:pPr>
            <w:r>
              <w:rPr>
                <w:b/>
              </w:rPr>
              <w:t>Catalog Number</w:t>
            </w:r>
          </w:p>
        </w:tc>
        <w:tc>
          <w:tcPr>
            <w:tcW w:w="2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2BC24CF" w14:textId="77777777" w:rsidR="001039FF" w:rsidRDefault="001039FF">
            <w:pPr>
              <w:spacing w:line="240" w:lineRule="auto"/>
              <w:rPr>
                <w:b/>
              </w:rPr>
            </w:pPr>
            <w:r>
              <w:rPr>
                <w:b/>
              </w:rPr>
              <w:t>Procedure</w:t>
            </w:r>
          </w:p>
        </w:tc>
      </w:tr>
      <w:tr w:rsidR="001039FF" w14:paraId="3791317C" w14:textId="77777777" w:rsidTr="001039FF">
        <w:tc>
          <w:tcPr>
            <w:tcW w:w="3456" w:type="dxa"/>
            <w:tcBorders>
              <w:top w:val="single" w:sz="4" w:space="0" w:color="auto"/>
              <w:left w:val="single" w:sz="4" w:space="0" w:color="auto"/>
              <w:bottom w:val="single" w:sz="4" w:space="0" w:color="auto"/>
              <w:right w:val="single" w:sz="4" w:space="0" w:color="auto"/>
            </w:tcBorders>
          </w:tcPr>
          <w:p w14:paraId="1442455F" w14:textId="77777777" w:rsidR="001039FF" w:rsidRDefault="001039FF">
            <w:pPr>
              <w:spacing w:line="240" w:lineRule="auto"/>
            </w:pPr>
          </w:p>
        </w:tc>
        <w:tc>
          <w:tcPr>
            <w:tcW w:w="2880" w:type="dxa"/>
            <w:tcBorders>
              <w:top w:val="single" w:sz="4" w:space="0" w:color="auto"/>
              <w:left w:val="single" w:sz="4" w:space="0" w:color="auto"/>
              <w:bottom w:val="single" w:sz="4" w:space="0" w:color="auto"/>
              <w:right w:val="single" w:sz="4" w:space="0" w:color="auto"/>
            </w:tcBorders>
          </w:tcPr>
          <w:p w14:paraId="4D6BFAD8" w14:textId="77777777" w:rsidR="001039FF" w:rsidRDefault="001039FF">
            <w:pPr>
              <w:spacing w:line="240" w:lineRule="auto"/>
            </w:pPr>
          </w:p>
        </w:tc>
        <w:tc>
          <w:tcPr>
            <w:tcW w:w="2484" w:type="dxa"/>
            <w:tcBorders>
              <w:top w:val="single" w:sz="4" w:space="0" w:color="auto"/>
              <w:left w:val="single" w:sz="4" w:space="0" w:color="auto"/>
              <w:bottom w:val="single" w:sz="4" w:space="0" w:color="auto"/>
              <w:right w:val="single" w:sz="4" w:space="0" w:color="auto"/>
            </w:tcBorders>
          </w:tcPr>
          <w:p w14:paraId="42830630" w14:textId="77777777" w:rsidR="001039FF" w:rsidRDefault="001039FF">
            <w:pPr>
              <w:spacing w:line="240" w:lineRule="auto"/>
            </w:pPr>
          </w:p>
        </w:tc>
      </w:tr>
    </w:tbl>
    <w:p w14:paraId="582437EA" w14:textId="77777777" w:rsidR="001039FF" w:rsidRDefault="001039FF" w:rsidP="001039FF">
      <w:pPr>
        <w:spacing w:before="120" w:after="120" w:line="240" w:lineRule="auto"/>
      </w:pPr>
    </w:p>
    <w:p w14:paraId="0081EBFF" w14:textId="77777777" w:rsidR="001039FF" w:rsidRDefault="001039FF" w:rsidP="001039FF">
      <w:pPr>
        <w:pStyle w:val="ListParagraph"/>
        <w:numPr>
          <w:ilvl w:val="0"/>
          <w:numId w:val="1"/>
        </w:numPr>
        <w:spacing w:before="120" w:after="120" w:line="240" w:lineRule="auto"/>
        <w:rPr>
          <w:b/>
        </w:rPr>
      </w:pPr>
      <w:r>
        <w:rPr>
          <w:b/>
        </w:rPr>
        <w:t>Safety Precautions</w:t>
      </w:r>
    </w:p>
    <w:p w14:paraId="13473CE7" w14:textId="77777777" w:rsidR="001039FF" w:rsidRDefault="001039FF" w:rsidP="001039FF">
      <w:pPr>
        <w:pStyle w:val="ListParagraph"/>
        <w:numPr>
          <w:ilvl w:val="2"/>
          <w:numId w:val="1"/>
        </w:numPr>
        <w:spacing w:before="120" w:after="120" w:line="240" w:lineRule="auto"/>
        <w:rPr>
          <w:b/>
        </w:rPr>
      </w:pPr>
      <w:r>
        <w:t>Do not remove the outer panels from the instrument. There are no user-serviceable components inside. Operating the instrument with any of the panels removed creates potential exposure to line voltage and DC voltages</w:t>
      </w:r>
    </w:p>
    <w:p w14:paraId="2EF8244A" w14:textId="77777777" w:rsidR="001039FF" w:rsidRDefault="001039FF" w:rsidP="001039FF">
      <w:pPr>
        <w:pStyle w:val="ListParagraph"/>
        <w:numPr>
          <w:ilvl w:val="2"/>
          <w:numId w:val="1"/>
        </w:numPr>
        <w:spacing w:before="120" w:after="120" w:line="240" w:lineRule="auto"/>
        <w:rPr>
          <w:b/>
        </w:rPr>
      </w:pPr>
      <w:r>
        <w:t>Hot Surface Safety Warning: Do not operate the instrument with any of the panels removed</w:t>
      </w:r>
    </w:p>
    <w:p w14:paraId="0094FCF9" w14:textId="77777777" w:rsidR="001039FF" w:rsidRDefault="001039FF" w:rsidP="001039FF">
      <w:pPr>
        <w:pStyle w:val="ListParagraph"/>
      </w:pPr>
    </w:p>
    <w:p w14:paraId="6EB97C43" w14:textId="77777777" w:rsidR="001039FF" w:rsidRDefault="001039FF" w:rsidP="001039FF">
      <w:pPr>
        <w:pStyle w:val="ListParagraph"/>
        <w:numPr>
          <w:ilvl w:val="0"/>
          <w:numId w:val="1"/>
        </w:numPr>
        <w:spacing w:before="120" w:after="0" w:line="240" w:lineRule="auto"/>
        <w:rPr>
          <w:b/>
        </w:rPr>
      </w:pPr>
      <w:r>
        <w:rPr>
          <w:b/>
        </w:rPr>
        <w:t>Procedure</w:t>
      </w:r>
    </w:p>
    <w:p w14:paraId="5CE10772" w14:textId="77777777" w:rsidR="001039FF" w:rsidRDefault="001039FF" w:rsidP="001039FF">
      <w:pPr>
        <w:pStyle w:val="ListParagraph"/>
        <w:numPr>
          <w:ilvl w:val="1"/>
          <w:numId w:val="1"/>
        </w:numPr>
        <w:rPr>
          <w:b/>
        </w:rPr>
      </w:pPr>
      <w:r>
        <w:rPr>
          <w:b/>
        </w:rPr>
        <w:t>Weekly Maintenance</w:t>
      </w:r>
    </w:p>
    <w:p w14:paraId="3FE779CE" w14:textId="77777777" w:rsidR="001039FF" w:rsidRDefault="001039FF" w:rsidP="001039FF">
      <w:pPr>
        <w:pStyle w:val="ListParagraph"/>
        <w:numPr>
          <w:ilvl w:val="2"/>
          <w:numId w:val="1"/>
        </w:numPr>
        <w:rPr>
          <w:b/>
        </w:rPr>
      </w:pPr>
      <w:r>
        <w:rPr>
          <w:b/>
        </w:rPr>
        <w:t>Cleaning</w:t>
      </w:r>
    </w:p>
    <w:p w14:paraId="2E38A210" w14:textId="77777777" w:rsidR="001039FF" w:rsidRDefault="001039FF" w:rsidP="001039FF">
      <w:pPr>
        <w:pStyle w:val="ListParagraph"/>
        <w:numPr>
          <w:ilvl w:val="3"/>
          <w:numId w:val="1"/>
        </w:numPr>
      </w:pPr>
      <w:r>
        <w:t xml:space="preserve">Cleaning should be performed weekly </w:t>
      </w:r>
    </w:p>
    <w:p w14:paraId="4DAE0B91" w14:textId="77777777" w:rsidR="001039FF" w:rsidRDefault="001039FF" w:rsidP="001039FF">
      <w:pPr>
        <w:pStyle w:val="ListParagraph"/>
        <w:numPr>
          <w:ilvl w:val="3"/>
          <w:numId w:val="1"/>
        </w:numPr>
      </w:pPr>
      <w:r>
        <w:t>Using a Kimwipe, wipe the outer casing to remove dust. Do not touch the instrument if it is running.</w:t>
      </w:r>
    </w:p>
    <w:p w14:paraId="28FE85A8" w14:textId="77777777" w:rsidR="001039FF" w:rsidRDefault="001039FF" w:rsidP="001039FF">
      <w:pPr>
        <w:pStyle w:val="ListParagraph"/>
        <w:numPr>
          <w:ilvl w:val="3"/>
          <w:numId w:val="1"/>
        </w:numPr>
      </w:pPr>
      <w:r>
        <w:t xml:space="preserve">Record in </w:t>
      </w:r>
      <w:r>
        <w:rPr>
          <w:i/>
          <w:color w:val="4472C4" w:themeColor="accent5"/>
        </w:rPr>
        <w:t>laboratory cleaning/maintenance log.</w:t>
      </w:r>
    </w:p>
    <w:p w14:paraId="475A388D" w14:textId="77777777" w:rsidR="001039FF" w:rsidRDefault="001039FF" w:rsidP="001039FF">
      <w:pPr>
        <w:pStyle w:val="ListParagraph"/>
        <w:numPr>
          <w:ilvl w:val="2"/>
          <w:numId w:val="1"/>
        </w:numPr>
        <w:rPr>
          <w:b/>
        </w:rPr>
      </w:pPr>
      <w:r>
        <w:rPr>
          <w:b/>
        </w:rPr>
        <w:t>Quick Wash</w:t>
      </w:r>
    </w:p>
    <w:p w14:paraId="6B384DBD" w14:textId="77777777" w:rsidR="001039FF" w:rsidRDefault="001039FF" w:rsidP="001039FF">
      <w:pPr>
        <w:pStyle w:val="ListParagraph"/>
        <w:numPr>
          <w:ilvl w:val="3"/>
          <w:numId w:val="1"/>
        </w:numPr>
      </w:pPr>
      <w:r>
        <w:lastRenderedPageBreak/>
        <w:t>A Quick Wash must be completed if there are no plans to use the instrument within the next 14 days. Additionally, a quick wash must be completed every 14 days until the instrument is brought back into use.</w:t>
      </w:r>
    </w:p>
    <w:p w14:paraId="6A0B47AA" w14:textId="77777777" w:rsidR="001039FF" w:rsidRDefault="001039FF" w:rsidP="001039FF">
      <w:pPr>
        <w:pStyle w:val="ListParagraph"/>
        <w:numPr>
          <w:ilvl w:val="3"/>
          <w:numId w:val="1"/>
        </w:numPr>
      </w:pPr>
      <w:r>
        <w:t>A quick wash must be completed to bring the instrument back into use after having been shut down.</w:t>
      </w:r>
    </w:p>
    <w:p w14:paraId="4DC93646" w14:textId="77777777" w:rsidR="001039FF" w:rsidRDefault="001039FF" w:rsidP="001039FF">
      <w:pPr>
        <w:pStyle w:val="ListParagraph"/>
        <w:numPr>
          <w:ilvl w:val="3"/>
          <w:numId w:val="1"/>
        </w:numPr>
        <w:rPr>
          <w:b/>
        </w:rPr>
      </w:pPr>
      <w:r>
        <w:rPr>
          <w:b/>
        </w:rPr>
        <w:t>Perform Wash</w:t>
      </w:r>
    </w:p>
    <w:p w14:paraId="3B33FC63" w14:textId="77777777" w:rsidR="001039FF" w:rsidRDefault="001039FF" w:rsidP="001039FF">
      <w:pPr>
        <w:pStyle w:val="ListParagraph"/>
        <w:numPr>
          <w:ilvl w:val="0"/>
          <w:numId w:val="2"/>
        </w:numPr>
      </w:pPr>
      <w:r>
        <w:t>Combine the following volumes to result in a 0.05% Tween 20 wash solution:</w:t>
      </w:r>
    </w:p>
    <w:p w14:paraId="54663D74" w14:textId="77777777" w:rsidR="001039FF" w:rsidRDefault="001039FF" w:rsidP="001039FF">
      <w:pPr>
        <w:pStyle w:val="ListParagraph"/>
        <w:numPr>
          <w:ilvl w:val="0"/>
          <w:numId w:val="3"/>
        </w:numPr>
        <w:rPr>
          <w:rStyle w:val="st1"/>
        </w:rPr>
      </w:pPr>
      <w:r>
        <w:t>100% Tween 20 (20</w:t>
      </w:r>
      <w:r>
        <w:rPr>
          <w:rFonts w:ascii="Arial" w:hAnsi="Arial" w:cs="Arial"/>
          <w:color w:val="545454"/>
          <w:lang w:val="en"/>
        </w:rPr>
        <w:t xml:space="preserve"> </w:t>
      </w:r>
      <w:r>
        <w:rPr>
          <w:rStyle w:val="st1"/>
          <w:rFonts w:ascii="Calibri" w:hAnsi="Calibri" w:cs="Calibri"/>
          <w:lang w:val="en"/>
        </w:rPr>
        <w:t>ɥl)</w:t>
      </w:r>
    </w:p>
    <w:p w14:paraId="71505CA9" w14:textId="77777777" w:rsidR="001039FF" w:rsidRDefault="001039FF" w:rsidP="001039FF">
      <w:pPr>
        <w:pStyle w:val="ListParagraph"/>
        <w:numPr>
          <w:ilvl w:val="0"/>
          <w:numId w:val="3"/>
        </w:numPr>
        <w:rPr>
          <w:rStyle w:val="st1"/>
        </w:rPr>
      </w:pPr>
      <w:r>
        <w:rPr>
          <w:rStyle w:val="st1"/>
          <w:rFonts w:ascii="Calibri" w:hAnsi="Calibri" w:cs="Calibri"/>
          <w:lang w:val="en"/>
        </w:rPr>
        <w:t>Laboratory-grade water (40 ml)</w:t>
      </w:r>
    </w:p>
    <w:p w14:paraId="32FFB136" w14:textId="77777777" w:rsidR="001039FF" w:rsidRDefault="001039FF" w:rsidP="001039FF">
      <w:pPr>
        <w:pStyle w:val="ListParagraph"/>
        <w:numPr>
          <w:ilvl w:val="0"/>
          <w:numId w:val="2"/>
        </w:numPr>
      </w:pPr>
      <w:r>
        <w:t>Add 40 ml wash solution to the center reservoir of the buffer wash cartridge</w:t>
      </w:r>
    </w:p>
    <w:p w14:paraId="163E3B2A" w14:textId="77777777" w:rsidR="001039FF" w:rsidRDefault="001039FF" w:rsidP="001039FF">
      <w:pPr>
        <w:pStyle w:val="ListParagraph"/>
        <w:numPr>
          <w:ilvl w:val="0"/>
          <w:numId w:val="2"/>
        </w:numPr>
      </w:pPr>
      <w:r>
        <w:t xml:space="preserve">Select </w:t>
      </w:r>
      <w:r>
        <w:rPr>
          <w:b/>
        </w:rPr>
        <w:t>Perform Wash</w:t>
      </w:r>
      <w:r>
        <w:t xml:space="preserve">, and then select </w:t>
      </w:r>
      <w:r>
        <w:rPr>
          <w:b/>
        </w:rPr>
        <w:t>Quick Wash</w:t>
      </w:r>
    </w:p>
    <w:p w14:paraId="6C7065DD" w14:textId="77777777" w:rsidR="001039FF" w:rsidRDefault="001039FF" w:rsidP="001039FF">
      <w:pPr>
        <w:pStyle w:val="ListParagraph"/>
        <w:numPr>
          <w:ilvl w:val="0"/>
          <w:numId w:val="2"/>
        </w:numPr>
      </w:pPr>
      <w:r>
        <w:t xml:space="preserve">If a used flow cell is not present, load a used flow cell. Select </w:t>
      </w:r>
      <w:r>
        <w:rPr>
          <w:b/>
        </w:rPr>
        <w:t>Load</w:t>
      </w:r>
      <w:r>
        <w:t xml:space="preserve">, and then select </w:t>
      </w:r>
      <w:r>
        <w:rPr>
          <w:b/>
        </w:rPr>
        <w:t>Next</w:t>
      </w:r>
    </w:p>
    <w:p w14:paraId="2F00C48D" w14:textId="77777777" w:rsidR="001039FF" w:rsidRDefault="001039FF" w:rsidP="001039FF">
      <w:pPr>
        <w:pStyle w:val="ListParagraph"/>
        <w:numPr>
          <w:ilvl w:val="0"/>
          <w:numId w:val="2"/>
        </w:numPr>
      </w:pPr>
      <w:r>
        <w:t>Remove the spend reagents container and discard the contents in accordance with applicable standards</w:t>
      </w:r>
    </w:p>
    <w:p w14:paraId="4B81130A" w14:textId="77777777" w:rsidR="001039FF" w:rsidRDefault="001039FF" w:rsidP="001039FF">
      <w:pPr>
        <w:pStyle w:val="ListParagraph"/>
        <w:numPr>
          <w:ilvl w:val="0"/>
          <w:numId w:val="2"/>
        </w:numPr>
      </w:pPr>
      <w:r>
        <w:t>Slide the empty spent reagents container into the buffer compartment until it stops</w:t>
      </w:r>
    </w:p>
    <w:p w14:paraId="31C43ADA" w14:textId="77777777" w:rsidR="001039FF" w:rsidRDefault="001039FF" w:rsidP="001039FF">
      <w:pPr>
        <w:pStyle w:val="ListParagraph"/>
        <w:numPr>
          <w:ilvl w:val="0"/>
          <w:numId w:val="2"/>
        </w:numPr>
      </w:pPr>
      <w:r>
        <w:t>Remove the used buffer cartridge from the previous run, if present</w:t>
      </w:r>
    </w:p>
    <w:p w14:paraId="50129D54" w14:textId="77777777" w:rsidR="001039FF" w:rsidRDefault="001039FF" w:rsidP="001039FF">
      <w:pPr>
        <w:pStyle w:val="ListParagraph"/>
        <w:numPr>
          <w:ilvl w:val="0"/>
          <w:numId w:val="2"/>
        </w:numPr>
      </w:pPr>
      <w:r>
        <w:t>Load the buffer wash cartridge containing wash solution</w:t>
      </w:r>
    </w:p>
    <w:p w14:paraId="752A7B13" w14:textId="77777777" w:rsidR="001039FF" w:rsidRDefault="001039FF" w:rsidP="001039FF">
      <w:pPr>
        <w:pStyle w:val="ListParagraph"/>
        <w:numPr>
          <w:ilvl w:val="0"/>
          <w:numId w:val="2"/>
        </w:numPr>
      </w:pPr>
      <w:r>
        <w:t>Remove the used reagent cartridge from the previous run, if present</w:t>
      </w:r>
    </w:p>
    <w:p w14:paraId="79C086C1" w14:textId="77777777" w:rsidR="001039FF" w:rsidRDefault="001039FF" w:rsidP="001039FF">
      <w:pPr>
        <w:pStyle w:val="ListParagraph"/>
        <w:numPr>
          <w:ilvl w:val="0"/>
          <w:numId w:val="2"/>
        </w:numPr>
      </w:pPr>
      <w:r>
        <w:t>Load the reagent wash cartridge</w:t>
      </w:r>
    </w:p>
    <w:p w14:paraId="69FE87E2" w14:textId="77777777" w:rsidR="001039FF" w:rsidRDefault="001039FF" w:rsidP="001039FF">
      <w:pPr>
        <w:pStyle w:val="ListParagraph"/>
        <w:numPr>
          <w:ilvl w:val="0"/>
          <w:numId w:val="2"/>
        </w:numPr>
      </w:pPr>
      <w:r>
        <w:t xml:space="preserve">Select </w:t>
      </w:r>
      <w:r>
        <w:rPr>
          <w:b/>
        </w:rPr>
        <w:t>Next</w:t>
      </w:r>
      <w:r>
        <w:t>, the prewash check begins automatically</w:t>
      </w:r>
    </w:p>
    <w:p w14:paraId="64AFC6FC" w14:textId="77777777" w:rsidR="001039FF" w:rsidRDefault="001039FF" w:rsidP="001039FF">
      <w:pPr>
        <w:pStyle w:val="ListParagraph"/>
        <w:numPr>
          <w:ilvl w:val="0"/>
          <w:numId w:val="2"/>
        </w:numPr>
      </w:pPr>
      <w:r>
        <w:t xml:space="preserve">Select </w:t>
      </w:r>
      <w:r>
        <w:rPr>
          <w:b/>
        </w:rPr>
        <w:t xml:space="preserve">Start </w:t>
      </w:r>
      <w:r>
        <w:t>to begin the wash</w:t>
      </w:r>
    </w:p>
    <w:p w14:paraId="4671A23D" w14:textId="77777777" w:rsidR="001039FF" w:rsidRDefault="001039FF" w:rsidP="001039FF">
      <w:pPr>
        <w:pStyle w:val="ListParagraph"/>
        <w:numPr>
          <w:ilvl w:val="0"/>
          <w:numId w:val="2"/>
        </w:numPr>
      </w:pPr>
      <w:r>
        <w:t xml:space="preserve">When the wash is complete, select </w:t>
      </w:r>
      <w:r>
        <w:rPr>
          <w:b/>
        </w:rPr>
        <w:t>Home</w:t>
      </w:r>
    </w:p>
    <w:p w14:paraId="1069DF32" w14:textId="77777777" w:rsidR="001039FF" w:rsidRDefault="001039FF" w:rsidP="001039FF">
      <w:pPr>
        <w:pStyle w:val="ListParagraph"/>
        <w:numPr>
          <w:ilvl w:val="0"/>
          <w:numId w:val="2"/>
        </w:numPr>
      </w:pPr>
      <w:r>
        <w:t>After the wash, the sippers remain in the down position to prevent air from entering the system. Leave the cartridges in place until the next run</w:t>
      </w:r>
    </w:p>
    <w:p w14:paraId="48A43D42" w14:textId="77777777" w:rsidR="001039FF" w:rsidRDefault="001039FF" w:rsidP="001039FF">
      <w:pPr>
        <w:pStyle w:val="ListParagraph"/>
        <w:numPr>
          <w:ilvl w:val="1"/>
          <w:numId w:val="1"/>
        </w:numPr>
        <w:rPr>
          <w:b/>
        </w:rPr>
      </w:pPr>
      <w:r>
        <w:rPr>
          <w:b/>
        </w:rPr>
        <w:t>Every 6 months Maintenance</w:t>
      </w:r>
    </w:p>
    <w:p w14:paraId="5FCEDA60" w14:textId="77777777" w:rsidR="001039FF" w:rsidRDefault="001039FF" w:rsidP="001039FF">
      <w:pPr>
        <w:pStyle w:val="ListParagraph"/>
        <w:numPr>
          <w:ilvl w:val="2"/>
          <w:numId w:val="1"/>
        </w:numPr>
        <w:rPr>
          <w:b/>
        </w:rPr>
      </w:pPr>
      <w:r>
        <w:rPr>
          <w:b/>
        </w:rPr>
        <w:t xml:space="preserve">Replace the Air Filter </w:t>
      </w:r>
    </w:p>
    <w:p w14:paraId="1D9C8711" w14:textId="77777777" w:rsidR="001039FF" w:rsidRDefault="001039FF" w:rsidP="001039FF">
      <w:pPr>
        <w:pStyle w:val="ListParagraph"/>
        <w:numPr>
          <w:ilvl w:val="3"/>
          <w:numId w:val="1"/>
        </w:numPr>
        <w:rPr>
          <w:b/>
        </w:rPr>
      </w:pPr>
      <w:r>
        <w:t>The software prompts for an air filter change every six months from when first time setup was started</w:t>
      </w:r>
    </w:p>
    <w:p w14:paraId="18F66A20" w14:textId="77777777" w:rsidR="001039FF" w:rsidRDefault="001039FF" w:rsidP="001039FF">
      <w:pPr>
        <w:pStyle w:val="ListParagraph"/>
        <w:numPr>
          <w:ilvl w:val="3"/>
          <w:numId w:val="1"/>
        </w:numPr>
        <w:rPr>
          <w:b/>
        </w:rPr>
      </w:pPr>
      <w:r>
        <w:t xml:space="preserve">Record in </w:t>
      </w:r>
      <w:r>
        <w:rPr>
          <w:i/>
          <w:color w:val="4472C4" w:themeColor="accent5"/>
        </w:rPr>
        <w:t>laboratory cleaning/maintenance log</w:t>
      </w:r>
    </w:p>
    <w:p w14:paraId="40520406" w14:textId="77777777" w:rsidR="001039FF" w:rsidRDefault="001039FF" w:rsidP="001039FF">
      <w:pPr>
        <w:pStyle w:val="ListParagraph"/>
        <w:numPr>
          <w:ilvl w:val="1"/>
          <w:numId w:val="1"/>
        </w:numPr>
        <w:rPr>
          <w:b/>
        </w:rPr>
      </w:pPr>
      <w:r>
        <w:rPr>
          <w:b/>
        </w:rPr>
        <w:t xml:space="preserve">Yearly Preventive Maintenance </w:t>
      </w:r>
    </w:p>
    <w:p w14:paraId="25712F13" w14:textId="77777777" w:rsidR="001039FF" w:rsidRDefault="001039FF" w:rsidP="001039FF">
      <w:pPr>
        <w:pStyle w:val="ListParagraph"/>
        <w:numPr>
          <w:ilvl w:val="2"/>
          <w:numId w:val="1"/>
        </w:numPr>
      </w:pPr>
      <w:r>
        <w:t xml:space="preserve">Illumina recommends that you schedule a preventive maintenance service each year. If you are not under a service contract, contact your Territory Account Manager or Illumina Technical Support to arrange for a billable preventive maintenance service.  </w:t>
      </w:r>
    </w:p>
    <w:p w14:paraId="0227BE07" w14:textId="77777777" w:rsidR="001039FF" w:rsidRDefault="001039FF" w:rsidP="001039FF">
      <w:pPr>
        <w:pStyle w:val="ListParagraph"/>
        <w:numPr>
          <w:ilvl w:val="1"/>
          <w:numId w:val="1"/>
        </w:numPr>
        <w:rPr>
          <w:b/>
        </w:rPr>
      </w:pPr>
      <w:r>
        <w:rPr>
          <w:b/>
        </w:rPr>
        <w:t>As Needed</w:t>
      </w:r>
    </w:p>
    <w:p w14:paraId="49B1C904" w14:textId="77777777" w:rsidR="001039FF" w:rsidRDefault="001039FF" w:rsidP="001039FF">
      <w:pPr>
        <w:pStyle w:val="ListParagraph"/>
        <w:numPr>
          <w:ilvl w:val="2"/>
          <w:numId w:val="1"/>
        </w:numPr>
        <w:rPr>
          <w:b/>
        </w:rPr>
      </w:pPr>
      <w:r>
        <w:rPr>
          <w:b/>
        </w:rPr>
        <w:t>Clear Hard Drive Space</w:t>
      </w:r>
    </w:p>
    <w:p w14:paraId="44797A51" w14:textId="77777777" w:rsidR="001039FF" w:rsidRDefault="001039FF" w:rsidP="001039FF">
      <w:pPr>
        <w:pStyle w:val="ListParagraph"/>
        <w:numPr>
          <w:ilvl w:val="2"/>
          <w:numId w:val="1"/>
        </w:numPr>
        <w:rPr>
          <w:b/>
        </w:rPr>
      </w:pPr>
      <w:r>
        <w:rPr>
          <w:b/>
        </w:rPr>
        <w:t>Software Updates</w:t>
      </w:r>
    </w:p>
    <w:p w14:paraId="03565A6F" w14:textId="77777777" w:rsidR="001039FF" w:rsidRDefault="001039FF" w:rsidP="001039FF">
      <w:pPr>
        <w:pStyle w:val="ListParagraph"/>
        <w:ind w:left="1152"/>
        <w:rPr>
          <w:b/>
        </w:rPr>
      </w:pPr>
      <w:r>
        <w:t>The system is configured to download software updates automatically or manually</w:t>
      </w:r>
    </w:p>
    <w:p w14:paraId="22D8021C" w14:textId="77777777" w:rsidR="001039FF" w:rsidRDefault="001039FF" w:rsidP="001039FF">
      <w:pPr>
        <w:pStyle w:val="ListParagraph"/>
        <w:numPr>
          <w:ilvl w:val="3"/>
          <w:numId w:val="1"/>
        </w:numPr>
        <w:rPr>
          <w:b/>
        </w:rPr>
      </w:pPr>
      <w:r>
        <w:lastRenderedPageBreak/>
        <w:t>Automatic Updates – updates are automatically downloaded from BaseSpace Sequence Hub for you to install. This option requires an internet connection, but not a BaseSpace Sequence Hub account</w:t>
      </w:r>
    </w:p>
    <w:p w14:paraId="53D59EF9" w14:textId="77777777" w:rsidR="001039FF" w:rsidRDefault="001039FF" w:rsidP="001039FF">
      <w:pPr>
        <w:pStyle w:val="ListParagraph"/>
        <w:numPr>
          <w:ilvl w:val="3"/>
          <w:numId w:val="1"/>
        </w:numPr>
        <w:rPr>
          <w:b/>
        </w:rPr>
      </w:pPr>
      <w:r>
        <w:t>Manual Updates – Updates are manually downloaded from the web, saved locally or to a portable device, and installed from the saved location. This option does not require an internet connection</w:t>
      </w:r>
    </w:p>
    <w:p w14:paraId="45409624" w14:textId="77777777" w:rsidR="001039FF" w:rsidRDefault="001039FF" w:rsidP="001039FF">
      <w:pPr>
        <w:pStyle w:val="ListParagraph"/>
        <w:numPr>
          <w:ilvl w:val="0"/>
          <w:numId w:val="1"/>
        </w:numPr>
        <w:tabs>
          <w:tab w:val="left" w:pos="0"/>
        </w:tabs>
        <w:spacing w:after="0"/>
        <w:ind w:right="72"/>
        <w:rPr>
          <w:b/>
        </w:rPr>
      </w:pPr>
      <w:r>
        <w:rPr>
          <w:b/>
        </w:rPr>
        <w:t>Repair /Service / Unscheduled Maintenance</w:t>
      </w:r>
    </w:p>
    <w:p w14:paraId="59CCBB31" w14:textId="77777777" w:rsidR="001039FF" w:rsidRDefault="001039FF" w:rsidP="001039FF">
      <w:pPr>
        <w:tabs>
          <w:tab w:val="left" w:pos="0"/>
        </w:tabs>
        <w:spacing w:after="0"/>
        <w:ind w:right="72"/>
        <w:rPr>
          <w:i/>
          <w:color w:val="3366FF"/>
        </w:rPr>
      </w:pPr>
      <w:r>
        <w:rPr>
          <w:i/>
          <w:color w:val="3366FF"/>
        </w:rPr>
        <w:t>NOTE: if your laboratory has an equipment troubleshooting or Out of Service SOP, delete the text below, include a reference to the SOP, and add the SOP as a related document in Section 3.0.</w:t>
      </w:r>
    </w:p>
    <w:p w14:paraId="1E363805" w14:textId="77777777" w:rsidR="001039FF" w:rsidRDefault="001039FF" w:rsidP="001039FF">
      <w:pPr>
        <w:pStyle w:val="ListParagraph"/>
        <w:numPr>
          <w:ilvl w:val="3"/>
          <w:numId w:val="4"/>
        </w:numPr>
        <w:spacing w:after="0" w:line="240" w:lineRule="auto"/>
      </w:pPr>
      <w:r>
        <w:t>Place an “Out of Service (OOS)” form on the equipment.</w:t>
      </w:r>
    </w:p>
    <w:p w14:paraId="210FDCE7" w14:textId="77777777" w:rsidR="001039FF" w:rsidRDefault="001039FF" w:rsidP="001039FF">
      <w:pPr>
        <w:pStyle w:val="ListParagraph"/>
        <w:numPr>
          <w:ilvl w:val="3"/>
          <w:numId w:val="4"/>
        </w:numPr>
        <w:spacing w:after="0" w:line="240" w:lineRule="auto"/>
      </w:pPr>
      <w:r>
        <w:t xml:space="preserve">Document the problem on the </w:t>
      </w:r>
      <w:r>
        <w:rPr>
          <w:i/>
          <w:color w:val="3366FF"/>
        </w:rPr>
        <w:t>laboratory maintenance log</w:t>
      </w:r>
      <w:r>
        <w:t xml:space="preserve">, stating date / time taken OOS, reason why the equipment was taken OOS, and initials / date of responsible individual. </w:t>
      </w:r>
    </w:p>
    <w:p w14:paraId="789A4F86" w14:textId="77777777" w:rsidR="001039FF" w:rsidRDefault="001039FF" w:rsidP="001039FF">
      <w:pPr>
        <w:pStyle w:val="ListParagraph"/>
        <w:numPr>
          <w:ilvl w:val="3"/>
          <w:numId w:val="4"/>
        </w:numPr>
        <w:spacing w:after="0" w:line="240" w:lineRule="auto"/>
      </w:pPr>
      <w:r>
        <w:t>“Troubleshoot” source of the problem (sample, reagent, operator, equipment, etc.). (Refer to Illumina MiSeq System User Guide.)</w:t>
      </w:r>
    </w:p>
    <w:p w14:paraId="52E9BE11" w14:textId="77777777" w:rsidR="001039FF" w:rsidRDefault="001039FF" w:rsidP="001039FF">
      <w:pPr>
        <w:pStyle w:val="ListParagraph"/>
        <w:numPr>
          <w:ilvl w:val="3"/>
          <w:numId w:val="4"/>
        </w:numPr>
        <w:spacing w:after="0" w:line="240" w:lineRule="auto"/>
      </w:pPr>
      <w:r>
        <w:t>Call Manufacturer’s Technical Assistance, if needed. Record the technical support case number.</w:t>
      </w:r>
    </w:p>
    <w:p w14:paraId="6C2D6BB6" w14:textId="77777777" w:rsidR="001039FF" w:rsidRDefault="001039FF" w:rsidP="001039FF">
      <w:pPr>
        <w:pStyle w:val="ListParagraph"/>
        <w:numPr>
          <w:ilvl w:val="3"/>
          <w:numId w:val="4"/>
        </w:numPr>
        <w:spacing w:after="0" w:line="240" w:lineRule="auto"/>
      </w:pPr>
      <w:r>
        <w:t>Determine what repair / maintenance is to be performed when you call for service.</w:t>
      </w:r>
    </w:p>
    <w:p w14:paraId="258A27A5" w14:textId="77777777" w:rsidR="001039FF" w:rsidRDefault="001039FF" w:rsidP="001039FF">
      <w:pPr>
        <w:pStyle w:val="ListParagraph"/>
        <w:numPr>
          <w:ilvl w:val="4"/>
          <w:numId w:val="4"/>
        </w:numPr>
        <w:spacing w:after="0" w:line="240" w:lineRule="auto"/>
      </w:pPr>
      <w:r>
        <w:t>Equipment under warranty may require that repairs are completed by the manufacturer.</w:t>
      </w:r>
    </w:p>
    <w:p w14:paraId="401FA89A" w14:textId="77777777" w:rsidR="001039FF" w:rsidRDefault="001039FF" w:rsidP="001039FF">
      <w:pPr>
        <w:pStyle w:val="ListParagraph"/>
        <w:numPr>
          <w:ilvl w:val="4"/>
          <w:numId w:val="4"/>
        </w:numPr>
        <w:spacing w:after="0" w:line="240" w:lineRule="auto"/>
      </w:pPr>
      <w:r>
        <w:t>Is disinfection / decontamination required?</w:t>
      </w:r>
    </w:p>
    <w:p w14:paraId="1993F69C" w14:textId="77777777" w:rsidR="001039FF" w:rsidRDefault="001039FF" w:rsidP="001039FF">
      <w:pPr>
        <w:pStyle w:val="ListParagraph"/>
        <w:numPr>
          <w:ilvl w:val="4"/>
          <w:numId w:val="4"/>
        </w:numPr>
        <w:spacing w:after="0" w:line="240" w:lineRule="auto"/>
      </w:pPr>
      <w:r>
        <w:t>How is disinfection / decontamination performed?  Define appropriate disinfectant, time required, recommended precautions, areas to be decontaminated, etc.</w:t>
      </w:r>
    </w:p>
    <w:p w14:paraId="5C689044" w14:textId="77777777" w:rsidR="001039FF" w:rsidRDefault="001039FF" w:rsidP="001039FF">
      <w:pPr>
        <w:pStyle w:val="ListParagraph"/>
        <w:numPr>
          <w:ilvl w:val="3"/>
          <w:numId w:val="4"/>
        </w:numPr>
        <w:spacing w:after="0" w:line="240" w:lineRule="auto"/>
      </w:pPr>
      <w:r>
        <w:t xml:space="preserve">Items sent to a manufacturer for repair and ultimately replaced must be reported to the responsible property office. </w:t>
      </w:r>
    </w:p>
    <w:p w14:paraId="3273797D" w14:textId="77777777" w:rsidR="001039FF" w:rsidRDefault="001039FF" w:rsidP="001039FF">
      <w:pPr>
        <w:pStyle w:val="ListParagraph"/>
        <w:numPr>
          <w:ilvl w:val="3"/>
          <w:numId w:val="4"/>
        </w:numPr>
        <w:spacing w:after="0" w:line="240" w:lineRule="auto"/>
      </w:pPr>
      <w:r>
        <w:t xml:space="preserve">Record in </w:t>
      </w:r>
      <w:r>
        <w:rPr>
          <w:i/>
          <w:color w:val="3366FF"/>
        </w:rPr>
        <w:t>laboratory maintenance log</w:t>
      </w:r>
      <w:r>
        <w:t xml:space="preserve"> and attach service report, if applicable.</w:t>
      </w:r>
    </w:p>
    <w:p w14:paraId="130882C2" w14:textId="77777777" w:rsidR="001039FF" w:rsidRDefault="001039FF" w:rsidP="001039FF">
      <w:pPr>
        <w:pStyle w:val="ListParagraph"/>
        <w:numPr>
          <w:ilvl w:val="3"/>
          <w:numId w:val="4"/>
        </w:numPr>
        <w:spacing w:after="0" w:line="240" w:lineRule="auto"/>
      </w:pPr>
      <w:r>
        <w:t>Place equipment back into service after verification / qualification completed.</w:t>
      </w:r>
    </w:p>
    <w:p w14:paraId="67D8FC0E" w14:textId="3F48A96A" w:rsidR="001039FF" w:rsidRPr="0024187B" w:rsidRDefault="001039FF" w:rsidP="0024187B">
      <w:pPr>
        <w:pStyle w:val="ListParagraph"/>
        <w:numPr>
          <w:ilvl w:val="3"/>
          <w:numId w:val="4"/>
        </w:numPr>
        <w:spacing w:after="0" w:line="240" w:lineRule="auto"/>
      </w:pPr>
      <w:r>
        <w:t>Maintain a history of maintenance / repair / service.</w:t>
      </w:r>
    </w:p>
    <w:p w14:paraId="0A4A9A94" w14:textId="77777777" w:rsidR="001039FF" w:rsidRDefault="001039FF" w:rsidP="001039FF">
      <w:pPr>
        <w:pStyle w:val="ListParagraph"/>
        <w:ind w:left="432"/>
        <w:rPr>
          <w:b/>
        </w:rPr>
      </w:pPr>
    </w:p>
    <w:p w14:paraId="6B18CC0C" w14:textId="77777777" w:rsidR="001039FF" w:rsidRDefault="001039FF" w:rsidP="001039FF">
      <w:pPr>
        <w:pStyle w:val="ListParagraph"/>
        <w:numPr>
          <w:ilvl w:val="0"/>
          <w:numId w:val="1"/>
        </w:numPr>
        <w:rPr>
          <w:b/>
        </w:rPr>
      </w:pPr>
      <w:r>
        <w:rPr>
          <w:b/>
        </w:rPr>
        <w:t>References</w:t>
      </w:r>
    </w:p>
    <w:p w14:paraId="3158CF9D" w14:textId="77777777" w:rsidR="001039FF" w:rsidRDefault="001039FF" w:rsidP="001039FF">
      <w:pPr>
        <w:pStyle w:val="ListParagraph"/>
        <w:numPr>
          <w:ilvl w:val="1"/>
          <w:numId w:val="1"/>
        </w:numPr>
      </w:pPr>
      <w:r>
        <w:t>Illumina NextSeq Sequencing System Guide Document #15046563 v06 June 2019</w:t>
      </w:r>
    </w:p>
    <w:p w14:paraId="37217933" w14:textId="77777777" w:rsidR="001039FF" w:rsidRDefault="001039FF" w:rsidP="001039FF">
      <w:pPr>
        <w:pStyle w:val="ListParagraph"/>
        <w:ind w:left="864"/>
      </w:pPr>
    </w:p>
    <w:p w14:paraId="1A337817" w14:textId="77777777" w:rsidR="001039FF" w:rsidRDefault="001039FF" w:rsidP="001039FF">
      <w:pPr>
        <w:pStyle w:val="ListParagraph"/>
        <w:numPr>
          <w:ilvl w:val="0"/>
          <w:numId w:val="1"/>
        </w:numPr>
        <w:rPr>
          <w:b/>
        </w:rPr>
      </w:pPr>
      <w:r>
        <w:rPr>
          <w:b/>
        </w:rPr>
        <w:t xml:space="preserve">Revision History </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103"/>
        <w:gridCol w:w="4756"/>
        <w:gridCol w:w="1701"/>
      </w:tblGrid>
      <w:tr w:rsidR="001039FF" w14:paraId="00C82202" w14:textId="77777777" w:rsidTr="001039FF">
        <w:tc>
          <w:tcPr>
            <w:tcW w:w="126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392C6AC" w14:textId="77777777" w:rsidR="001039FF" w:rsidRDefault="001039FF">
            <w:pPr>
              <w:pStyle w:val="NoSpacing"/>
              <w:spacing w:line="256" w:lineRule="auto"/>
              <w:rPr>
                <w:b/>
              </w:rPr>
            </w:pPr>
            <w:r>
              <w:rPr>
                <w:b/>
              </w:rPr>
              <w:t>Rev #</w:t>
            </w:r>
          </w:p>
        </w:tc>
        <w:tc>
          <w:tcPr>
            <w:tcW w:w="1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0DC96CA" w14:textId="77777777" w:rsidR="001039FF" w:rsidRDefault="001039FF">
            <w:pPr>
              <w:pStyle w:val="NoSpacing"/>
              <w:spacing w:line="256" w:lineRule="auto"/>
              <w:rPr>
                <w:b/>
              </w:rPr>
            </w:pPr>
            <w:r>
              <w:rPr>
                <w:b/>
              </w:rPr>
              <w:t>DCR #</w:t>
            </w:r>
          </w:p>
        </w:tc>
        <w:tc>
          <w:tcPr>
            <w:tcW w:w="475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991A936" w14:textId="77777777" w:rsidR="001039FF" w:rsidRDefault="001039FF">
            <w:pPr>
              <w:pStyle w:val="NoSpacing"/>
              <w:spacing w:line="256" w:lineRule="auto"/>
              <w:rPr>
                <w:b/>
              </w:rPr>
            </w:pPr>
            <w:r>
              <w:rPr>
                <w:b/>
              </w:rPr>
              <w:t>Change Summary</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41550C3" w14:textId="77777777" w:rsidR="001039FF" w:rsidRDefault="001039FF">
            <w:pPr>
              <w:pStyle w:val="NoSpacing"/>
              <w:spacing w:line="256" w:lineRule="auto"/>
              <w:rPr>
                <w:b/>
              </w:rPr>
            </w:pPr>
            <w:r>
              <w:rPr>
                <w:b/>
              </w:rPr>
              <w:t>Date</w:t>
            </w:r>
          </w:p>
        </w:tc>
      </w:tr>
      <w:tr w:rsidR="001039FF" w14:paraId="63FFFC1C" w14:textId="77777777" w:rsidTr="001039FF">
        <w:tc>
          <w:tcPr>
            <w:tcW w:w="1260" w:type="dxa"/>
            <w:tcBorders>
              <w:top w:val="single" w:sz="4" w:space="0" w:color="auto"/>
              <w:left w:val="single" w:sz="4" w:space="0" w:color="auto"/>
              <w:bottom w:val="single" w:sz="4" w:space="0" w:color="auto"/>
              <w:right w:val="single" w:sz="4" w:space="0" w:color="auto"/>
            </w:tcBorders>
          </w:tcPr>
          <w:p w14:paraId="18CD600D" w14:textId="77777777" w:rsidR="001039FF" w:rsidRDefault="001039FF">
            <w:pPr>
              <w:pStyle w:val="NoSpacing"/>
              <w:spacing w:line="256" w:lineRule="auto"/>
              <w:rPr>
                <w:i/>
                <w:color w:val="3366FF"/>
              </w:rPr>
            </w:pPr>
          </w:p>
        </w:tc>
        <w:tc>
          <w:tcPr>
            <w:tcW w:w="1103" w:type="dxa"/>
            <w:tcBorders>
              <w:top w:val="single" w:sz="4" w:space="0" w:color="auto"/>
              <w:left w:val="single" w:sz="4" w:space="0" w:color="auto"/>
              <w:bottom w:val="single" w:sz="4" w:space="0" w:color="auto"/>
              <w:right w:val="single" w:sz="4" w:space="0" w:color="auto"/>
            </w:tcBorders>
          </w:tcPr>
          <w:p w14:paraId="19EA847B" w14:textId="77777777" w:rsidR="001039FF" w:rsidRDefault="001039FF">
            <w:pPr>
              <w:pStyle w:val="NoSpacing"/>
              <w:spacing w:line="256" w:lineRule="auto"/>
              <w:rPr>
                <w:i/>
                <w:color w:val="3366FF"/>
              </w:rPr>
            </w:pPr>
          </w:p>
        </w:tc>
        <w:tc>
          <w:tcPr>
            <w:tcW w:w="4756" w:type="dxa"/>
            <w:tcBorders>
              <w:top w:val="single" w:sz="4" w:space="0" w:color="auto"/>
              <w:left w:val="single" w:sz="4" w:space="0" w:color="auto"/>
              <w:bottom w:val="single" w:sz="4" w:space="0" w:color="auto"/>
              <w:right w:val="single" w:sz="4" w:space="0" w:color="auto"/>
            </w:tcBorders>
          </w:tcPr>
          <w:p w14:paraId="54E912AD" w14:textId="77777777" w:rsidR="001039FF" w:rsidRDefault="001039FF">
            <w:pPr>
              <w:pStyle w:val="NoSpacing"/>
              <w:spacing w:line="256" w:lineRule="auto"/>
              <w:rPr>
                <w:i/>
                <w:color w:val="3366FF"/>
              </w:rPr>
            </w:pPr>
          </w:p>
        </w:tc>
        <w:tc>
          <w:tcPr>
            <w:tcW w:w="1701" w:type="dxa"/>
            <w:tcBorders>
              <w:top w:val="single" w:sz="4" w:space="0" w:color="auto"/>
              <w:left w:val="single" w:sz="4" w:space="0" w:color="auto"/>
              <w:bottom w:val="single" w:sz="4" w:space="0" w:color="auto"/>
              <w:right w:val="single" w:sz="4" w:space="0" w:color="auto"/>
            </w:tcBorders>
          </w:tcPr>
          <w:p w14:paraId="0C7E4A95" w14:textId="77777777" w:rsidR="001039FF" w:rsidRDefault="001039FF">
            <w:pPr>
              <w:pStyle w:val="NoSpacing"/>
              <w:spacing w:line="256" w:lineRule="auto"/>
              <w:rPr>
                <w:i/>
                <w:color w:val="3366FF"/>
              </w:rPr>
            </w:pPr>
          </w:p>
        </w:tc>
      </w:tr>
    </w:tbl>
    <w:p w14:paraId="6E77B109" w14:textId="77777777" w:rsidR="001039FF" w:rsidRDefault="001039FF" w:rsidP="001039FF"/>
    <w:p w14:paraId="00CF9192" w14:textId="77777777" w:rsidR="001039FF" w:rsidRDefault="001039FF" w:rsidP="001039FF">
      <w:pPr>
        <w:pStyle w:val="ListParagraph"/>
        <w:numPr>
          <w:ilvl w:val="0"/>
          <w:numId w:val="1"/>
        </w:numPr>
        <w:rPr>
          <w:b/>
        </w:rPr>
      </w:pPr>
      <w:r>
        <w:rPr>
          <w:b/>
        </w:rPr>
        <w:t>Approval</w:t>
      </w:r>
    </w:p>
    <w:p w14:paraId="361045B6" w14:textId="77777777" w:rsidR="001039FF" w:rsidRDefault="001039FF" w:rsidP="001039FF">
      <w:pPr>
        <w:pStyle w:val="ListParagraph"/>
        <w:ind w:left="432"/>
      </w:pPr>
    </w:p>
    <w:p w14:paraId="294F2F63" w14:textId="77777777" w:rsidR="001039FF" w:rsidRDefault="001039FF" w:rsidP="001039FF">
      <w:pPr>
        <w:pStyle w:val="ListParagraph"/>
        <w:ind w:left="432"/>
        <w:jc w:val="center"/>
      </w:pPr>
      <w:r>
        <w:t>Reviewed By: ___________________________________________ Date: _________________</w:t>
      </w:r>
    </w:p>
    <w:p w14:paraId="14E3F62C" w14:textId="77777777" w:rsidR="00B137A1" w:rsidRDefault="00B137A1"/>
    <w:sectPr w:rsidR="00B137A1" w:rsidSect="00692090">
      <w:headerReference w:type="even" r:id="rId11"/>
      <w:headerReference w:type="default" r:id="rId12"/>
      <w:footerReference w:type="default" r:id="rId13"/>
      <w:headerReference w:type="first" r:id="rId14"/>
      <w:footerReference w:type="first" r:id="rId15"/>
      <w:pgSz w:w="12240" w:h="15840"/>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CB4D0" w14:textId="77777777" w:rsidR="00C64267" w:rsidRDefault="00C64267" w:rsidP="00695A4E">
      <w:pPr>
        <w:spacing w:after="0" w:line="240" w:lineRule="auto"/>
      </w:pPr>
      <w:r>
        <w:separator/>
      </w:r>
    </w:p>
  </w:endnote>
  <w:endnote w:type="continuationSeparator" w:id="0">
    <w:p w14:paraId="662A674F" w14:textId="77777777" w:rsidR="00C64267" w:rsidRDefault="00C64267" w:rsidP="0069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24187B" w14:paraId="3C65B2CA" w14:textId="77777777" w:rsidTr="0024187B">
      <w:trPr>
        <w:trHeight w:val="125"/>
        <w:jc w:val="center"/>
      </w:trPr>
      <w:tc>
        <w:tcPr>
          <w:tcW w:w="1392" w:type="dxa"/>
          <w:tcBorders>
            <w:top w:val="single" w:sz="4" w:space="0" w:color="auto"/>
            <w:left w:val="single" w:sz="4" w:space="0" w:color="auto"/>
            <w:bottom w:val="single" w:sz="4" w:space="0" w:color="auto"/>
            <w:right w:val="nil"/>
          </w:tcBorders>
          <w:vAlign w:val="center"/>
          <w:hideMark/>
        </w:tcPr>
        <w:p w14:paraId="20F60FB5" w14:textId="77777777" w:rsidR="0024187B" w:rsidRDefault="0024187B" w:rsidP="0024187B">
          <w:pPr>
            <w:spacing w:after="0" w:line="240" w:lineRule="auto"/>
            <w:jc w:val="right"/>
            <w:rPr>
              <w:rFonts w:eastAsia="Times New Roman" w:cstheme="minorHAnsi"/>
              <w:sz w:val="20"/>
              <w:szCs w:val="20"/>
            </w:rPr>
          </w:pPr>
          <w:r>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vAlign w:val="center"/>
        </w:tcPr>
        <w:p w14:paraId="1AC55644" w14:textId="77777777" w:rsidR="0024187B" w:rsidRDefault="0024187B" w:rsidP="0024187B">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vAlign w:val="center"/>
          <w:hideMark/>
        </w:tcPr>
        <w:p w14:paraId="1F8B3B6F" w14:textId="77777777" w:rsidR="0024187B" w:rsidRDefault="0024187B" w:rsidP="0024187B">
          <w:pPr>
            <w:spacing w:after="0" w:line="240" w:lineRule="auto"/>
            <w:jc w:val="right"/>
            <w:rPr>
              <w:rFonts w:eastAsia="Times New Roman" w:cstheme="minorHAnsi"/>
              <w:sz w:val="20"/>
              <w:szCs w:val="20"/>
            </w:rPr>
          </w:pPr>
          <w:r>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vAlign w:val="center"/>
          <w:hideMark/>
        </w:tcPr>
        <w:p w14:paraId="3B73C4CD" w14:textId="77777777" w:rsidR="0024187B" w:rsidRDefault="0024187B" w:rsidP="0024187B">
          <w:pPr>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vAlign w:val="center"/>
          <w:hideMark/>
        </w:tcPr>
        <w:p w14:paraId="6351BE25" w14:textId="77777777" w:rsidR="0024187B" w:rsidRDefault="0024187B" w:rsidP="0024187B">
          <w:pPr>
            <w:spacing w:after="0" w:line="240" w:lineRule="auto"/>
            <w:jc w:val="right"/>
            <w:rPr>
              <w:rFonts w:eastAsia="Times New Roman" w:cstheme="minorHAnsi"/>
              <w:sz w:val="20"/>
              <w:szCs w:val="20"/>
            </w:rPr>
          </w:pPr>
          <w:r>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vAlign w:val="center"/>
          <w:hideMark/>
        </w:tcPr>
        <w:p w14:paraId="51F86AD5" w14:textId="77777777" w:rsidR="0024187B" w:rsidRDefault="0024187B" w:rsidP="0024187B">
          <w:pPr>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42273B9B" w14:textId="77777777" w:rsidR="0024187B" w:rsidRDefault="0024187B" w:rsidP="0024187B">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vAlign w:val="center"/>
          <w:hideMark/>
        </w:tcPr>
        <w:p w14:paraId="7626750F" w14:textId="77777777" w:rsidR="0024187B" w:rsidRDefault="0024187B" w:rsidP="0024187B">
          <w:pPr>
            <w:spacing w:after="0" w:line="240" w:lineRule="auto"/>
            <w:jc w:val="right"/>
            <w:rPr>
              <w:rFonts w:eastAsia="Times New Roman" w:cstheme="minorHAnsi"/>
              <w:b/>
              <w:sz w:val="20"/>
              <w:szCs w:val="20"/>
            </w:rPr>
          </w:pPr>
          <w:r>
            <w:rPr>
              <w:rFonts w:eastAsia="Times New Roman" w:cstheme="minorHAnsi"/>
              <w:b/>
              <w:sz w:val="20"/>
              <w:szCs w:val="20"/>
            </w:rPr>
            <w:t xml:space="preserve">Page </w:t>
          </w:r>
          <w:r>
            <w:rPr>
              <w:rFonts w:eastAsia="Times New Roman" w:cstheme="minorHAnsi"/>
              <w:b/>
              <w:sz w:val="20"/>
              <w:szCs w:val="20"/>
            </w:rPr>
            <w:fldChar w:fldCharType="begin"/>
          </w:r>
          <w:r>
            <w:rPr>
              <w:rFonts w:eastAsia="Times New Roman" w:cstheme="minorHAnsi"/>
              <w:b/>
              <w:sz w:val="20"/>
              <w:szCs w:val="20"/>
            </w:rPr>
            <w:instrText xml:space="preserve"> PAGE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r>
            <w:rPr>
              <w:rFonts w:eastAsia="Times New Roman" w:cstheme="minorHAnsi"/>
              <w:b/>
              <w:sz w:val="20"/>
              <w:szCs w:val="20"/>
            </w:rPr>
            <w:t xml:space="preserve"> of </w:t>
          </w:r>
          <w:r>
            <w:rPr>
              <w:rFonts w:eastAsia="Times New Roman" w:cstheme="minorHAnsi"/>
              <w:b/>
              <w:sz w:val="20"/>
              <w:szCs w:val="20"/>
            </w:rPr>
            <w:fldChar w:fldCharType="begin"/>
          </w:r>
          <w:r>
            <w:rPr>
              <w:rFonts w:eastAsia="Times New Roman" w:cstheme="minorHAnsi"/>
              <w:b/>
              <w:sz w:val="20"/>
              <w:szCs w:val="20"/>
            </w:rPr>
            <w:instrText xml:space="preserve"> NUMPAGES  \# "0" \* Arabic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p>
      </w:tc>
    </w:tr>
  </w:tbl>
  <w:p w14:paraId="4EC2519F" w14:textId="77777777" w:rsidR="005179C9" w:rsidRDefault="005179C9" w:rsidP="0024187B">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24187B" w14:paraId="56470858" w14:textId="77777777" w:rsidTr="0024187B">
      <w:trPr>
        <w:trHeight w:val="125"/>
        <w:jc w:val="center"/>
      </w:trPr>
      <w:tc>
        <w:tcPr>
          <w:tcW w:w="1392" w:type="dxa"/>
          <w:tcBorders>
            <w:top w:val="single" w:sz="4" w:space="0" w:color="auto"/>
            <w:left w:val="single" w:sz="4" w:space="0" w:color="auto"/>
            <w:bottom w:val="single" w:sz="4" w:space="0" w:color="auto"/>
            <w:right w:val="nil"/>
          </w:tcBorders>
          <w:vAlign w:val="center"/>
          <w:hideMark/>
        </w:tcPr>
        <w:p w14:paraId="734A65D0" w14:textId="77777777" w:rsidR="0024187B" w:rsidRDefault="0024187B" w:rsidP="0024187B">
          <w:pPr>
            <w:spacing w:after="0" w:line="240" w:lineRule="auto"/>
            <w:jc w:val="right"/>
            <w:rPr>
              <w:rFonts w:eastAsia="Times New Roman" w:cstheme="minorHAnsi"/>
              <w:sz w:val="20"/>
              <w:szCs w:val="20"/>
            </w:rPr>
          </w:pPr>
          <w:r>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vAlign w:val="center"/>
        </w:tcPr>
        <w:p w14:paraId="0830D26E" w14:textId="77777777" w:rsidR="0024187B" w:rsidRDefault="0024187B" w:rsidP="0024187B">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vAlign w:val="center"/>
          <w:hideMark/>
        </w:tcPr>
        <w:p w14:paraId="54056ECC" w14:textId="77777777" w:rsidR="0024187B" w:rsidRDefault="0024187B" w:rsidP="0024187B">
          <w:pPr>
            <w:spacing w:after="0" w:line="240" w:lineRule="auto"/>
            <w:jc w:val="right"/>
            <w:rPr>
              <w:rFonts w:eastAsia="Times New Roman" w:cstheme="minorHAnsi"/>
              <w:sz w:val="20"/>
              <w:szCs w:val="20"/>
            </w:rPr>
          </w:pPr>
          <w:r>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vAlign w:val="center"/>
          <w:hideMark/>
        </w:tcPr>
        <w:p w14:paraId="6F7861B9" w14:textId="77777777" w:rsidR="0024187B" w:rsidRDefault="0024187B" w:rsidP="0024187B">
          <w:pPr>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vAlign w:val="center"/>
          <w:hideMark/>
        </w:tcPr>
        <w:p w14:paraId="7849D956" w14:textId="77777777" w:rsidR="0024187B" w:rsidRDefault="0024187B" w:rsidP="0024187B">
          <w:pPr>
            <w:spacing w:after="0" w:line="240" w:lineRule="auto"/>
            <w:jc w:val="right"/>
            <w:rPr>
              <w:rFonts w:eastAsia="Times New Roman" w:cstheme="minorHAnsi"/>
              <w:sz w:val="20"/>
              <w:szCs w:val="20"/>
            </w:rPr>
          </w:pPr>
          <w:r>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vAlign w:val="center"/>
          <w:hideMark/>
        </w:tcPr>
        <w:p w14:paraId="44239E12" w14:textId="77777777" w:rsidR="0024187B" w:rsidRDefault="0024187B" w:rsidP="0024187B">
          <w:pPr>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2573ECAF" w14:textId="77777777" w:rsidR="0024187B" w:rsidRDefault="0024187B" w:rsidP="0024187B">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vAlign w:val="center"/>
          <w:hideMark/>
        </w:tcPr>
        <w:p w14:paraId="6B4BCEBD" w14:textId="77777777" w:rsidR="0024187B" w:rsidRDefault="0024187B" w:rsidP="0024187B">
          <w:pPr>
            <w:spacing w:after="0" w:line="240" w:lineRule="auto"/>
            <w:jc w:val="right"/>
            <w:rPr>
              <w:rFonts w:eastAsia="Times New Roman" w:cstheme="minorHAnsi"/>
              <w:b/>
              <w:sz w:val="20"/>
              <w:szCs w:val="20"/>
            </w:rPr>
          </w:pPr>
          <w:r>
            <w:rPr>
              <w:rFonts w:eastAsia="Times New Roman" w:cstheme="minorHAnsi"/>
              <w:b/>
              <w:sz w:val="20"/>
              <w:szCs w:val="20"/>
            </w:rPr>
            <w:t xml:space="preserve">Page </w:t>
          </w:r>
          <w:r>
            <w:rPr>
              <w:rFonts w:eastAsia="Times New Roman" w:cstheme="minorHAnsi"/>
              <w:b/>
              <w:sz w:val="20"/>
              <w:szCs w:val="20"/>
            </w:rPr>
            <w:fldChar w:fldCharType="begin"/>
          </w:r>
          <w:r>
            <w:rPr>
              <w:rFonts w:eastAsia="Times New Roman" w:cstheme="minorHAnsi"/>
              <w:b/>
              <w:sz w:val="20"/>
              <w:szCs w:val="20"/>
            </w:rPr>
            <w:instrText xml:space="preserve"> PAGE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r>
            <w:rPr>
              <w:rFonts w:eastAsia="Times New Roman" w:cstheme="minorHAnsi"/>
              <w:b/>
              <w:sz w:val="20"/>
              <w:szCs w:val="20"/>
            </w:rPr>
            <w:t xml:space="preserve"> of </w:t>
          </w:r>
          <w:r>
            <w:rPr>
              <w:rFonts w:eastAsia="Times New Roman" w:cstheme="minorHAnsi"/>
              <w:b/>
              <w:sz w:val="20"/>
              <w:szCs w:val="20"/>
            </w:rPr>
            <w:fldChar w:fldCharType="begin"/>
          </w:r>
          <w:r>
            <w:rPr>
              <w:rFonts w:eastAsia="Times New Roman" w:cstheme="minorHAnsi"/>
              <w:b/>
              <w:sz w:val="20"/>
              <w:szCs w:val="20"/>
            </w:rPr>
            <w:instrText xml:space="preserve"> NUMPAGES  \# "0" \* Arabic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p>
      </w:tc>
    </w:tr>
  </w:tbl>
  <w:p w14:paraId="22AECCB3" w14:textId="77777777" w:rsidR="005179C9" w:rsidRDefault="0051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59175" w14:textId="77777777" w:rsidR="00C64267" w:rsidRDefault="00C64267" w:rsidP="00695A4E">
      <w:pPr>
        <w:spacing w:after="0" w:line="240" w:lineRule="auto"/>
      </w:pPr>
      <w:r>
        <w:separator/>
      </w:r>
    </w:p>
  </w:footnote>
  <w:footnote w:type="continuationSeparator" w:id="0">
    <w:p w14:paraId="6001557D" w14:textId="77777777" w:rsidR="00C64267" w:rsidRDefault="00C64267" w:rsidP="0069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1" w14:textId="77777777" w:rsidR="00CB1A65" w:rsidRDefault="009875BC">
    <w:pPr>
      <w:pStyle w:val="Header"/>
    </w:pPr>
    <w:r>
      <w:rPr>
        <w:noProof/>
      </w:rPr>
      <w:pict w14:anchorId="14E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18501" o:spid="_x0000_s2050" type="#_x0000_t75" style="position:absolute;margin-left:0;margin-top:0;width:608.15pt;height:787.05pt;z-index:-251657728;mso-position-horizontal:center;mso-position-horizontal-relative:margin;mso-position-vertical:center;mso-position-vertical-relative:margin" o:allowincell="f">
          <v:imagedata r:id="rId1" o:title="NGS-WordDoc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2" w14:textId="77777777" w:rsidR="00695A4E" w:rsidRDefault="00651BF1">
    <w:pPr>
      <w:pStyle w:val="Header"/>
    </w:pPr>
    <w:r>
      <w:rPr>
        <w:noProof/>
      </w:rPr>
      <w:drawing>
        <wp:anchor distT="0" distB="0" distL="114300" distR="114300" simplePos="0" relativeHeight="251656704" behindDoc="1" locked="0" layoutInCell="1" allowOverlap="1" wp14:anchorId="14E3F635" wp14:editId="4082DBE2">
          <wp:simplePos x="0" y="0"/>
          <wp:positionH relativeFrom="page">
            <wp:align>left</wp:align>
          </wp:positionH>
          <wp:positionV relativeFrom="paragraph">
            <wp:posOffset>-449885</wp:posOffset>
          </wp:positionV>
          <wp:extent cx="7766572" cy="10051085"/>
          <wp:effectExtent l="0" t="0" r="6350" b="7620"/>
          <wp:wrapNone/>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WordDocTemplateBG2.png"/>
                  <pic:cNvPicPr/>
                </pic:nvPicPr>
                <pic:blipFill>
                  <a:blip r:embed="rId1">
                    <a:extLst>
                      <a:ext uri="{28A0092B-C50C-407E-A947-70E740481C1C}">
                        <a14:useLocalDpi xmlns:a14="http://schemas.microsoft.com/office/drawing/2010/main" val="0"/>
                      </a:ext>
                    </a:extLst>
                  </a:blip>
                  <a:stretch>
                    <a:fillRect/>
                  </a:stretch>
                </pic:blipFill>
                <pic:spPr>
                  <a:xfrm>
                    <a:off x="0" y="0"/>
                    <a:ext cx="7769166" cy="1005444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3" w14:textId="77777777" w:rsidR="00CB1A65" w:rsidRDefault="00833614">
    <w:pPr>
      <w:pStyle w:val="Header"/>
    </w:pPr>
    <w:r>
      <w:rPr>
        <w:noProof/>
      </w:rPr>
      <w:drawing>
        <wp:anchor distT="0" distB="0" distL="114300" distR="114300" simplePos="0" relativeHeight="251657728" behindDoc="1" locked="0" layoutInCell="1" allowOverlap="1" wp14:anchorId="14E3F637" wp14:editId="42E70469">
          <wp:simplePos x="0" y="0"/>
          <wp:positionH relativeFrom="margin">
            <wp:posOffset>-670560</wp:posOffset>
          </wp:positionH>
          <wp:positionV relativeFrom="page">
            <wp:posOffset>19050</wp:posOffset>
          </wp:positionV>
          <wp:extent cx="7742602" cy="10020300"/>
          <wp:effectExtent l="0" t="0" r="0" b="0"/>
          <wp:wrapNone/>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NGS-WordDocTemplateBG3.png"/>
                  <pic:cNvPicPr/>
                </pic:nvPicPr>
                <pic:blipFill>
                  <a:blip r:embed="rId1">
                    <a:extLst>
                      <a:ext uri="{28A0092B-C50C-407E-A947-70E740481C1C}">
                        <a14:useLocalDpi xmlns:a14="http://schemas.microsoft.com/office/drawing/2010/main" val="0"/>
                      </a:ext>
                    </a:extLst>
                  </a:blip>
                  <a:stretch>
                    <a:fillRect/>
                  </a:stretch>
                </pic:blipFill>
                <pic:spPr>
                  <a:xfrm>
                    <a:off x="0" y="0"/>
                    <a:ext cx="7742602"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19D4"/>
    <w:multiLevelType w:val="hybridMultilevel"/>
    <w:tmpl w:val="38CEB824"/>
    <w:lvl w:ilvl="0" w:tplc="04090003">
      <w:start w:val="1"/>
      <w:numFmt w:val="bullet"/>
      <w:lvlText w:val="o"/>
      <w:lvlJc w:val="left"/>
      <w:pPr>
        <w:ind w:left="3096" w:hanging="360"/>
      </w:pPr>
      <w:rPr>
        <w:rFonts w:ascii="Courier New" w:hAnsi="Courier New" w:cs="Courier New" w:hint="default"/>
      </w:rPr>
    </w:lvl>
    <w:lvl w:ilvl="1" w:tplc="04090003">
      <w:start w:val="1"/>
      <w:numFmt w:val="bullet"/>
      <w:lvlText w:val="o"/>
      <w:lvlJc w:val="left"/>
      <w:pPr>
        <w:ind w:left="3816" w:hanging="360"/>
      </w:pPr>
      <w:rPr>
        <w:rFonts w:ascii="Courier New" w:hAnsi="Courier New" w:cs="Courier New" w:hint="default"/>
      </w:rPr>
    </w:lvl>
    <w:lvl w:ilvl="2" w:tplc="04090005">
      <w:start w:val="1"/>
      <w:numFmt w:val="bullet"/>
      <w:lvlText w:val=""/>
      <w:lvlJc w:val="left"/>
      <w:pPr>
        <w:ind w:left="4536" w:hanging="360"/>
      </w:pPr>
      <w:rPr>
        <w:rFonts w:ascii="Wingdings" w:hAnsi="Wingdings" w:hint="default"/>
      </w:rPr>
    </w:lvl>
    <w:lvl w:ilvl="3" w:tplc="04090001">
      <w:start w:val="1"/>
      <w:numFmt w:val="bullet"/>
      <w:lvlText w:val=""/>
      <w:lvlJc w:val="left"/>
      <w:pPr>
        <w:ind w:left="5256" w:hanging="360"/>
      </w:pPr>
      <w:rPr>
        <w:rFonts w:ascii="Symbol" w:hAnsi="Symbol" w:hint="default"/>
      </w:rPr>
    </w:lvl>
    <w:lvl w:ilvl="4" w:tplc="04090003">
      <w:start w:val="1"/>
      <w:numFmt w:val="bullet"/>
      <w:lvlText w:val="o"/>
      <w:lvlJc w:val="left"/>
      <w:pPr>
        <w:ind w:left="5976" w:hanging="360"/>
      </w:pPr>
      <w:rPr>
        <w:rFonts w:ascii="Courier New" w:hAnsi="Courier New" w:cs="Courier New" w:hint="default"/>
      </w:rPr>
    </w:lvl>
    <w:lvl w:ilvl="5" w:tplc="04090005">
      <w:start w:val="1"/>
      <w:numFmt w:val="bullet"/>
      <w:lvlText w:val=""/>
      <w:lvlJc w:val="left"/>
      <w:pPr>
        <w:ind w:left="6696" w:hanging="360"/>
      </w:pPr>
      <w:rPr>
        <w:rFonts w:ascii="Wingdings" w:hAnsi="Wingdings" w:hint="default"/>
      </w:rPr>
    </w:lvl>
    <w:lvl w:ilvl="6" w:tplc="04090001">
      <w:start w:val="1"/>
      <w:numFmt w:val="bullet"/>
      <w:lvlText w:val=""/>
      <w:lvlJc w:val="left"/>
      <w:pPr>
        <w:ind w:left="7416" w:hanging="360"/>
      </w:pPr>
      <w:rPr>
        <w:rFonts w:ascii="Symbol" w:hAnsi="Symbol" w:hint="default"/>
      </w:rPr>
    </w:lvl>
    <w:lvl w:ilvl="7" w:tplc="04090003">
      <w:start w:val="1"/>
      <w:numFmt w:val="bullet"/>
      <w:lvlText w:val="o"/>
      <w:lvlJc w:val="left"/>
      <w:pPr>
        <w:ind w:left="8136" w:hanging="360"/>
      </w:pPr>
      <w:rPr>
        <w:rFonts w:ascii="Courier New" w:hAnsi="Courier New" w:cs="Courier New" w:hint="default"/>
      </w:rPr>
    </w:lvl>
    <w:lvl w:ilvl="8" w:tplc="04090005">
      <w:start w:val="1"/>
      <w:numFmt w:val="bullet"/>
      <w:lvlText w:val=""/>
      <w:lvlJc w:val="left"/>
      <w:pPr>
        <w:ind w:left="8856" w:hanging="360"/>
      </w:pPr>
      <w:rPr>
        <w:rFonts w:ascii="Wingdings" w:hAnsi="Wingdings" w:hint="default"/>
      </w:rPr>
    </w:lvl>
  </w:abstractNum>
  <w:abstractNum w:abstractNumId="1" w15:restartNumberingAfterBreak="0">
    <w:nsid w:val="132D47B5"/>
    <w:multiLevelType w:val="multilevel"/>
    <w:tmpl w:val="369C745E"/>
    <w:lvl w:ilvl="0">
      <w:start w:val="1"/>
      <w:numFmt w:val="decimal"/>
      <w:lvlText w:val="%1.0"/>
      <w:lvlJc w:val="right"/>
      <w:pPr>
        <w:ind w:left="432" w:hanging="144"/>
      </w:pPr>
      <w:rPr>
        <w:b/>
      </w:rPr>
    </w:lvl>
    <w:lvl w:ilvl="1">
      <w:start w:val="1"/>
      <w:numFmt w:val="decimal"/>
      <w:lvlText w:val="%1.%2"/>
      <w:lvlJc w:val="left"/>
      <w:pPr>
        <w:ind w:left="864" w:hanging="432"/>
      </w:pPr>
      <w:rPr>
        <w:b/>
        <w:i w:val="0"/>
      </w:rPr>
    </w:lvl>
    <w:lvl w:ilvl="2">
      <w:start w:val="1"/>
      <w:numFmt w:val="lowerLetter"/>
      <w:lvlText w:val="%3."/>
      <w:lvlJc w:val="left"/>
      <w:pPr>
        <w:ind w:left="1152" w:hanging="288"/>
      </w:pPr>
      <w:rPr>
        <w:b/>
      </w:rPr>
    </w:lvl>
    <w:lvl w:ilvl="3">
      <w:start w:val="1"/>
      <w:numFmt w:val="lowerRoman"/>
      <w:lvlText w:val="%4."/>
      <w:lvlJc w:val="left"/>
      <w:pPr>
        <w:ind w:left="1656" w:hanging="396"/>
      </w:pPr>
      <w:rPr>
        <w:b/>
      </w:rPr>
    </w:lvl>
    <w:lvl w:ilvl="4">
      <w:start w:val="1"/>
      <w:numFmt w:val="bullet"/>
      <w:lvlText w:val=""/>
      <w:lvlJc w:val="left"/>
      <w:pPr>
        <w:ind w:left="1908" w:hanging="288"/>
      </w:pPr>
      <w:rPr>
        <w:rFonts w:ascii="Symbol" w:hAnsi="Symbol" w:hint="default"/>
        <w:color w:val="auto"/>
      </w:rPr>
    </w:lvl>
    <w:lvl w:ilvl="5">
      <w:start w:val="1"/>
      <w:numFmt w:val="decimal"/>
      <w:lvlText w:val="%1.%2.%3.%4.%5.%6"/>
      <w:lvlJc w:val="left"/>
      <w:pPr>
        <w:ind w:left="3312" w:hanging="144"/>
      </w:pPr>
    </w:lvl>
    <w:lvl w:ilvl="6">
      <w:start w:val="1"/>
      <w:numFmt w:val="decimal"/>
      <w:lvlText w:val="%1.%2.%3.%4.%5.%6.%7"/>
      <w:lvlJc w:val="left"/>
      <w:pPr>
        <w:ind w:left="3888" w:hanging="144"/>
      </w:pPr>
    </w:lvl>
    <w:lvl w:ilvl="7">
      <w:start w:val="1"/>
      <w:numFmt w:val="decimal"/>
      <w:lvlText w:val="%1.%2.%3.%4.%5.%6.%7.%8"/>
      <w:lvlJc w:val="left"/>
      <w:pPr>
        <w:ind w:left="4464" w:hanging="144"/>
      </w:pPr>
    </w:lvl>
    <w:lvl w:ilvl="8">
      <w:start w:val="1"/>
      <w:numFmt w:val="decimal"/>
      <w:lvlText w:val="%1.%2.%3.%4.%5.%6.%7.%8.%9"/>
      <w:lvlJc w:val="left"/>
      <w:pPr>
        <w:ind w:left="5040" w:hanging="144"/>
      </w:pPr>
    </w:lvl>
  </w:abstractNum>
  <w:abstractNum w:abstractNumId="2" w15:restartNumberingAfterBreak="0">
    <w:nsid w:val="47665ECF"/>
    <w:multiLevelType w:val="multilevel"/>
    <w:tmpl w:val="369C745E"/>
    <w:lvl w:ilvl="0">
      <w:start w:val="1"/>
      <w:numFmt w:val="decimal"/>
      <w:lvlText w:val="%1.0"/>
      <w:lvlJc w:val="right"/>
      <w:pPr>
        <w:ind w:left="432" w:hanging="144"/>
      </w:pPr>
      <w:rPr>
        <w:b/>
      </w:rPr>
    </w:lvl>
    <w:lvl w:ilvl="1">
      <w:start w:val="1"/>
      <w:numFmt w:val="decimal"/>
      <w:lvlText w:val="%1.%2"/>
      <w:lvlJc w:val="left"/>
      <w:pPr>
        <w:ind w:left="864" w:hanging="432"/>
      </w:pPr>
      <w:rPr>
        <w:b/>
        <w:i w:val="0"/>
      </w:rPr>
    </w:lvl>
    <w:lvl w:ilvl="2">
      <w:start w:val="1"/>
      <w:numFmt w:val="lowerLetter"/>
      <w:lvlText w:val="%3."/>
      <w:lvlJc w:val="left"/>
      <w:pPr>
        <w:ind w:left="1152" w:hanging="288"/>
      </w:pPr>
      <w:rPr>
        <w:b/>
      </w:rPr>
    </w:lvl>
    <w:lvl w:ilvl="3">
      <w:start w:val="1"/>
      <w:numFmt w:val="lowerRoman"/>
      <w:lvlText w:val="%4."/>
      <w:lvlJc w:val="left"/>
      <w:pPr>
        <w:ind w:left="1656" w:hanging="396"/>
      </w:pPr>
      <w:rPr>
        <w:b/>
      </w:rPr>
    </w:lvl>
    <w:lvl w:ilvl="4">
      <w:start w:val="1"/>
      <w:numFmt w:val="bullet"/>
      <w:lvlText w:val=""/>
      <w:lvlJc w:val="left"/>
      <w:pPr>
        <w:ind w:left="1908" w:hanging="288"/>
      </w:pPr>
      <w:rPr>
        <w:rFonts w:ascii="Symbol" w:hAnsi="Symbol" w:hint="default"/>
        <w:color w:val="auto"/>
      </w:rPr>
    </w:lvl>
    <w:lvl w:ilvl="5">
      <w:start w:val="1"/>
      <w:numFmt w:val="decimal"/>
      <w:lvlText w:val="%1.%2.%3.%4.%5.%6"/>
      <w:lvlJc w:val="left"/>
      <w:pPr>
        <w:ind w:left="3312" w:hanging="144"/>
      </w:pPr>
    </w:lvl>
    <w:lvl w:ilvl="6">
      <w:start w:val="1"/>
      <w:numFmt w:val="decimal"/>
      <w:lvlText w:val="%1.%2.%3.%4.%5.%6.%7"/>
      <w:lvlJc w:val="left"/>
      <w:pPr>
        <w:ind w:left="3888" w:hanging="144"/>
      </w:pPr>
    </w:lvl>
    <w:lvl w:ilvl="7">
      <w:start w:val="1"/>
      <w:numFmt w:val="decimal"/>
      <w:lvlText w:val="%1.%2.%3.%4.%5.%6.%7.%8"/>
      <w:lvlJc w:val="left"/>
      <w:pPr>
        <w:ind w:left="4464" w:hanging="144"/>
      </w:pPr>
    </w:lvl>
    <w:lvl w:ilvl="8">
      <w:start w:val="1"/>
      <w:numFmt w:val="decimal"/>
      <w:lvlText w:val="%1.%2.%3.%4.%5.%6.%7.%8.%9"/>
      <w:lvlJc w:val="left"/>
      <w:pPr>
        <w:ind w:left="5040" w:hanging="144"/>
      </w:pPr>
    </w:lvl>
  </w:abstractNum>
  <w:abstractNum w:abstractNumId="3" w15:restartNumberingAfterBreak="0">
    <w:nsid w:val="69BA4816"/>
    <w:multiLevelType w:val="hybridMultilevel"/>
    <w:tmpl w:val="AAD8CE64"/>
    <w:lvl w:ilvl="0" w:tplc="04090001">
      <w:start w:val="1"/>
      <w:numFmt w:val="bullet"/>
      <w:lvlText w:val=""/>
      <w:lvlJc w:val="left"/>
      <w:pPr>
        <w:ind w:left="2376" w:hanging="360"/>
      </w:pPr>
      <w:rPr>
        <w:rFonts w:ascii="Symbol" w:hAnsi="Symbol" w:hint="default"/>
      </w:rPr>
    </w:lvl>
    <w:lvl w:ilvl="1" w:tplc="04090003">
      <w:start w:val="1"/>
      <w:numFmt w:val="bullet"/>
      <w:lvlText w:val="o"/>
      <w:lvlJc w:val="left"/>
      <w:pPr>
        <w:ind w:left="3096" w:hanging="360"/>
      </w:pPr>
      <w:rPr>
        <w:rFonts w:ascii="Courier New" w:hAnsi="Courier New" w:cs="Courier New" w:hint="default"/>
      </w:rPr>
    </w:lvl>
    <w:lvl w:ilvl="2" w:tplc="04090005">
      <w:start w:val="1"/>
      <w:numFmt w:val="bullet"/>
      <w:lvlText w:val=""/>
      <w:lvlJc w:val="left"/>
      <w:pPr>
        <w:ind w:left="3816" w:hanging="360"/>
      </w:pPr>
      <w:rPr>
        <w:rFonts w:ascii="Wingdings" w:hAnsi="Wingdings" w:hint="default"/>
      </w:rPr>
    </w:lvl>
    <w:lvl w:ilvl="3" w:tplc="04090001">
      <w:start w:val="1"/>
      <w:numFmt w:val="bullet"/>
      <w:lvlText w:val=""/>
      <w:lvlJc w:val="left"/>
      <w:pPr>
        <w:ind w:left="4536" w:hanging="360"/>
      </w:pPr>
      <w:rPr>
        <w:rFonts w:ascii="Symbol" w:hAnsi="Symbol" w:hint="default"/>
      </w:rPr>
    </w:lvl>
    <w:lvl w:ilvl="4" w:tplc="04090003">
      <w:start w:val="1"/>
      <w:numFmt w:val="bullet"/>
      <w:lvlText w:val="o"/>
      <w:lvlJc w:val="left"/>
      <w:pPr>
        <w:ind w:left="5256" w:hanging="360"/>
      </w:pPr>
      <w:rPr>
        <w:rFonts w:ascii="Courier New" w:hAnsi="Courier New" w:cs="Courier New" w:hint="default"/>
      </w:rPr>
    </w:lvl>
    <w:lvl w:ilvl="5" w:tplc="04090005">
      <w:start w:val="1"/>
      <w:numFmt w:val="bullet"/>
      <w:lvlText w:val=""/>
      <w:lvlJc w:val="left"/>
      <w:pPr>
        <w:ind w:left="5976" w:hanging="360"/>
      </w:pPr>
      <w:rPr>
        <w:rFonts w:ascii="Wingdings" w:hAnsi="Wingdings" w:hint="default"/>
      </w:rPr>
    </w:lvl>
    <w:lvl w:ilvl="6" w:tplc="04090001">
      <w:start w:val="1"/>
      <w:numFmt w:val="bullet"/>
      <w:lvlText w:val=""/>
      <w:lvlJc w:val="left"/>
      <w:pPr>
        <w:ind w:left="6696" w:hanging="360"/>
      </w:pPr>
      <w:rPr>
        <w:rFonts w:ascii="Symbol" w:hAnsi="Symbol" w:hint="default"/>
      </w:rPr>
    </w:lvl>
    <w:lvl w:ilvl="7" w:tplc="04090003">
      <w:start w:val="1"/>
      <w:numFmt w:val="bullet"/>
      <w:lvlText w:val="o"/>
      <w:lvlJc w:val="left"/>
      <w:pPr>
        <w:ind w:left="7416" w:hanging="360"/>
      </w:pPr>
      <w:rPr>
        <w:rFonts w:ascii="Courier New" w:hAnsi="Courier New" w:cs="Courier New" w:hint="default"/>
      </w:rPr>
    </w:lvl>
    <w:lvl w:ilvl="8" w:tplc="04090005">
      <w:start w:val="1"/>
      <w:numFmt w:val="bullet"/>
      <w:lvlText w:val=""/>
      <w:lvlJc w:val="left"/>
      <w:pPr>
        <w:ind w:left="813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sjQztzQxtTAwNDdV0lEKTi0uzszPAykwrAUA6HyI8iwAAAA="/>
  </w:docVars>
  <w:rsids>
    <w:rsidRoot w:val="00695A4E"/>
    <w:rsid w:val="001039FF"/>
    <w:rsid w:val="0024187B"/>
    <w:rsid w:val="004F5CEF"/>
    <w:rsid w:val="005179C9"/>
    <w:rsid w:val="00571E56"/>
    <w:rsid w:val="00651BF1"/>
    <w:rsid w:val="00692090"/>
    <w:rsid w:val="00695A4E"/>
    <w:rsid w:val="006E7495"/>
    <w:rsid w:val="006F7839"/>
    <w:rsid w:val="007E2258"/>
    <w:rsid w:val="00833614"/>
    <w:rsid w:val="009875BC"/>
    <w:rsid w:val="00B137A1"/>
    <w:rsid w:val="00BE527E"/>
    <w:rsid w:val="00C64267"/>
    <w:rsid w:val="00CA558E"/>
    <w:rsid w:val="00CB1A65"/>
    <w:rsid w:val="00D26908"/>
    <w:rsid w:val="00EC79FE"/>
    <w:rsid w:val="00FB0C0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E3F607"/>
  <w15:chartTrackingRefBased/>
  <w15:docId w15:val="{652335C4-38DC-41E8-BD68-B9B8298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39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4E"/>
  </w:style>
  <w:style w:type="paragraph" w:styleId="Footer">
    <w:name w:val="footer"/>
    <w:basedOn w:val="Normal"/>
    <w:link w:val="FooterChar"/>
    <w:uiPriority w:val="99"/>
    <w:unhideWhenUsed/>
    <w:rsid w:val="0069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4E"/>
  </w:style>
  <w:style w:type="paragraph" w:styleId="BalloonText">
    <w:name w:val="Balloon Text"/>
    <w:basedOn w:val="Normal"/>
    <w:link w:val="BalloonTextChar"/>
    <w:uiPriority w:val="99"/>
    <w:semiHidden/>
    <w:unhideWhenUsed/>
    <w:rsid w:val="008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4"/>
    <w:rPr>
      <w:rFonts w:ascii="Segoe UI" w:hAnsi="Segoe UI" w:cs="Segoe UI"/>
      <w:sz w:val="18"/>
      <w:szCs w:val="18"/>
    </w:rPr>
  </w:style>
  <w:style w:type="paragraph" w:styleId="NoSpacing">
    <w:name w:val="No Spacing"/>
    <w:uiPriority w:val="1"/>
    <w:qFormat/>
    <w:rsid w:val="001039FF"/>
    <w:pPr>
      <w:spacing w:after="0" w:line="240" w:lineRule="auto"/>
    </w:pPr>
  </w:style>
  <w:style w:type="paragraph" w:styleId="ListParagraph">
    <w:name w:val="List Paragraph"/>
    <w:basedOn w:val="Normal"/>
    <w:uiPriority w:val="34"/>
    <w:qFormat/>
    <w:rsid w:val="001039FF"/>
    <w:pPr>
      <w:spacing w:after="200" w:line="276" w:lineRule="auto"/>
      <w:ind w:left="720"/>
      <w:contextualSpacing/>
    </w:pPr>
  </w:style>
  <w:style w:type="character" w:customStyle="1" w:styleId="st1">
    <w:name w:val="st1"/>
    <w:basedOn w:val="DefaultParagraphFont"/>
    <w:rsid w:val="001039FF"/>
  </w:style>
  <w:style w:type="table" w:styleId="TableGrid">
    <w:name w:val="Table Grid"/>
    <w:basedOn w:val="TableNormal"/>
    <w:uiPriority w:val="39"/>
    <w:rsid w:val="001039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039FF"/>
    <w:rPr>
      <w:color w:val="0000FF"/>
      <w:u w:val="single"/>
    </w:rPr>
  </w:style>
  <w:style w:type="character" w:styleId="FollowedHyperlink">
    <w:name w:val="FollowedHyperlink"/>
    <w:basedOn w:val="DefaultParagraphFont"/>
    <w:uiPriority w:val="99"/>
    <w:semiHidden/>
    <w:unhideWhenUsed/>
    <w:rsid w:val="00241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00538">
      <w:bodyDiv w:val="1"/>
      <w:marLeft w:val="0"/>
      <w:marRight w:val="0"/>
      <w:marTop w:val="0"/>
      <w:marBottom w:val="0"/>
      <w:divBdr>
        <w:top w:val="none" w:sz="0" w:space="0" w:color="auto"/>
        <w:left w:val="none" w:sz="0" w:space="0" w:color="auto"/>
        <w:bottom w:val="none" w:sz="0" w:space="0" w:color="auto"/>
        <w:right w:val="none" w:sz="0" w:space="0" w:color="auto"/>
      </w:divBdr>
    </w:div>
    <w:div w:id="932708882">
      <w:bodyDiv w:val="1"/>
      <w:marLeft w:val="0"/>
      <w:marRight w:val="0"/>
      <w:marTop w:val="0"/>
      <w:marBottom w:val="0"/>
      <w:divBdr>
        <w:top w:val="none" w:sz="0" w:space="0" w:color="auto"/>
        <w:left w:val="none" w:sz="0" w:space="0" w:color="auto"/>
        <w:bottom w:val="none" w:sz="0" w:space="0" w:color="auto"/>
        <w:right w:val="none" w:sz="0" w:space="0" w:color="auto"/>
      </w:divBdr>
    </w:div>
    <w:div w:id="1313563383">
      <w:bodyDiv w:val="1"/>
      <w:marLeft w:val="0"/>
      <w:marRight w:val="0"/>
      <w:marTop w:val="0"/>
      <w:marBottom w:val="0"/>
      <w:divBdr>
        <w:top w:val="none" w:sz="0" w:space="0" w:color="auto"/>
        <w:left w:val="none" w:sz="0" w:space="0" w:color="auto"/>
        <w:bottom w:val="none" w:sz="0" w:space="0" w:color="auto"/>
        <w:right w:val="none" w:sz="0" w:space="0" w:color="auto"/>
      </w:divBdr>
    </w:div>
    <w:div w:id="17641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7DAU5SSH7P55-1089477449-716</_dlc_DocId>
    <_dlc_DocIdUrl xmlns="61e0aa89-821a-4b43-b623-2509ea82b111">
      <Url>https://esp.cdc.gov/sites/csels/DLS/NGS/_layouts/15/DocIdRedir.aspx?ID=7DAU5SSH7P55-1089477449-716</Url>
      <Description>7DAU5SSH7P55-1089477449-716</Description>
    </_dlc_DocIdUrl>
  </documentManagement>
</p:properties>
</file>

<file path=customXml/itemProps1.xml><?xml version="1.0" encoding="utf-8"?>
<ds:datastoreItem xmlns:ds="http://schemas.openxmlformats.org/officeDocument/2006/customXml" ds:itemID="{315F1FEA-9DED-495E-A8E1-A981618CB2A9}">
  <ds:schemaRefs>
    <ds:schemaRef ds:uri="http://schemas.microsoft.com/sharepoint/v3/contenttype/forms"/>
  </ds:schemaRefs>
</ds:datastoreItem>
</file>

<file path=customXml/itemProps2.xml><?xml version="1.0" encoding="utf-8"?>
<ds:datastoreItem xmlns:ds="http://schemas.openxmlformats.org/officeDocument/2006/customXml" ds:itemID="{C198492D-96AE-4405-A726-6D06F66320D2}">
  <ds:schemaRefs>
    <ds:schemaRef ds:uri="http://schemas.microsoft.com/sharepoint/events"/>
  </ds:schemaRefs>
</ds:datastoreItem>
</file>

<file path=customXml/itemProps3.xml><?xml version="1.0" encoding="utf-8"?>
<ds:datastoreItem xmlns:ds="http://schemas.openxmlformats.org/officeDocument/2006/customXml" ds:itemID="{A223A6C2-0EE7-4334-8B4B-DCF64695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1CBCF4-759C-49AD-8EBD-70E922A80E22}">
  <ds:schemaRefs>
    <ds:schemaRef ds:uri="61e0aa89-821a-4b43-b623-2509ea82b111"/>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Brandon M. (CDC/DDPHSS/CSELS/DLS) (CTR)</dc:creator>
  <cp:keywords/>
  <dc:description/>
  <cp:lastModifiedBy>Hutchins, Rebecca J. (CDC/DDID/OD)</cp:lastModifiedBy>
  <cp:revision>2</cp:revision>
  <dcterms:created xsi:type="dcterms:W3CDTF">2020-02-26T17:42:00Z</dcterms:created>
  <dcterms:modified xsi:type="dcterms:W3CDTF">2020-02-26T17:42:00Z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0x0101005783CEA49787DA4F8CCE74DC07A13A3A</vt:lpwstr>
  </property>
  <property fmtid="{D5CDD505-2E9C-101B-9397-08002B2CF9AE}" pid="3" name="_dlc_DocIdItemGuid">
    <vt:lpwstr>837e1703-f109-4181-8b69-8c7e961b2dd4</vt:lpwstr>
  </property>
</Properties>
</file>