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D72C4" w14:paraId="3DB424A4" w14:textId="77777777" w:rsidTr="003D72C4">
        <w:tc>
          <w:tcPr>
            <w:tcW w:w="10070" w:type="dxa"/>
          </w:tcPr>
          <w:p w14:paraId="5313E7E5" w14:textId="5E6E6A08" w:rsidR="003D72C4" w:rsidRDefault="003D72C4" w:rsidP="003D7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2C0BF7">
              <w:rPr>
                <w:rFonts w:ascii="Calibri" w:hAnsi="Calibri" w:cs="Calibri"/>
                <w:b/>
                <w:i/>
                <w:noProof/>
                <w:color w:val="00698E"/>
                <w:sz w:val="20"/>
                <w:szCs w:val="20"/>
              </w:rPr>
              <w:t>Insert Laboratory Specific Name Here</w:t>
            </w:r>
          </w:p>
        </w:tc>
      </w:tr>
      <w:tr w:rsidR="003D72C4" w14:paraId="541869D5" w14:textId="77777777" w:rsidTr="003D72C4">
        <w:tc>
          <w:tcPr>
            <w:tcW w:w="10070" w:type="dxa"/>
          </w:tcPr>
          <w:p w14:paraId="42EE895C" w14:textId="7FB11CB3" w:rsidR="003D72C4" w:rsidRDefault="003D72C4" w:rsidP="003D72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16"/>
              </w:rPr>
              <w:t>MinION Pre-Installation Checklist</w:t>
            </w:r>
          </w:p>
        </w:tc>
      </w:tr>
    </w:tbl>
    <w:p w14:paraId="0876CC9D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</w:p>
    <w:p w14:paraId="0834B2EE" w14:textId="50167441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Equipment Name: Oxford Nanopore Technologies,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MinION</w:t>
      </w:r>
      <w:proofErr w:type="spellEnd"/>
    </w:p>
    <w:p w14:paraId="68C11892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1Light1"/>
        <w:tblW w:w="10350" w:type="dxa"/>
        <w:jc w:val="center"/>
        <w:tblInd w:w="0" w:type="dxa"/>
        <w:tblBorders>
          <w:insideH w:val="single" w:sz="6" w:space="0" w:color="999999"/>
          <w:insideV w:val="single" w:sz="6" w:space="0" w:color="999999"/>
        </w:tblBorders>
        <w:tblLook w:val="04A0" w:firstRow="1" w:lastRow="0" w:firstColumn="1" w:lastColumn="0" w:noHBand="0" w:noVBand="1"/>
      </w:tblPr>
      <w:tblGrid>
        <w:gridCol w:w="5254"/>
        <w:gridCol w:w="1636"/>
        <w:gridCol w:w="3460"/>
      </w:tblGrid>
      <w:tr w:rsidR="003D72C4" w14:paraId="58CE70F9" w14:textId="77777777" w:rsidTr="003D7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4" w:space="0" w:color="999999"/>
              <w:left w:val="single" w:sz="4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5723704D" w14:textId="72601C0C" w:rsidR="003D72C4" w:rsidRDefault="003D72C4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Before purchasing equipment, verify that the following requirements are, or can be,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met:Requirement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999999"/>
              <w:left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05981D8E" w14:textId="77777777" w:rsidR="003D72C4" w:rsidRDefault="003D72C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 Met?</w:t>
            </w:r>
          </w:p>
        </w:tc>
        <w:tc>
          <w:tcPr>
            <w:tcW w:w="3460" w:type="dxa"/>
            <w:tcBorders>
              <w:top w:val="single" w:sz="4" w:space="0" w:color="999999"/>
              <w:left w:val="single" w:sz="6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37B2936C" w14:textId="77777777" w:rsidR="003D72C4" w:rsidRDefault="003D72C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3D72C4" w14:paraId="6535854A" w14:textId="77777777" w:rsidTr="003D72C4">
        <w:trPr>
          <w:cantSplit/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D0D907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Electrical</w:t>
            </w:r>
          </w:p>
          <w:p w14:paraId="2122897B" w14:textId="77777777" w:rsidR="003D72C4" w:rsidRDefault="003D72C4">
            <w:pPr>
              <w:pStyle w:val="ListParagraph"/>
              <w:spacing w:before="120" w:after="120"/>
              <w:ind w:left="6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SS USB port</w:t>
            </w:r>
          </w:p>
          <w:p w14:paraId="36B17E1A" w14:textId="7E7D9A3F" w:rsidR="003D72C4" w:rsidRPr="003D72C4" w:rsidRDefault="003D72C4" w:rsidP="003D72C4">
            <w:p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Plugs directly into a laptop or desktop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010668" w14:textId="7D440CF1" w:rsidR="003D72C4" w:rsidRPr="003D72C4" w:rsidRDefault="003D72C4" w:rsidP="003D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35FA2A4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EF45C6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4546863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36C5ED41" w14:textId="77777777" w:rsidTr="003D72C4">
        <w:trPr>
          <w:cantSplit/>
          <w:trHeight w:val="8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147544E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Systems</w:t>
            </w:r>
          </w:p>
          <w:p w14:paraId="387A07CF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Windows 7, 8, 10</w:t>
            </w:r>
          </w:p>
          <w:p w14:paraId="3C8A5103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OSX Sierra, High Sierra (64 bit)</w:t>
            </w:r>
          </w:p>
          <w:p w14:paraId="39F0DD85" w14:textId="6438AF69" w:rsidR="003D72C4" w:rsidRPr="003D72C4" w:rsidRDefault="003D72C4" w:rsidP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Linux- Ubuntu 14.04 or 16.04</w:t>
            </w:r>
          </w:p>
          <w:p w14:paraId="2152BE80" w14:textId="76D08E52" w:rsidR="003D72C4" w:rsidRPr="003D72C4" w:rsidRDefault="003D72C4" w:rsidP="003D72C4"/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E63093E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667A13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E65E9C4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02BA06AE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22BA36A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Memory/RAM</w:t>
            </w:r>
          </w:p>
          <w:p w14:paraId="2A08100D" w14:textId="389C2F66" w:rsidR="003D72C4" w:rsidRPr="003D72C4" w:rsidRDefault="003D72C4" w:rsidP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 GB RAM </w:t>
            </w:r>
          </w:p>
          <w:p w14:paraId="3F28FA51" w14:textId="31BC90B4" w:rsidR="003D72C4" w:rsidRPr="003D72C4" w:rsidRDefault="003D72C4" w:rsidP="003D72C4"/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217C2FB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9FCA97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012BA733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7B5F1842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59EE8B3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</w:p>
          <w:p w14:paraId="2C51F5CD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i7 or Xeon</w:t>
            </w:r>
          </w:p>
          <w:p w14:paraId="03FACCBF" w14:textId="58D64CE9" w:rsidR="003D72C4" w:rsidRPr="003D72C4" w:rsidRDefault="003D72C4" w:rsidP="003D72C4">
            <w:p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Users need to verify that their i7 is a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four core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model or better</w:t>
            </w:r>
          </w:p>
          <w:p w14:paraId="5F4F91BD" w14:textId="42063A63" w:rsidR="003D72C4" w:rsidRPr="003D72C4" w:rsidRDefault="003D72C4" w:rsidP="003D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A96D874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FA96FB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37F07E8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3575C6C5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A329909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Storage</w:t>
            </w:r>
          </w:p>
          <w:p w14:paraId="5225A7E3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TB internal SSD</w:t>
            </w:r>
          </w:p>
          <w:p w14:paraId="09A6A375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D979DF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54CF6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Recommended that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MinION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software,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MinKNOW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is installed to the internal SSD, rather than the main operating system drive</w:t>
            </w:r>
          </w:p>
          <w:p w14:paraId="740630E3" w14:textId="697B945D" w:rsidR="003D72C4" w:rsidRPr="003D72C4" w:rsidRDefault="003D72C4" w:rsidP="003D72C4">
            <w:p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MinIT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a companion to the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MinION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personal DNA/RNA sequencer. It is pre-configured with the software that controls the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MinION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MinKNOW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), carries out data acquisition and performs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basecalling</w:t>
            </w:r>
            <w:proofErr w:type="spellEnd"/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C8E6529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DCB9090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34D41DD5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57411F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Network Connections</w:t>
            </w:r>
          </w:p>
          <w:p w14:paraId="6869F5A9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Internet connection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required at all times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software updates and telemetry</w:t>
            </w:r>
          </w:p>
          <w:p w14:paraId="44024577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Offline configurations can be made available for field use and expeditions.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MinIT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can be used to perform offline base calling and an offline version of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MinKNOW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available. Please contact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MinION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support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62FB462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7D864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06A51E11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F2C53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explain:</w:t>
            </w:r>
          </w:p>
        </w:tc>
      </w:tr>
      <w:tr w:rsidR="003D72C4" w14:paraId="5765F587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8893844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Antivirus Settings</w:t>
            </w:r>
          </w:p>
          <w:p w14:paraId="534051E8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Manual antivirus scanning</w:t>
            </w:r>
          </w:p>
          <w:p w14:paraId="65931CE0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Antivirus software scanning the entire hard drive uses significant amounts of resources and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maycause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performance issues. For this reason, it is recommended that the scans are switched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tomanual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setting, rather than to automatic, so that they can be performed when the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MinION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not in use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7C7B748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F334E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5EEFEB42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13E76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59C19F5A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D8932E0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</w:p>
          <w:p w14:paraId="1371BEBA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system updates should be switched to manual mode</w:t>
            </w:r>
          </w:p>
          <w:p w14:paraId="0DAEA916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Downloading OS system updates during a sequence experiment may impact performance and updates that require restart will fatally halt a run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099575C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B917E7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78D6A439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729F6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680B9ED6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40B297E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Consumables</w:t>
            </w:r>
          </w:p>
          <w:p w14:paraId="6B43B2E5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There are a number of different sets of equipment, consumables, and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third party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consumables that you will need in order to perform the sequencing experiment. Select your consumables required to perform the library prep:</w:t>
            </w:r>
          </w:p>
          <w:p w14:paraId="1F32D93B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CC45E68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66C1E8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5299A27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1247A3E1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0D95B53" w14:textId="77777777" w:rsidR="003D72C4" w:rsidRDefault="003D72C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Waste</w:t>
            </w:r>
          </w:p>
          <w:p w14:paraId="4D9141FD" w14:textId="77777777" w:rsidR="003D72C4" w:rsidRDefault="003D72C4">
            <w:pPr>
              <w:spacing w:before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Reference SOP:</w:t>
            </w:r>
          </w:p>
          <w:p w14:paraId="589D61A6" w14:textId="77777777" w:rsidR="003D72C4" w:rsidRDefault="003D72C4">
            <w:pPr>
              <w:spacing w:before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MinION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Flow Cell Waste Disposal Procedure”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8B7F5DF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603A50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AA9E1C8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51872816" w14:textId="77777777" w:rsidTr="003D72C4">
        <w:trPr>
          <w:cantSplit/>
          <w:trHeight w:val="1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166A9A1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Operating Clearance</w:t>
            </w:r>
          </w:p>
          <w:p w14:paraId="3A867CDA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Instrument Dimensions</w:t>
            </w:r>
          </w:p>
          <w:p w14:paraId="5470783B" w14:textId="77777777" w:rsidR="003D72C4" w:rsidRDefault="003D72C4" w:rsidP="0069566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Measuring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 x 3 x 2 cm</w:t>
            </w:r>
          </w:p>
          <w:p w14:paraId="79C162BF" w14:textId="77777777" w:rsidR="003D72C4" w:rsidRDefault="003D72C4" w:rsidP="0069566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&lt;100g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AF62822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E65D0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6449EA6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7EFA842D" w14:textId="77777777" w:rsidTr="003D72C4">
        <w:trPr>
          <w:cantSplit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919AF68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Dedicated Physically Separate Areas </w:t>
            </w:r>
          </w:p>
          <w:p w14:paraId="796AF355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 physically separate pre-PCR laboratory space where pre-PCR processes are performed (DNA extraction, quantification, and normalization)</w:t>
            </w:r>
          </w:p>
          <w:p w14:paraId="1705F9D2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 physically separate post-PCR laboratory space where PCR products are made and processed</w:t>
            </w:r>
          </w:p>
          <w:p w14:paraId="5B4D9D2B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 separate full sets of equipment and supplies (pipettes, incubator, heat block,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vortexer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centrifuge, etc.) to pre-PCR and post-PCR lab processes. Do not share equipment and supplies between processes</w:t>
            </w:r>
          </w:p>
          <w:p w14:paraId="4B935715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 separate storage areas (freezers and refrigerators) for pre-PCR and post-PCR consumables</w:t>
            </w:r>
          </w:p>
          <w:p w14:paraId="6E80A003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use the same sink to wash pre-PCR and post-PCR materials. Do not share water purification systems for pre-PCR and post-PCR processes. Store all supplies used in pre-PCR protocols in the pre-PCR area, and transfer to the post-PCR area as needed.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78775B2" w14:textId="77777777" w:rsidR="003D72C4" w:rsidRDefault="003D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2BB0901" w14:textId="77777777" w:rsidR="003D72C4" w:rsidRDefault="003D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52EF2" w14:textId="77777777" w:rsidR="003D72C4" w:rsidRDefault="003D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N/A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AF6F3F9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7132F4DB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BADA1B0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Documentation</w:t>
            </w:r>
          </w:p>
          <w:p w14:paraId="7F20DA24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Training Documents</w:t>
            </w:r>
          </w:p>
          <w:p w14:paraId="2A5D8500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Equipment Maintenance Documents</w:t>
            </w:r>
          </w:p>
          <w:p w14:paraId="60C41675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Other: _______________________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D9E6EF4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13686D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D99D2A5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5CAC3E43" w14:textId="77777777" w:rsidTr="003D72C4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AE86B7F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Ancillary equipment required </w:t>
            </w:r>
          </w:p>
          <w:p w14:paraId="5170BD61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Access to or acquisition of the following:</w:t>
            </w:r>
          </w:p>
          <w:p w14:paraId="6D1E0EB3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Thermocycler or heat block</w:t>
            </w:r>
          </w:p>
          <w:p w14:paraId="3526C869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sizing, quantitation, and quality check of DNA (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e.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g.Bioanalyzer</w:t>
            </w:r>
            <w:proofErr w:type="spellEnd"/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TapeStation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Qubit, Nanodrop)</w:t>
            </w:r>
          </w:p>
          <w:p w14:paraId="2BE346D4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shearing DNA (e.g.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Covaris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 (optional depending on library prep method)</w:t>
            </w:r>
          </w:p>
          <w:p w14:paraId="4920EEF5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Benchtop centrifuge, plate centrifuge, hula mixer</w:t>
            </w:r>
          </w:p>
          <w:p w14:paraId="0F7C12D6" w14:textId="77777777" w:rsidR="003D72C4" w:rsidRDefault="003D72C4">
            <w:p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Other: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5EB4973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E6D92F9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2C4" w14:paraId="2579D11E" w14:textId="77777777" w:rsidTr="003D72C4">
        <w:trPr>
          <w:cantSplit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  <w:hideMark/>
          </w:tcPr>
          <w:p w14:paraId="56DD6814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Other Requirement(s)</w:t>
            </w:r>
          </w:p>
          <w:p w14:paraId="06EEBC02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0FAF4C0E" w14:textId="77777777" w:rsidR="003D72C4" w:rsidRDefault="003D72C4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530578D2" w14:textId="77777777" w:rsidR="003D72C4" w:rsidRDefault="003D72C4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F8F1EC" w14:textId="77777777" w:rsidR="003D72C4" w:rsidRDefault="003D72C4">
            <w:pPr>
              <w:pStyle w:val="ListParagraph"/>
              <w:spacing w:before="120" w:after="120"/>
              <w:ind w:left="144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5065B836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58C269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272B56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</w:r>
            <w:r w:rsidR="001D0F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2B63904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FD4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EFC588" w14:textId="77777777" w:rsidR="003D72C4" w:rsidRDefault="003D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583627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*References: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22503B" w14:textId="77777777" w:rsidR="003D72C4" w:rsidRDefault="003D72C4" w:rsidP="003D72C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MinION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IT Requirements: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https://community.nanoporetech.com/requirements_documents/minion-it-reqs.pdf</w:t>
        </w:r>
      </w:hyperlink>
    </w:p>
    <w:p w14:paraId="5B6CCE02" w14:textId="77777777" w:rsidR="003D72C4" w:rsidRDefault="003D72C4" w:rsidP="003D72C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MinION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Flow Cell Waste Disposal Procedure </w:t>
      </w:r>
    </w:p>
    <w:p w14:paraId="7828161D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</w:p>
    <w:p w14:paraId="34E54C40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Completed By (signature): ______________________________________________________  </w:t>
      </w:r>
    </w:p>
    <w:p w14:paraId="5BAAF483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</w:p>
    <w:p w14:paraId="48732772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p w14:paraId="04BD22CD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</w:p>
    <w:p w14:paraId="66ECB28A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</w:p>
    <w:p w14:paraId="218A4E72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Approved By (signature): _______________________________________________________  </w:t>
      </w:r>
    </w:p>
    <w:p w14:paraId="51F03DFC" w14:textId="77777777" w:rsidR="003D72C4" w:rsidRDefault="003D72C4" w:rsidP="003D72C4">
      <w:pPr>
        <w:rPr>
          <w:rFonts w:asciiTheme="minorHAnsi" w:hAnsiTheme="minorHAnsi" w:cstheme="minorHAnsi"/>
          <w:b/>
          <w:sz w:val="22"/>
          <w:szCs w:val="22"/>
        </w:rPr>
      </w:pPr>
    </w:p>
    <w:p w14:paraId="14E3F62C" w14:textId="44F7A693" w:rsidR="00B137A1" w:rsidRPr="003D72C4" w:rsidRDefault="003D72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sectPr w:rsidR="00B137A1" w:rsidRPr="003D72C4" w:rsidSect="0069209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909" w14:textId="77777777" w:rsidR="00D57E04" w:rsidRDefault="00D57E04" w:rsidP="00695A4E">
      <w:r>
        <w:separator/>
      </w:r>
    </w:p>
  </w:endnote>
  <w:endnote w:type="continuationSeparator" w:id="0">
    <w:p w14:paraId="6CC35D10" w14:textId="77777777" w:rsidR="00D57E04" w:rsidRDefault="00D57E04" w:rsidP="006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3D72C4" w14:paraId="405FAD9E" w14:textId="77777777" w:rsidTr="003D72C4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C704858" w14:textId="77777777" w:rsidR="003D72C4" w:rsidRDefault="003D72C4" w:rsidP="003D72C4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943389" w14:textId="77777777" w:rsidR="003D72C4" w:rsidRDefault="003D72C4" w:rsidP="003D72C4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289C0E5" w14:textId="77777777" w:rsidR="003D72C4" w:rsidRDefault="003D72C4" w:rsidP="003D72C4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B9FEE3" w14:textId="77777777" w:rsidR="003D72C4" w:rsidRDefault="003D72C4" w:rsidP="003D72C4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F74214E" w14:textId="77777777" w:rsidR="003D72C4" w:rsidRDefault="003D72C4" w:rsidP="003D72C4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2E9B2F" w14:textId="77777777" w:rsidR="003D72C4" w:rsidRDefault="003D72C4" w:rsidP="003D72C4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804187D" w14:textId="77777777" w:rsidR="003D72C4" w:rsidRDefault="003D72C4" w:rsidP="003D72C4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2C5904" w14:textId="77777777" w:rsidR="003D72C4" w:rsidRDefault="003D72C4" w:rsidP="003D72C4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Page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4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4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4EC2519F" w14:textId="77777777" w:rsidR="005179C9" w:rsidRDefault="00517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3D72C4" w14:paraId="0F130142" w14:textId="77777777" w:rsidTr="003D72C4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1325027" w14:textId="77777777" w:rsidR="003D72C4" w:rsidRDefault="003D72C4" w:rsidP="003D72C4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239ADDA" w14:textId="77777777" w:rsidR="003D72C4" w:rsidRDefault="003D72C4" w:rsidP="003D72C4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9CF5B30" w14:textId="77777777" w:rsidR="003D72C4" w:rsidRDefault="003D72C4" w:rsidP="003D72C4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EA15DB" w14:textId="77777777" w:rsidR="003D72C4" w:rsidRDefault="003D72C4" w:rsidP="003D72C4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9554F18" w14:textId="77777777" w:rsidR="003D72C4" w:rsidRDefault="003D72C4" w:rsidP="003D72C4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C83212" w14:textId="77777777" w:rsidR="003D72C4" w:rsidRDefault="003D72C4" w:rsidP="003D72C4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335BB06" w14:textId="77777777" w:rsidR="003D72C4" w:rsidRDefault="003D72C4" w:rsidP="003D72C4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54B0E5" w14:textId="77777777" w:rsidR="003D72C4" w:rsidRDefault="003D72C4" w:rsidP="003D72C4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Page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4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4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22AECCB3" w14:textId="77777777" w:rsidR="005179C9" w:rsidRDefault="0051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BE0A" w14:textId="77777777" w:rsidR="00D57E04" w:rsidRDefault="00D57E04" w:rsidP="00695A4E">
      <w:r>
        <w:separator/>
      </w:r>
    </w:p>
  </w:footnote>
  <w:footnote w:type="continuationSeparator" w:id="0">
    <w:p w14:paraId="422F45E4" w14:textId="77777777" w:rsidR="00D57E04" w:rsidRDefault="00D57E04" w:rsidP="0069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1" w14:textId="77777777" w:rsidR="00CB1A65" w:rsidRDefault="001D0FF0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50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3D4CC904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40911C76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F5E"/>
    <w:multiLevelType w:val="hybridMultilevel"/>
    <w:tmpl w:val="FE84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1D0FF0"/>
    <w:rsid w:val="002C0BF7"/>
    <w:rsid w:val="003D72C4"/>
    <w:rsid w:val="004F5CEF"/>
    <w:rsid w:val="005179C9"/>
    <w:rsid w:val="00571E56"/>
    <w:rsid w:val="00651BF1"/>
    <w:rsid w:val="00692090"/>
    <w:rsid w:val="00695A4E"/>
    <w:rsid w:val="00732EDC"/>
    <w:rsid w:val="007E2258"/>
    <w:rsid w:val="00833614"/>
    <w:rsid w:val="00B137A1"/>
    <w:rsid w:val="00BE527E"/>
    <w:rsid w:val="00CA558E"/>
    <w:rsid w:val="00CB1A65"/>
    <w:rsid w:val="00D26908"/>
    <w:rsid w:val="00D57E04"/>
    <w:rsid w:val="00DA5995"/>
    <w:rsid w:val="00FB0C0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72C4"/>
    <w:rPr>
      <w:color w:val="0563C1"/>
      <w:u w:val="single"/>
    </w:rPr>
  </w:style>
  <w:style w:type="paragraph" w:styleId="NoSpacing">
    <w:name w:val="No Spacing"/>
    <w:uiPriority w:val="1"/>
    <w:qFormat/>
    <w:rsid w:val="003D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2C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3D72C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D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.nanoporetech.com/requirements_documents/minion-it-req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7DAU5SSH7P55-1089477449-716</_dlc_DocId>
    <_dlc_DocIdUrl xmlns="61e0aa89-821a-4b43-b623-2509ea82b111">
      <Url>https://esp.cdc.gov/sites/csels/DLS/NGS/_layouts/15/DocIdRedir.aspx?ID=7DAU5SSH7P55-1089477449-716</Url>
      <Description>7DAU5SSH7P55-1089477449-716</Description>
    </_dlc_DocIdUrl>
  </documentManagement>
</p:properties>
</file>

<file path=customXml/itemProps1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8492D-96AE-4405-A726-6D06F66320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23A6C2-0EE7-4334-8B4B-DCF64695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CBCF4-759C-49AD-8EBD-70E922A80E2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1e0aa89-821a-4b43-b623-2509ea82b11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Hutchins, Rebecca J. (CDC/DDID/OD)</cp:lastModifiedBy>
  <cp:revision>2</cp:revision>
  <dcterms:created xsi:type="dcterms:W3CDTF">2020-02-26T17:40:00Z</dcterms:created>
  <dcterms:modified xsi:type="dcterms:W3CDTF">2020-02-26T17:40:00Z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837e1703-f109-4181-8b69-8c7e961b2dd4</vt:lpwstr>
  </property>
</Properties>
</file>