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47983" w14:textId="6E9E3E3E" w:rsidR="001D6AEA" w:rsidRPr="00570288" w:rsidRDefault="001D6AEA" w:rsidP="001D6AEA">
      <w:pPr>
        <w:spacing w:after="0" w:line="240" w:lineRule="auto"/>
        <w:rPr>
          <w:rFonts w:ascii="Times New Roman" w:hAnsi="Times New Roman" w:cs="Times New Roman"/>
          <w:b/>
          <w:color w:val="000000" w:themeColor="text1"/>
          <w:sz w:val="28"/>
          <w:szCs w:val="28"/>
        </w:rPr>
      </w:pPr>
      <w:r w:rsidRPr="00570288">
        <w:rPr>
          <w:rFonts w:ascii="Times New Roman" w:hAnsi="Times New Roman" w:cs="Times New Roman"/>
          <w:b/>
          <w:color w:val="000000" w:themeColor="text1"/>
          <w:sz w:val="28"/>
          <w:szCs w:val="28"/>
        </w:rPr>
        <w:t xml:space="preserve">Summaries for </w:t>
      </w:r>
      <w:r w:rsidR="001C7690" w:rsidRPr="00570288">
        <w:rPr>
          <w:rFonts w:ascii="Times New Roman" w:hAnsi="Times New Roman" w:cs="Times New Roman"/>
          <w:b/>
          <w:color w:val="000000" w:themeColor="text1"/>
          <w:sz w:val="28"/>
          <w:szCs w:val="28"/>
        </w:rPr>
        <w:t xml:space="preserve">Box </w:t>
      </w:r>
      <w:r w:rsidR="004F6EA2" w:rsidRPr="00570288">
        <w:rPr>
          <w:rFonts w:ascii="Times New Roman" w:hAnsi="Times New Roman" w:cs="Times New Roman"/>
          <w:b/>
          <w:color w:val="000000" w:themeColor="text1"/>
          <w:sz w:val="28"/>
          <w:szCs w:val="28"/>
        </w:rPr>
        <w:t>3</w:t>
      </w:r>
      <w:r w:rsidR="001C7690" w:rsidRPr="00570288">
        <w:rPr>
          <w:rFonts w:ascii="Times New Roman" w:hAnsi="Times New Roman" w:cs="Times New Roman"/>
          <w:b/>
          <w:color w:val="000000" w:themeColor="text1"/>
          <w:sz w:val="28"/>
          <w:szCs w:val="28"/>
        </w:rPr>
        <w:t>_</w:t>
      </w:r>
      <w:r w:rsidR="003D60E8" w:rsidRPr="00570288">
        <w:rPr>
          <w:rFonts w:ascii="Times New Roman" w:hAnsi="Times New Roman" w:cs="Times New Roman"/>
          <w:b/>
          <w:color w:val="000000" w:themeColor="text1"/>
          <w:sz w:val="28"/>
          <w:szCs w:val="28"/>
        </w:rPr>
        <w:t xml:space="preserve">HPV </w:t>
      </w:r>
      <w:r w:rsidRPr="00570288">
        <w:rPr>
          <w:rFonts w:ascii="Times New Roman" w:hAnsi="Times New Roman" w:cs="Times New Roman"/>
          <w:b/>
          <w:color w:val="000000" w:themeColor="text1"/>
          <w:sz w:val="28"/>
          <w:szCs w:val="28"/>
        </w:rPr>
        <w:t>Tables 1-</w:t>
      </w:r>
      <w:r w:rsidR="003D60E8" w:rsidRPr="00570288">
        <w:rPr>
          <w:rFonts w:ascii="Times New Roman" w:hAnsi="Times New Roman" w:cs="Times New Roman"/>
          <w:b/>
          <w:color w:val="000000" w:themeColor="text1"/>
          <w:sz w:val="28"/>
          <w:szCs w:val="28"/>
        </w:rPr>
        <w:t>2</w:t>
      </w:r>
    </w:p>
    <w:p w14:paraId="2465890B" w14:textId="4847A5ED" w:rsidR="00960C22" w:rsidRPr="00570288" w:rsidRDefault="00960C22" w:rsidP="001D6AEA">
      <w:pPr>
        <w:spacing w:after="0" w:line="240" w:lineRule="auto"/>
        <w:rPr>
          <w:rFonts w:ascii="Times New Roman" w:hAnsi="Times New Roman" w:cs="Times New Roman"/>
          <w:b/>
          <w:color w:val="000000" w:themeColor="text1"/>
          <w:sz w:val="28"/>
          <w:szCs w:val="28"/>
        </w:rPr>
      </w:pPr>
    </w:p>
    <w:p w14:paraId="7FB5542E" w14:textId="066AFF16" w:rsidR="00960C22" w:rsidRPr="00570288" w:rsidRDefault="003D60E8" w:rsidP="006976BE">
      <w:pPr>
        <w:spacing w:after="0" w:line="240" w:lineRule="auto"/>
        <w:rPr>
          <w:rFonts w:ascii="Times New Roman" w:hAnsi="Times New Roman" w:cs="Times New Roman"/>
          <w:b/>
          <w:color w:val="000000" w:themeColor="text1"/>
          <w:sz w:val="24"/>
          <w:szCs w:val="24"/>
        </w:rPr>
      </w:pPr>
      <w:r w:rsidRPr="00570288">
        <w:rPr>
          <w:rFonts w:ascii="Times New Roman" w:hAnsi="Times New Roman" w:cs="Times New Roman"/>
          <w:b/>
          <w:color w:val="000000" w:themeColor="text1"/>
          <w:sz w:val="24"/>
          <w:szCs w:val="24"/>
        </w:rPr>
        <w:t>BOX 3_HPV /TABLE 1. Age at first dose of human papillomavirus (HPV) vaccination* and difference between age at interview</w:t>
      </w:r>
      <w:r w:rsidRPr="00570288">
        <w:rPr>
          <w:rFonts w:ascii="Times New Roman" w:hAnsi="Times New Roman" w:cs="Times New Roman"/>
          <w:b/>
          <w:color w:val="000000" w:themeColor="text1"/>
          <w:sz w:val="24"/>
          <w:szCs w:val="24"/>
          <w:vertAlign w:val="superscript"/>
        </w:rPr>
        <w:t>†</w:t>
      </w:r>
      <w:r w:rsidRPr="00570288">
        <w:rPr>
          <w:rFonts w:ascii="Times New Roman" w:hAnsi="Times New Roman" w:cs="Times New Roman"/>
          <w:b/>
          <w:color w:val="000000" w:themeColor="text1"/>
          <w:sz w:val="24"/>
          <w:szCs w:val="24"/>
        </w:rPr>
        <w:t xml:space="preserve"> among adults aged 19–26 years — National Health Interview Survey, United States, 2017</w:t>
      </w:r>
    </w:p>
    <w:p w14:paraId="667F5C74" w14:textId="4B42F3BA" w:rsidR="00960C22" w:rsidRPr="00570288" w:rsidRDefault="00960C22" w:rsidP="001D6AEA">
      <w:pPr>
        <w:spacing w:after="0" w:line="240" w:lineRule="auto"/>
        <w:rPr>
          <w:rFonts w:ascii="Times New Roman" w:hAnsi="Times New Roman" w:cs="Times New Roman"/>
          <w:b/>
          <w:color w:val="000000" w:themeColor="text1"/>
          <w:sz w:val="24"/>
          <w:szCs w:val="24"/>
        </w:rPr>
      </w:pPr>
    </w:p>
    <w:p w14:paraId="1B37AB7F" w14:textId="21733E54" w:rsidR="00960C22" w:rsidRPr="00CE39AF" w:rsidRDefault="003D60E8" w:rsidP="003D60E8">
      <w:pPr>
        <w:rPr>
          <w:rFonts w:ascii="Times New Roman" w:hAnsi="Times New Roman" w:cs="Times New Roman"/>
          <w:color w:val="000000" w:themeColor="text1"/>
          <w:sz w:val="24"/>
          <w:szCs w:val="24"/>
        </w:rPr>
      </w:pPr>
      <w:r w:rsidRPr="00CE39AF">
        <w:rPr>
          <w:rFonts w:ascii="Times New Roman" w:hAnsi="Times New Roman" w:cs="Times New Roman"/>
          <w:color w:val="000000" w:themeColor="text1"/>
          <w:sz w:val="24"/>
          <w:szCs w:val="24"/>
        </w:rPr>
        <w:t xml:space="preserve">Among </w:t>
      </w:r>
      <w:r w:rsidR="00DB11A4" w:rsidRPr="00CE39AF">
        <w:rPr>
          <w:rFonts w:ascii="Times New Roman" w:hAnsi="Times New Roman" w:cs="Times New Roman"/>
          <w:color w:val="000000" w:themeColor="text1"/>
          <w:sz w:val="24"/>
          <w:szCs w:val="24"/>
        </w:rPr>
        <w:t xml:space="preserve">females </w:t>
      </w:r>
      <w:r w:rsidRPr="00CE39AF">
        <w:rPr>
          <w:rFonts w:ascii="Times New Roman" w:hAnsi="Times New Roman" w:cs="Times New Roman"/>
          <w:color w:val="000000" w:themeColor="text1"/>
          <w:sz w:val="24"/>
          <w:szCs w:val="24"/>
        </w:rPr>
        <w:t xml:space="preserve">aged 19–26 years, 2.7% reported receiving the first dose of HPV vaccine at age 8–10 years, 13.5% at age 11–12 years, 66.7% at age 13–17 years, 6.7% at age 18 years, and 10.4% at age 19–26 years. Among males aged 19–26 years, 8.3% reported receiving the first dose of HPV vaccine at age 8–10 years, 3.7% at age 11–12 years, 42.1% at age 13–17 years, 16.6% at age 18 years, and 29.3% at age 19–26 years. Among respondents aged 19–26 years, the difference between the age reported at the time of the interview and the age at which respondents indicated that the first dose of HPV vaccine was received was ≥13 years for 4.4% of </w:t>
      </w:r>
      <w:r w:rsidR="00DB11A4" w:rsidRPr="00CE39AF">
        <w:rPr>
          <w:rFonts w:ascii="Times New Roman" w:hAnsi="Times New Roman" w:cs="Times New Roman"/>
          <w:color w:val="000000" w:themeColor="text1"/>
          <w:sz w:val="24"/>
          <w:szCs w:val="24"/>
        </w:rPr>
        <w:t xml:space="preserve">females </w:t>
      </w:r>
      <w:r w:rsidRPr="00CE39AF">
        <w:rPr>
          <w:rFonts w:ascii="Times New Roman" w:hAnsi="Times New Roman" w:cs="Times New Roman"/>
          <w:color w:val="000000" w:themeColor="text1"/>
          <w:sz w:val="24"/>
          <w:szCs w:val="24"/>
        </w:rPr>
        <w:t>and for 3.6% of males. This would imply receipt of vaccination in 2004 or earlier, before HPV vaccine was licensed for use in 2006.</w:t>
      </w:r>
    </w:p>
    <w:p w14:paraId="3D4C6623" w14:textId="680F51C2" w:rsidR="004F6EA2" w:rsidRPr="00570288" w:rsidRDefault="004F6EA2" w:rsidP="001D6AEA">
      <w:pPr>
        <w:spacing w:after="0" w:line="240" w:lineRule="auto"/>
        <w:rPr>
          <w:rFonts w:ascii="Times New Roman" w:hAnsi="Times New Roman" w:cs="Times New Roman"/>
          <w:b/>
          <w:color w:val="000000" w:themeColor="text1"/>
          <w:sz w:val="24"/>
          <w:szCs w:val="24"/>
        </w:rPr>
      </w:pPr>
    </w:p>
    <w:p w14:paraId="7CC3F8B9" w14:textId="3BEDE3D7" w:rsidR="004F6EA2" w:rsidRPr="00570288" w:rsidRDefault="003D60E8" w:rsidP="001D6AEA">
      <w:pPr>
        <w:spacing w:after="0" w:line="240" w:lineRule="auto"/>
        <w:rPr>
          <w:rFonts w:ascii="Times New Roman" w:hAnsi="Times New Roman" w:cs="Times New Roman"/>
          <w:b/>
          <w:color w:val="000000" w:themeColor="text1"/>
          <w:sz w:val="24"/>
          <w:szCs w:val="24"/>
        </w:rPr>
      </w:pPr>
      <w:r w:rsidRPr="00570288">
        <w:rPr>
          <w:rFonts w:ascii="Times New Roman" w:hAnsi="Times New Roman" w:cs="Times New Roman"/>
          <w:b/>
          <w:color w:val="000000" w:themeColor="text1"/>
          <w:sz w:val="24"/>
          <w:szCs w:val="24"/>
        </w:rPr>
        <w:t>BOX 3 _HPV /TABLE 2. Estimated proportion of adults ≥19 years who received HPV vaccination, by age group, sex, and race/ethnicity* — National Health Interview Survey, United States, 2017</w:t>
      </w:r>
    </w:p>
    <w:p w14:paraId="45969397" w14:textId="77777777" w:rsidR="001D6AEA" w:rsidRPr="00570288" w:rsidRDefault="001D6AEA" w:rsidP="001D6AEA">
      <w:pPr>
        <w:spacing w:after="0" w:line="240" w:lineRule="auto"/>
        <w:rPr>
          <w:rFonts w:ascii="Times New Roman" w:hAnsi="Times New Roman" w:cs="Times New Roman"/>
          <w:color w:val="000000" w:themeColor="text1"/>
          <w:sz w:val="24"/>
          <w:szCs w:val="24"/>
        </w:rPr>
      </w:pPr>
    </w:p>
    <w:p w14:paraId="5F047BC3" w14:textId="7D0EC828" w:rsidR="003D60E8" w:rsidRPr="00570288" w:rsidRDefault="003D60E8" w:rsidP="003D60E8">
      <w:pPr>
        <w:rPr>
          <w:rFonts w:ascii="Times New Roman" w:hAnsi="Times New Roman" w:cs="Times New Roman"/>
          <w:bCs/>
          <w:color w:val="000000" w:themeColor="text1"/>
          <w:sz w:val="24"/>
          <w:szCs w:val="24"/>
        </w:rPr>
      </w:pPr>
      <w:r w:rsidRPr="00570288">
        <w:rPr>
          <w:rFonts w:ascii="Times New Roman" w:hAnsi="Times New Roman" w:cs="Times New Roman"/>
          <w:bCs/>
          <w:color w:val="000000" w:themeColor="text1"/>
          <w:sz w:val="24"/>
          <w:szCs w:val="24"/>
        </w:rPr>
        <w:t xml:space="preserve">In 2017, among females 19-26 years, 51.5% reported receipt of at least one dose of </w:t>
      </w:r>
      <w:r w:rsidR="00675FB5" w:rsidRPr="00570288">
        <w:rPr>
          <w:rFonts w:ascii="Times New Roman" w:hAnsi="Times New Roman" w:cs="Times New Roman"/>
          <w:color w:val="000000" w:themeColor="text1"/>
          <w:sz w:val="24"/>
          <w:szCs w:val="24"/>
        </w:rPr>
        <w:t xml:space="preserve">human papillomavirus (HPV) </w:t>
      </w:r>
      <w:r w:rsidRPr="00570288">
        <w:rPr>
          <w:rFonts w:ascii="Times New Roman" w:hAnsi="Times New Roman" w:cs="Times New Roman"/>
          <w:bCs/>
          <w:color w:val="000000" w:themeColor="text1"/>
          <w:sz w:val="24"/>
          <w:szCs w:val="24"/>
        </w:rPr>
        <w:t>vaccine,</w:t>
      </w:r>
      <w:r w:rsidRPr="00570288">
        <w:rPr>
          <w:rFonts w:ascii="Times New Roman" w:hAnsi="Times New Roman" w:cs="Times New Roman"/>
          <w:color w:val="000000" w:themeColor="text1"/>
          <w:sz w:val="24"/>
          <w:szCs w:val="24"/>
        </w:rPr>
        <w:t xml:space="preserve"> </w:t>
      </w:r>
      <w:r w:rsidRPr="00570288">
        <w:rPr>
          <w:rFonts w:ascii="Times New Roman" w:hAnsi="Times New Roman" w:cs="Times New Roman"/>
          <w:bCs/>
          <w:color w:val="000000" w:themeColor="text1"/>
          <w:sz w:val="24"/>
          <w:szCs w:val="24"/>
        </w:rPr>
        <w:t xml:space="preserve">similar to the estimates for 2016. Hispanics (38.8%) had lower coverage compared with whites (57.4%). Among females 19-21 years, HPV vaccination coverage was 51.8%, similar to the estimate for 2016. Among females 22-26 years, HPV vaccination coverage was 51.3%, similar to the 2016 estimate. </w:t>
      </w:r>
    </w:p>
    <w:p w14:paraId="4A0CD05D" w14:textId="77777777" w:rsidR="003D60E8" w:rsidRPr="00570288" w:rsidRDefault="003D60E8" w:rsidP="003D60E8">
      <w:pPr>
        <w:rPr>
          <w:rFonts w:ascii="Times New Roman" w:hAnsi="Times New Roman" w:cs="Times New Roman"/>
          <w:bCs/>
          <w:color w:val="000000" w:themeColor="text1"/>
          <w:sz w:val="24"/>
          <w:szCs w:val="24"/>
        </w:rPr>
      </w:pPr>
      <w:r w:rsidRPr="00570288">
        <w:rPr>
          <w:rFonts w:ascii="Times New Roman" w:hAnsi="Times New Roman" w:cs="Times New Roman"/>
          <w:bCs/>
          <w:color w:val="000000" w:themeColor="text1"/>
          <w:sz w:val="24"/>
          <w:szCs w:val="24"/>
        </w:rPr>
        <w:t xml:space="preserve">Among males 19-26 years, 19-21 years and 22-26 years, HPV vaccination coverage (at least one doses) was 21.2%, 33.7% and 15.1%, increases of 7.6, 12.4 and 5.9 percentage points, respectively. </w:t>
      </w:r>
    </w:p>
    <w:p w14:paraId="68A26888" w14:textId="6A63510F" w:rsidR="003D60E8" w:rsidRDefault="003D60E8" w:rsidP="003D60E8">
      <w:pPr>
        <w:rPr>
          <w:rFonts w:ascii="Times New Roman" w:hAnsi="Times New Roman" w:cs="Times New Roman"/>
          <w:bCs/>
          <w:sz w:val="24"/>
          <w:szCs w:val="24"/>
        </w:rPr>
      </w:pPr>
      <w:r w:rsidRPr="00570288">
        <w:rPr>
          <w:rFonts w:ascii="Times New Roman" w:hAnsi="Times New Roman" w:cs="Times New Roman"/>
          <w:bCs/>
          <w:color w:val="000000" w:themeColor="text1"/>
          <w:sz w:val="24"/>
          <w:szCs w:val="24"/>
        </w:rPr>
        <w:t>HPV vaccination (at least one dose) among females 19-26 years who had not received HPV vaccination prior to age 19 years was 8.6%, similar to the estimate for 2016. Among males 19-26 years who had not received HPV vaccination prior to age 19 years, H</w:t>
      </w:r>
      <w:r w:rsidRPr="003D60E8">
        <w:rPr>
          <w:rFonts w:ascii="Times New Roman" w:hAnsi="Times New Roman" w:cs="Times New Roman"/>
          <w:bCs/>
          <w:sz w:val="24"/>
          <w:szCs w:val="24"/>
        </w:rPr>
        <w:t>PV vaccination was 5.8%, a 3.1 percentage points increase compared with the estimate reported for 2016.</w:t>
      </w:r>
      <w:r w:rsidRPr="003D60E8" w:rsidDel="00576380">
        <w:rPr>
          <w:rFonts w:ascii="Times New Roman" w:hAnsi="Times New Roman" w:cs="Times New Roman"/>
          <w:bCs/>
          <w:sz w:val="24"/>
          <w:szCs w:val="24"/>
        </w:rPr>
        <w:t xml:space="preserve"> </w:t>
      </w:r>
    </w:p>
    <w:p w14:paraId="7F29A7B4" w14:textId="362699AD" w:rsidR="003D60E8" w:rsidRDefault="003D60E8" w:rsidP="003D60E8">
      <w:pPr>
        <w:rPr>
          <w:rFonts w:ascii="Times New Roman" w:hAnsi="Times New Roman" w:cs="Times New Roman"/>
          <w:bCs/>
          <w:sz w:val="24"/>
          <w:szCs w:val="24"/>
        </w:rPr>
      </w:pPr>
    </w:p>
    <w:p w14:paraId="01E25A91" w14:textId="595327C7" w:rsidR="003D60E8" w:rsidRDefault="003D60E8" w:rsidP="003D60E8">
      <w:pPr>
        <w:rPr>
          <w:rFonts w:ascii="Times New Roman" w:hAnsi="Times New Roman" w:cs="Times New Roman"/>
          <w:bCs/>
          <w:sz w:val="24"/>
          <w:szCs w:val="24"/>
        </w:rPr>
      </w:pPr>
    </w:p>
    <w:p w14:paraId="6629E85D" w14:textId="01579DDB" w:rsidR="003D60E8" w:rsidRDefault="003D60E8" w:rsidP="003D60E8">
      <w:pPr>
        <w:rPr>
          <w:rFonts w:ascii="Times New Roman" w:hAnsi="Times New Roman" w:cs="Times New Roman"/>
          <w:bCs/>
          <w:sz w:val="24"/>
          <w:szCs w:val="24"/>
        </w:rPr>
      </w:pPr>
    </w:p>
    <w:p w14:paraId="194F9E5F" w14:textId="65F61C99" w:rsidR="003D60E8" w:rsidRDefault="003D60E8" w:rsidP="003D60E8">
      <w:pPr>
        <w:rPr>
          <w:rFonts w:ascii="Times New Roman" w:hAnsi="Times New Roman" w:cs="Times New Roman"/>
          <w:bCs/>
          <w:sz w:val="24"/>
          <w:szCs w:val="24"/>
        </w:rPr>
      </w:pPr>
    </w:p>
    <w:p w14:paraId="2DB400C2" w14:textId="7E972B4E" w:rsidR="003D60E8" w:rsidRDefault="003D60E8" w:rsidP="003D60E8">
      <w:pPr>
        <w:rPr>
          <w:rFonts w:ascii="Times New Roman" w:hAnsi="Times New Roman" w:cs="Times New Roman"/>
          <w:bCs/>
          <w:sz w:val="24"/>
          <w:szCs w:val="24"/>
        </w:rPr>
      </w:pPr>
    </w:p>
    <w:p w14:paraId="08654CC5" w14:textId="4D69C338" w:rsidR="003D60E8" w:rsidRDefault="003D60E8" w:rsidP="003D60E8">
      <w:pPr>
        <w:rPr>
          <w:rFonts w:ascii="Times New Roman" w:hAnsi="Times New Roman" w:cs="Times New Roman"/>
          <w:bCs/>
          <w:sz w:val="24"/>
          <w:szCs w:val="24"/>
        </w:rPr>
      </w:pPr>
    </w:p>
    <w:p w14:paraId="6D732284" w14:textId="06DBE766" w:rsidR="003D60E8" w:rsidRDefault="003D60E8" w:rsidP="003D60E8">
      <w:pPr>
        <w:rPr>
          <w:rFonts w:ascii="Times New Roman" w:hAnsi="Times New Roman" w:cs="Times New Roman"/>
          <w:bCs/>
          <w:sz w:val="24"/>
          <w:szCs w:val="24"/>
        </w:rPr>
      </w:pPr>
    </w:p>
    <w:p w14:paraId="3D48F9F7" w14:textId="4210F7C1" w:rsidR="003D60E8" w:rsidRDefault="00962CC0" w:rsidP="003D60E8">
      <w:pPr>
        <w:rPr>
          <w:rFonts w:ascii="Times New Roman" w:hAnsi="Times New Roman" w:cs="Times New Roman"/>
          <w:b/>
          <w:color w:val="000000" w:themeColor="text1"/>
          <w:sz w:val="28"/>
          <w:szCs w:val="28"/>
        </w:rPr>
      </w:pPr>
      <w:r w:rsidRPr="008F760F">
        <w:rPr>
          <w:rFonts w:ascii="Times New Roman" w:hAnsi="Times New Roman" w:cs="Times New Roman"/>
          <w:b/>
          <w:color w:val="000000" w:themeColor="text1"/>
          <w:sz w:val="28"/>
          <w:szCs w:val="28"/>
        </w:rPr>
        <w:lastRenderedPageBreak/>
        <w:t xml:space="preserve">Summaries: Trend Table for </w:t>
      </w:r>
      <w:r w:rsidR="006D2BDC">
        <w:rPr>
          <w:rFonts w:ascii="Times New Roman" w:hAnsi="Times New Roman" w:cs="Times New Roman"/>
          <w:b/>
          <w:color w:val="000000" w:themeColor="text1"/>
          <w:sz w:val="28"/>
          <w:szCs w:val="28"/>
        </w:rPr>
        <w:t>Box 3_HPV</w:t>
      </w:r>
      <w:r w:rsidRPr="008F760F">
        <w:rPr>
          <w:rFonts w:ascii="Times New Roman" w:hAnsi="Times New Roman" w:cs="Times New Roman"/>
          <w:b/>
          <w:color w:val="000000" w:themeColor="text1"/>
          <w:sz w:val="28"/>
          <w:szCs w:val="28"/>
        </w:rPr>
        <w:t xml:space="preserve"> Figures </w:t>
      </w:r>
    </w:p>
    <w:p w14:paraId="6548C878" w14:textId="073870BC" w:rsidR="006D2BDC" w:rsidRDefault="00962CC0" w:rsidP="00962CC0">
      <w:pPr>
        <w:spacing w:after="0" w:line="240" w:lineRule="auto"/>
        <w:rPr>
          <w:rFonts w:ascii="Times New Roman" w:hAnsi="Times New Roman" w:cs="Times New Roman"/>
          <w:b/>
          <w:color w:val="000000" w:themeColor="text1"/>
          <w:sz w:val="24"/>
          <w:szCs w:val="24"/>
        </w:rPr>
      </w:pPr>
      <w:r w:rsidRPr="008156E2">
        <w:rPr>
          <w:rFonts w:ascii="Times New Roman" w:hAnsi="Times New Roman" w:cs="Times New Roman"/>
          <w:b/>
          <w:color w:val="000000" w:themeColor="text1"/>
          <w:sz w:val="24"/>
          <w:szCs w:val="24"/>
        </w:rPr>
        <w:t xml:space="preserve">Table </w:t>
      </w:r>
      <w:r w:rsidR="006D2BDC">
        <w:rPr>
          <w:rFonts w:ascii="Times New Roman" w:hAnsi="Times New Roman" w:cs="Times New Roman"/>
          <w:b/>
          <w:color w:val="000000" w:themeColor="text1"/>
          <w:sz w:val="24"/>
          <w:szCs w:val="24"/>
        </w:rPr>
        <w:t>1</w:t>
      </w:r>
      <w:r w:rsidRPr="008156E2">
        <w:rPr>
          <w:rFonts w:ascii="Times New Roman" w:hAnsi="Times New Roman" w:cs="Times New Roman"/>
          <w:b/>
          <w:color w:val="000000" w:themeColor="text1"/>
          <w:sz w:val="24"/>
          <w:szCs w:val="24"/>
        </w:rPr>
        <w:t xml:space="preserve"> - Trend. </w:t>
      </w:r>
      <w:r w:rsidR="006D2BDC" w:rsidRPr="006D2BDC">
        <w:rPr>
          <w:rFonts w:ascii="Times New Roman" w:hAnsi="Times New Roman" w:cs="Times New Roman"/>
          <w:b/>
          <w:color w:val="000000" w:themeColor="text1"/>
          <w:sz w:val="24"/>
          <w:szCs w:val="24"/>
        </w:rPr>
        <w:t>Estimated proportion of adults aged ≥19 years who received human papillomavirus (HPV)* vaccines, by age group — National Health Interview Survey, United States, 2010-2017</w:t>
      </w:r>
    </w:p>
    <w:p w14:paraId="73A58C38" w14:textId="77777777" w:rsidR="006D2BDC" w:rsidRDefault="006D2BDC" w:rsidP="00962CC0">
      <w:pPr>
        <w:spacing w:after="0" w:line="240" w:lineRule="auto"/>
        <w:rPr>
          <w:rFonts w:ascii="Times New Roman" w:hAnsi="Times New Roman" w:cs="Times New Roman"/>
          <w:b/>
          <w:color w:val="000000" w:themeColor="text1"/>
          <w:sz w:val="24"/>
          <w:szCs w:val="24"/>
        </w:rPr>
      </w:pPr>
    </w:p>
    <w:p w14:paraId="36F8AC4D" w14:textId="0CC40EB6" w:rsidR="00962CC0" w:rsidRPr="00CE39AF" w:rsidRDefault="00962CC0" w:rsidP="006D2BDC">
      <w:pPr>
        <w:rPr>
          <w:rFonts w:ascii="Times New Roman" w:hAnsi="Times New Roman" w:cs="Times New Roman"/>
          <w:color w:val="000000" w:themeColor="text1"/>
          <w:sz w:val="24"/>
          <w:szCs w:val="24"/>
        </w:rPr>
      </w:pPr>
      <w:r w:rsidRPr="008156E2">
        <w:rPr>
          <w:rFonts w:ascii="Times New Roman" w:hAnsi="Times New Roman" w:cs="Times New Roman"/>
          <w:color w:val="000000" w:themeColor="text1"/>
          <w:sz w:val="24"/>
          <w:szCs w:val="24"/>
        </w:rPr>
        <w:t xml:space="preserve">HPV vaccination among females and males aged 19-26 years are shown in trend table </w:t>
      </w:r>
      <w:r w:rsidR="006D2BDC">
        <w:rPr>
          <w:rFonts w:ascii="Times New Roman" w:hAnsi="Times New Roman" w:cs="Times New Roman"/>
          <w:color w:val="000000" w:themeColor="text1"/>
          <w:sz w:val="24"/>
          <w:szCs w:val="24"/>
        </w:rPr>
        <w:t>1</w:t>
      </w:r>
      <w:r w:rsidRPr="008156E2">
        <w:rPr>
          <w:rFonts w:ascii="Times New Roman" w:hAnsi="Times New Roman" w:cs="Times New Roman"/>
          <w:color w:val="000000" w:themeColor="text1"/>
          <w:sz w:val="24"/>
          <w:szCs w:val="24"/>
        </w:rPr>
        <w:t xml:space="preserve">. Linear trend tests indicated that vaccination coverage significantly increased for both vaccines during this period. </w:t>
      </w:r>
      <w:r w:rsidRPr="00CE39AF">
        <w:rPr>
          <w:rFonts w:ascii="Times New Roman" w:hAnsi="Times New Roman" w:cs="Times New Roman"/>
          <w:color w:val="000000" w:themeColor="text1"/>
          <w:sz w:val="24"/>
          <w:szCs w:val="24"/>
        </w:rPr>
        <w:t xml:space="preserve">HPV vaccination among females aged 19-26 years increased </w:t>
      </w:r>
      <w:r w:rsidR="000F6AAC" w:rsidRPr="00CE39AF">
        <w:rPr>
          <w:rFonts w:ascii="Times New Roman" w:hAnsi="Times New Roman" w:cs="Times New Roman"/>
          <w:color w:val="000000" w:themeColor="text1"/>
          <w:sz w:val="24"/>
          <w:szCs w:val="24"/>
        </w:rPr>
        <w:t xml:space="preserve">from 20.7% in </w:t>
      </w:r>
      <w:r w:rsidRPr="00CE39AF">
        <w:rPr>
          <w:rFonts w:ascii="Times New Roman" w:hAnsi="Times New Roman" w:cs="Times New Roman"/>
          <w:color w:val="000000" w:themeColor="text1"/>
          <w:sz w:val="24"/>
          <w:szCs w:val="24"/>
        </w:rPr>
        <w:t xml:space="preserve">2010 </w:t>
      </w:r>
      <w:r w:rsidR="000F6AAC" w:rsidRPr="00CE39AF">
        <w:rPr>
          <w:rFonts w:ascii="Times New Roman" w:hAnsi="Times New Roman" w:cs="Times New Roman"/>
          <w:color w:val="000000" w:themeColor="text1"/>
          <w:sz w:val="24"/>
          <w:szCs w:val="24"/>
        </w:rPr>
        <w:t xml:space="preserve">to 51.5% in </w:t>
      </w:r>
      <w:r w:rsidRPr="00CE39AF">
        <w:rPr>
          <w:rFonts w:ascii="Times New Roman" w:hAnsi="Times New Roman" w:cs="Times New Roman"/>
          <w:color w:val="000000" w:themeColor="text1"/>
          <w:sz w:val="24"/>
          <w:szCs w:val="24"/>
        </w:rPr>
        <w:t>2017 (p &lt; 0.01</w:t>
      </w:r>
      <w:r w:rsidR="0032267F" w:rsidRPr="00CE39AF">
        <w:rPr>
          <w:rFonts w:ascii="Times New Roman" w:hAnsi="Times New Roman" w:cs="Times New Roman"/>
          <w:color w:val="000000" w:themeColor="text1"/>
          <w:sz w:val="24"/>
          <w:szCs w:val="24"/>
        </w:rPr>
        <w:t xml:space="preserve"> </w:t>
      </w:r>
      <w:r w:rsidR="0037356B" w:rsidRPr="00CE39AF">
        <w:rPr>
          <w:rFonts w:ascii="Times New Roman" w:hAnsi="Times New Roman" w:cs="Times New Roman"/>
          <w:color w:val="000000" w:themeColor="text1"/>
          <w:sz w:val="24"/>
          <w:szCs w:val="24"/>
        </w:rPr>
        <w:t>[</w:t>
      </w:r>
      <w:r w:rsidR="003F28C1" w:rsidRPr="00CE39AF">
        <w:rPr>
          <w:rFonts w:ascii="Times New Roman" w:hAnsi="Times New Roman" w:cs="Times New Roman"/>
          <w:color w:val="000000" w:themeColor="text1"/>
          <w:sz w:val="24"/>
          <w:szCs w:val="24"/>
        </w:rPr>
        <w:t>average annual percentage points increase = 4.1</w:t>
      </w:r>
      <w:r w:rsidR="0037356B" w:rsidRPr="00CE39AF">
        <w:rPr>
          <w:rFonts w:ascii="Times New Roman" w:hAnsi="Times New Roman" w:cs="Times New Roman"/>
          <w:color w:val="000000" w:themeColor="text1"/>
          <w:sz w:val="24"/>
          <w:szCs w:val="24"/>
        </w:rPr>
        <w:t>]</w:t>
      </w:r>
      <w:r w:rsidRPr="00CE39AF">
        <w:rPr>
          <w:rFonts w:ascii="Times New Roman" w:hAnsi="Times New Roman" w:cs="Times New Roman"/>
          <w:color w:val="000000" w:themeColor="text1"/>
          <w:sz w:val="24"/>
          <w:szCs w:val="24"/>
        </w:rPr>
        <w:t xml:space="preserve">). HPV vaccination among males aged 19-26 years increased from </w:t>
      </w:r>
      <w:r w:rsidR="000F6AAC" w:rsidRPr="00CE39AF">
        <w:rPr>
          <w:rFonts w:ascii="Times New Roman" w:hAnsi="Times New Roman" w:cs="Times New Roman"/>
          <w:color w:val="000000" w:themeColor="text1"/>
          <w:sz w:val="24"/>
          <w:szCs w:val="24"/>
        </w:rPr>
        <w:t xml:space="preserve">2.1% in </w:t>
      </w:r>
      <w:r w:rsidRPr="00CE39AF">
        <w:rPr>
          <w:rFonts w:ascii="Times New Roman" w:hAnsi="Times New Roman" w:cs="Times New Roman"/>
          <w:color w:val="000000" w:themeColor="text1"/>
          <w:sz w:val="24"/>
          <w:szCs w:val="24"/>
        </w:rPr>
        <w:t xml:space="preserve">2011 </w:t>
      </w:r>
      <w:r w:rsidR="000F6AAC" w:rsidRPr="00CE39AF">
        <w:rPr>
          <w:rFonts w:ascii="Times New Roman" w:hAnsi="Times New Roman" w:cs="Times New Roman"/>
          <w:color w:val="000000" w:themeColor="text1"/>
          <w:sz w:val="24"/>
          <w:szCs w:val="24"/>
        </w:rPr>
        <w:t xml:space="preserve">to 21.2% in  </w:t>
      </w:r>
      <w:r w:rsidRPr="00CE39AF">
        <w:rPr>
          <w:rFonts w:ascii="Times New Roman" w:hAnsi="Times New Roman" w:cs="Times New Roman"/>
          <w:color w:val="000000" w:themeColor="text1"/>
          <w:sz w:val="24"/>
          <w:szCs w:val="24"/>
        </w:rPr>
        <w:t>2017 (p &lt; 0.01</w:t>
      </w:r>
      <w:r w:rsidR="00D64DFF" w:rsidRPr="00CE39AF">
        <w:rPr>
          <w:rFonts w:ascii="Times New Roman" w:hAnsi="Times New Roman" w:cs="Times New Roman"/>
          <w:color w:val="000000" w:themeColor="text1"/>
          <w:sz w:val="24"/>
          <w:szCs w:val="24"/>
        </w:rPr>
        <w:t xml:space="preserve"> [average annual percentage point increase = 2.5]</w:t>
      </w:r>
      <w:r w:rsidRPr="00CE39AF">
        <w:rPr>
          <w:rFonts w:ascii="Times New Roman" w:hAnsi="Times New Roman" w:cs="Times New Roman"/>
          <w:color w:val="000000" w:themeColor="text1"/>
          <w:sz w:val="24"/>
          <w:szCs w:val="24"/>
        </w:rPr>
        <w:t xml:space="preserve">); the vaccination coverage estimate for 2010 was suppressed due to relative standard error &gt; 30%. </w:t>
      </w:r>
    </w:p>
    <w:p w14:paraId="0B05FF6B" w14:textId="719BA968" w:rsidR="00962CC0" w:rsidRPr="00CE39AF" w:rsidRDefault="00962CC0" w:rsidP="003D60E8">
      <w:pPr>
        <w:rPr>
          <w:rFonts w:ascii="Times New Roman" w:hAnsi="Times New Roman" w:cs="Times New Roman"/>
          <w:bCs/>
          <w:color w:val="000000" w:themeColor="text1"/>
          <w:sz w:val="24"/>
          <w:szCs w:val="24"/>
        </w:rPr>
      </w:pPr>
    </w:p>
    <w:p w14:paraId="7BBEF775" w14:textId="4178ADC1" w:rsidR="00962CC0" w:rsidRDefault="00962CC0" w:rsidP="003D60E8">
      <w:pPr>
        <w:rPr>
          <w:rFonts w:ascii="Times New Roman" w:hAnsi="Times New Roman" w:cs="Times New Roman"/>
          <w:bCs/>
          <w:sz w:val="24"/>
          <w:szCs w:val="24"/>
        </w:rPr>
      </w:pPr>
    </w:p>
    <w:p w14:paraId="4DAEA2FF" w14:textId="4BBAD3B4" w:rsidR="00962CC0" w:rsidRDefault="00962CC0" w:rsidP="003D60E8">
      <w:pPr>
        <w:rPr>
          <w:rFonts w:ascii="Times New Roman" w:hAnsi="Times New Roman" w:cs="Times New Roman"/>
          <w:bCs/>
          <w:sz w:val="24"/>
          <w:szCs w:val="24"/>
        </w:rPr>
      </w:pPr>
    </w:p>
    <w:p w14:paraId="04B3F6E7" w14:textId="094D55ED" w:rsidR="00962CC0" w:rsidRDefault="00962CC0" w:rsidP="003D60E8">
      <w:pPr>
        <w:rPr>
          <w:rFonts w:ascii="Times New Roman" w:hAnsi="Times New Roman" w:cs="Times New Roman"/>
          <w:b/>
          <w:color w:val="000000" w:themeColor="text1"/>
          <w:sz w:val="28"/>
          <w:szCs w:val="28"/>
        </w:rPr>
      </w:pPr>
      <w:r w:rsidRPr="008F760F">
        <w:rPr>
          <w:rFonts w:ascii="Times New Roman" w:hAnsi="Times New Roman" w:cs="Times New Roman"/>
          <w:b/>
          <w:color w:val="000000" w:themeColor="text1"/>
          <w:sz w:val="28"/>
          <w:szCs w:val="28"/>
        </w:rPr>
        <w:t xml:space="preserve">Summaries for </w:t>
      </w:r>
      <w:r w:rsidR="001404AD">
        <w:rPr>
          <w:rFonts w:ascii="Times New Roman" w:hAnsi="Times New Roman" w:cs="Times New Roman"/>
          <w:b/>
          <w:color w:val="000000" w:themeColor="text1"/>
          <w:sz w:val="28"/>
          <w:szCs w:val="28"/>
        </w:rPr>
        <w:t>Box3_HPV/Figure</w:t>
      </w:r>
    </w:p>
    <w:p w14:paraId="2CDA747B" w14:textId="0F08F967" w:rsidR="00962CC0" w:rsidRPr="008F760F" w:rsidRDefault="006D2BDC" w:rsidP="00962CC0">
      <w:pPr>
        <w:spacing w:after="0" w:line="240" w:lineRule="auto"/>
        <w:rPr>
          <w:rFonts w:ascii="Times New Roman" w:hAnsi="Times New Roman" w:cs="Times New Roman"/>
          <w:b/>
          <w:color w:val="000000" w:themeColor="text1"/>
          <w:sz w:val="24"/>
          <w:szCs w:val="24"/>
        </w:rPr>
      </w:pPr>
      <w:r w:rsidRPr="006D2BDC">
        <w:rPr>
          <w:rFonts w:ascii="Times New Roman" w:hAnsi="Times New Roman" w:cs="Times New Roman"/>
          <w:b/>
          <w:color w:val="000000" w:themeColor="text1"/>
          <w:sz w:val="24"/>
          <w:szCs w:val="24"/>
        </w:rPr>
        <w:t>BOX 3 _HPV / FIGURE. Estimated proportion of adults aged ≥19 years who received human papillomavirus (HPV)* vaccines, by age group — National Health Interview Survey, United States, 2010-2017</w:t>
      </w:r>
    </w:p>
    <w:p w14:paraId="53B35FB6" w14:textId="77777777" w:rsidR="00962CC0" w:rsidRPr="008F760F" w:rsidRDefault="00962CC0" w:rsidP="00962CC0">
      <w:pPr>
        <w:spacing w:after="0" w:line="240" w:lineRule="auto"/>
        <w:rPr>
          <w:rFonts w:ascii="Times New Roman" w:hAnsi="Times New Roman" w:cs="Times New Roman"/>
          <w:b/>
          <w:color w:val="000000" w:themeColor="text1"/>
          <w:sz w:val="24"/>
          <w:szCs w:val="24"/>
        </w:rPr>
      </w:pPr>
    </w:p>
    <w:p w14:paraId="71C4F4C7" w14:textId="5763B7A3" w:rsidR="00962CC0" w:rsidRPr="008156E2" w:rsidRDefault="006D2BDC" w:rsidP="00675FB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Box 3_HPV Figure</w:t>
      </w:r>
      <w:r w:rsidR="00962CC0" w:rsidRPr="008156E2">
        <w:rPr>
          <w:rFonts w:ascii="Times New Roman" w:hAnsi="Times New Roman" w:cs="Times New Roman"/>
          <w:color w:val="000000" w:themeColor="text1"/>
          <w:sz w:val="24"/>
          <w:szCs w:val="24"/>
        </w:rPr>
        <w:t xml:space="preserve"> is a line graph of HPV vaccination coverage among adults aged ≥19 years by age group over time, where the y-axis represents vaccination coverage expressed as a percentage, and the x-axis is the survey year. There are </w:t>
      </w:r>
      <w:r>
        <w:rPr>
          <w:rFonts w:ascii="Times New Roman" w:hAnsi="Times New Roman" w:cs="Times New Roman"/>
          <w:color w:val="000000" w:themeColor="text1"/>
          <w:sz w:val="24"/>
          <w:szCs w:val="24"/>
        </w:rPr>
        <w:t>2</w:t>
      </w:r>
      <w:r w:rsidR="00962CC0" w:rsidRPr="008156E2">
        <w:rPr>
          <w:rFonts w:ascii="Times New Roman" w:hAnsi="Times New Roman" w:cs="Times New Roman"/>
          <w:color w:val="000000" w:themeColor="text1"/>
          <w:sz w:val="24"/>
          <w:szCs w:val="24"/>
        </w:rPr>
        <w:t xml:space="preserve"> lines representing HPV vaccination coverage among females aged 19-26 years, and HPV vaccination coverage among males aged 19-26 years. HPV vaccination among males includes data years 2011 through 2017, as the estimate in 2010 was suppressed due to relative standard error &gt; 30%.</w:t>
      </w:r>
    </w:p>
    <w:p w14:paraId="1CC9F613" w14:textId="52D8B5B3" w:rsidR="00962CC0" w:rsidRPr="008156E2" w:rsidRDefault="00962CC0" w:rsidP="00675FB5">
      <w:pPr>
        <w:rPr>
          <w:rFonts w:ascii="Times New Roman" w:hAnsi="Times New Roman" w:cs="Times New Roman"/>
          <w:color w:val="000000" w:themeColor="text1"/>
          <w:sz w:val="24"/>
          <w:szCs w:val="24"/>
        </w:rPr>
      </w:pPr>
      <w:r w:rsidRPr="008156E2">
        <w:rPr>
          <w:rFonts w:ascii="Times New Roman" w:hAnsi="Times New Roman" w:cs="Times New Roman"/>
          <w:color w:val="000000" w:themeColor="text1"/>
          <w:sz w:val="24"/>
          <w:szCs w:val="24"/>
        </w:rPr>
        <w:t>Lines are described in order from top (highest coverage) to bottom (lowest coverage) of the figure.</w:t>
      </w:r>
    </w:p>
    <w:p w14:paraId="2A9C6CA4" w14:textId="3193BF7E" w:rsidR="00962CC0" w:rsidRPr="008156E2" w:rsidRDefault="00962CC0" w:rsidP="00675FB5">
      <w:pPr>
        <w:rPr>
          <w:rFonts w:ascii="Times New Roman" w:hAnsi="Times New Roman" w:cs="Times New Roman"/>
          <w:color w:val="000000" w:themeColor="text1"/>
          <w:sz w:val="24"/>
          <w:szCs w:val="24"/>
        </w:rPr>
      </w:pPr>
      <w:r w:rsidRPr="008156E2">
        <w:rPr>
          <w:rFonts w:ascii="Times New Roman" w:hAnsi="Times New Roman" w:cs="Times New Roman"/>
          <w:color w:val="000000" w:themeColor="text1"/>
          <w:sz w:val="24"/>
          <w:szCs w:val="24"/>
        </w:rPr>
        <w:t xml:space="preserve">HPV vaccination coverage among females aged 19-26 years was 20.7% in 2010, 29.5% in 2011, 34.5% in 2012, 36.9% in 2013, 40.2% in 2014, 41.6% in 2015, 48.5% in 2016, and 51.5% in 2017. </w:t>
      </w:r>
    </w:p>
    <w:p w14:paraId="4E009B38" w14:textId="2B0A1A62" w:rsidR="00962CC0" w:rsidRPr="008156E2" w:rsidRDefault="00962CC0" w:rsidP="00675FB5">
      <w:pPr>
        <w:rPr>
          <w:rFonts w:ascii="Times New Roman" w:hAnsi="Times New Roman" w:cs="Times New Roman"/>
          <w:color w:val="000000" w:themeColor="text1"/>
          <w:sz w:val="24"/>
          <w:szCs w:val="24"/>
        </w:rPr>
      </w:pPr>
      <w:r w:rsidRPr="008156E2">
        <w:rPr>
          <w:rFonts w:ascii="Times New Roman" w:hAnsi="Times New Roman" w:cs="Times New Roman"/>
          <w:color w:val="000000" w:themeColor="text1"/>
          <w:sz w:val="24"/>
          <w:szCs w:val="24"/>
        </w:rPr>
        <w:t>HPV vaccination coverage among males aged 19-26 years was 2.1% in 2011, 2.3% in 2012, 5.9% in 2013, 8.2% in 2014, 10.1% in 2015, 13.5% in 2016, and 21.2% in 2017.</w:t>
      </w:r>
    </w:p>
    <w:p w14:paraId="380BF5CF" w14:textId="3DA2FA8B" w:rsidR="00962CC0" w:rsidRPr="003D60E8" w:rsidRDefault="00962CC0" w:rsidP="003D60E8">
      <w:pPr>
        <w:rPr>
          <w:rFonts w:ascii="Times New Roman" w:hAnsi="Times New Roman" w:cs="Times New Roman"/>
          <w:bCs/>
          <w:sz w:val="24"/>
          <w:szCs w:val="24"/>
        </w:rPr>
      </w:pPr>
    </w:p>
    <w:p w14:paraId="108730B4" w14:textId="4D297458" w:rsidR="001D6AEA" w:rsidRPr="003D60E8" w:rsidRDefault="001D6AEA" w:rsidP="003D60E8">
      <w:pPr>
        <w:rPr>
          <w:rFonts w:ascii="Times New Roman" w:hAnsi="Times New Roman" w:cs="Times New Roman"/>
          <w:color w:val="000000" w:themeColor="text1"/>
          <w:sz w:val="24"/>
          <w:szCs w:val="24"/>
        </w:rPr>
      </w:pPr>
    </w:p>
    <w:p w14:paraId="2E37D57C" w14:textId="77777777" w:rsidR="00D42D03" w:rsidRDefault="00D42D03" w:rsidP="004F6EA2">
      <w:pPr>
        <w:rPr>
          <w:rFonts w:ascii="Times New Roman" w:hAnsi="Times New Roman" w:cs="Times New Roman"/>
          <w:color w:val="000000" w:themeColor="text1"/>
          <w:sz w:val="24"/>
          <w:szCs w:val="24"/>
        </w:rPr>
      </w:pPr>
    </w:p>
    <w:p w14:paraId="180136A3" w14:textId="567E4D8B" w:rsidR="00F170DA" w:rsidRPr="008F760F" w:rsidRDefault="00F170DA">
      <w:pPr>
        <w:rPr>
          <w:rFonts w:ascii="Times New Roman" w:hAnsi="Times New Roman" w:cs="Times New Roman"/>
          <w:color w:val="000000" w:themeColor="text1"/>
          <w:sz w:val="24"/>
          <w:szCs w:val="24"/>
        </w:rPr>
      </w:pPr>
      <w:bookmarkStart w:id="0" w:name="_GoBack"/>
      <w:bookmarkEnd w:id="0"/>
    </w:p>
    <w:sectPr w:rsidR="00F170DA" w:rsidRPr="008F760F" w:rsidSect="006C6578">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BA87B" w14:textId="77777777" w:rsidR="00596943" w:rsidRDefault="00596943" w:rsidP="008B5D54">
      <w:pPr>
        <w:spacing w:after="0" w:line="240" w:lineRule="auto"/>
      </w:pPr>
      <w:r>
        <w:separator/>
      </w:r>
    </w:p>
  </w:endnote>
  <w:endnote w:type="continuationSeparator" w:id="0">
    <w:p w14:paraId="50A9493B" w14:textId="77777777" w:rsidR="00596943" w:rsidRDefault="0059694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LNBK G+ Adv T T 7169e 447">
    <w:altName w:val="Adv TT 716 9e"/>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862097"/>
      <w:docPartObj>
        <w:docPartGallery w:val="Page Numbers (Bottom of Page)"/>
        <w:docPartUnique/>
      </w:docPartObj>
    </w:sdtPr>
    <w:sdtEndPr>
      <w:rPr>
        <w:noProof/>
      </w:rPr>
    </w:sdtEndPr>
    <w:sdtContent>
      <w:p w14:paraId="7D543ADF" w14:textId="7FE26424" w:rsidR="006A2105" w:rsidRDefault="006A2105">
        <w:pPr>
          <w:pStyle w:val="Footer"/>
          <w:jc w:val="center"/>
        </w:pPr>
        <w:r>
          <w:fldChar w:fldCharType="begin"/>
        </w:r>
        <w:r>
          <w:instrText xml:space="preserve"> PAGE   \* MERGEFORMAT </w:instrText>
        </w:r>
        <w:r>
          <w:fldChar w:fldCharType="separate"/>
        </w:r>
        <w:r w:rsidR="00B565A3">
          <w:rPr>
            <w:noProof/>
          </w:rPr>
          <w:t>2</w:t>
        </w:r>
        <w:r>
          <w:rPr>
            <w:noProof/>
          </w:rPr>
          <w:fldChar w:fldCharType="end"/>
        </w:r>
      </w:p>
    </w:sdtContent>
  </w:sdt>
  <w:p w14:paraId="23636AA2" w14:textId="77777777" w:rsidR="006A2105" w:rsidRDefault="006A2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C37F8" w14:textId="77777777" w:rsidR="00596943" w:rsidRDefault="00596943" w:rsidP="008B5D54">
      <w:pPr>
        <w:spacing w:after="0" w:line="240" w:lineRule="auto"/>
      </w:pPr>
      <w:r>
        <w:separator/>
      </w:r>
    </w:p>
  </w:footnote>
  <w:footnote w:type="continuationSeparator" w:id="0">
    <w:p w14:paraId="50ACE96B" w14:textId="77777777" w:rsidR="00596943" w:rsidRDefault="00596943" w:rsidP="008B5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44C87"/>
    <w:multiLevelType w:val="hybridMultilevel"/>
    <w:tmpl w:val="837E2006"/>
    <w:lvl w:ilvl="0" w:tplc="119287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C44FC"/>
    <w:multiLevelType w:val="multilevel"/>
    <w:tmpl w:val="BDF29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doNotDisplayPageBoundaries/>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92"/>
    <w:rsid w:val="00006609"/>
    <w:rsid w:val="00010BE3"/>
    <w:rsid w:val="000175AD"/>
    <w:rsid w:val="00021EA5"/>
    <w:rsid w:val="00022B50"/>
    <w:rsid w:val="000426B5"/>
    <w:rsid w:val="0004600B"/>
    <w:rsid w:val="00050E1A"/>
    <w:rsid w:val="00054D65"/>
    <w:rsid w:val="00065784"/>
    <w:rsid w:val="00075562"/>
    <w:rsid w:val="0008491D"/>
    <w:rsid w:val="00094117"/>
    <w:rsid w:val="000949B2"/>
    <w:rsid w:val="000A07A0"/>
    <w:rsid w:val="000A5CA7"/>
    <w:rsid w:val="000B01B9"/>
    <w:rsid w:val="000B4D9E"/>
    <w:rsid w:val="000C57BF"/>
    <w:rsid w:val="000E6336"/>
    <w:rsid w:val="000E6AC6"/>
    <w:rsid w:val="000F6AAC"/>
    <w:rsid w:val="00105106"/>
    <w:rsid w:val="0011227B"/>
    <w:rsid w:val="00112FCA"/>
    <w:rsid w:val="00116D23"/>
    <w:rsid w:val="00121719"/>
    <w:rsid w:val="00122566"/>
    <w:rsid w:val="001404AD"/>
    <w:rsid w:val="00146C22"/>
    <w:rsid w:val="001472FB"/>
    <w:rsid w:val="00165EE1"/>
    <w:rsid w:val="00185622"/>
    <w:rsid w:val="001910F8"/>
    <w:rsid w:val="00197281"/>
    <w:rsid w:val="001A0B7F"/>
    <w:rsid w:val="001A0FB5"/>
    <w:rsid w:val="001A2DDC"/>
    <w:rsid w:val="001B11B0"/>
    <w:rsid w:val="001B32E1"/>
    <w:rsid w:val="001B3E3C"/>
    <w:rsid w:val="001B713A"/>
    <w:rsid w:val="001C6609"/>
    <w:rsid w:val="001C7690"/>
    <w:rsid w:val="001D0261"/>
    <w:rsid w:val="001D6AEA"/>
    <w:rsid w:val="001D76B2"/>
    <w:rsid w:val="001D7E85"/>
    <w:rsid w:val="001F3671"/>
    <w:rsid w:val="001F6688"/>
    <w:rsid w:val="002065A3"/>
    <w:rsid w:val="0020784A"/>
    <w:rsid w:val="002122AC"/>
    <w:rsid w:val="00213EB2"/>
    <w:rsid w:val="00220372"/>
    <w:rsid w:val="00222CBC"/>
    <w:rsid w:val="00223BFA"/>
    <w:rsid w:val="00227622"/>
    <w:rsid w:val="00231934"/>
    <w:rsid w:val="002364C9"/>
    <w:rsid w:val="00236CA4"/>
    <w:rsid w:val="002411B6"/>
    <w:rsid w:val="002441CC"/>
    <w:rsid w:val="00245CBE"/>
    <w:rsid w:val="0025403B"/>
    <w:rsid w:val="0025583A"/>
    <w:rsid w:val="00260A02"/>
    <w:rsid w:val="002756B0"/>
    <w:rsid w:val="0027735E"/>
    <w:rsid w:val="0028097D"/>
    <w:rsid w:val="00286F65"/>
    <w:rsid w:val="00291B5F"/>
    <w:rsid w:val="00291D60"/>
    <w:rsid w:val="0029413B"/>
    <w:rsid w:val="002A00E4"/>
    <w:rsid w:val="002A0A11"/>
    <w:rsid w:val="002A18AB"/>
    <w:rsid w:val="002A39C6"/>
    <w:rsid w:val="002A6251"/>
    <w:rsid w:val="002B1C09"/>
    <w:rsid w:val="002B2D2A"/>
    <w:rsid w:val="002F5FD4"/>
    <w:rsid w:val="002F65E6"/>
    <w:rsid w:val="00311B66"/>
    <w:rsid w:val="0031267B"/>
    <w:rsid w:val="00316059"/>
    <w:rsid w:val="0032267F"/>
    <w:rsid w:val="00322713"/>
    <w:rsid w:val="00326AE7"/>
    <w:rsid w:val="00340EE8"/>
    <w:rsid w:val="00342D3C"/>
    <w:rsid w:val="00344861"/>
    <w:rsid w:val="0034536D"/>
    <w:rsid w:val="00345E82"/>
    <w:rsid w:val="0035630C"/>
    <w:rsid w:val="00363C9D"/>
    <w:rsid w:val="00366A5B"/>
    <w:rsid w:val="0037356B"/>
    <w:rsid w:val="003779D2"/>
    <w:rsid w:val="00390507"/>
    <w:rsid w:val="00390A0E"/>
    <w:rsid w:val="003B20D4"/>
    <w:rsid w:val="003C025C"/>
    <w:rsid w:val="003C1738"/>
    <w:rsid w:val="003D60E8"/>
    <w:rsid w:val="003D7249"/>
    <w:rsid w:val="003E127D"/>
    <w:rsid w:val="003E3D3C"/>
    <w:rsid w:val="003E44CD"/>
    <w:rsid w:val="003E7EBE"/>
    <w:rsid w:val="003F0963"/>
    <w:rsid w:val="003F10B0"/>
    <w:rsid w:val="003F28C1"/>
    <w:rsid w:val="003F2B90"/>
    <w:rsid w:val="003F3D09"/>
    <w:rsid w:val="00413DBF"/>
    <w:rsid w:val="00417883"/>
    <w:rsid w:val="0042237E"/>
    <w:rsid w:val="004258FA"/>
    <w:rsid w:val="00426D3F"/>
    <w:rsid w:val="0043118B"/>
    <w:rsid w:val="00433453"/>
    <w:rsid w:val="00434685"/>
    <w:rsid w:val="00435583"/>
    <w:rsid w:val="0044052C"/>
    <w:rsid w:val="004455E1"/>
    <w:rsid w:val="004524B6"/>
    <w:rsid w:val="004632AD"/>
    <w:rsid w:val="00465A61"/>
    <w:rsid w:val="00472732"/>
    <w:rsid w:val="00472C75"/>
    <w:rsid w:val="0047423D"/>
    <w:rsid w:val="00476736"/>
    <w:rsid w:val="00481C59"/>
    <w:rsid w:val="00485592"/>
    <w:rsid w:val="00490D69"/>
    <w:rsid w:val="00491527"/>
    <w:rsid w:val="004A4FDD"/>
    <w:rsid w:val="004A5554"/>
    <w:rsid w:val="004A7AEE"/>
    <w:rsid w:val="004B0D3E"/>
    <w:rsid w:val="004B4742"/>
    <w:rsid w:val="004C6370"/>
    <w:rsid w:val="004D1379"/>
    <w:rsid w:val="004D6959"/>
    <w:rsid w:val="004F2697"/>
    <w:rsid w:val="004F6EA2"/>
    <w:rsid w:val="00501F92"/>
    <w:rsid w:val="00516BC5"/>
    <w:rsid w:val="00516FD1"/>
    <w:rsid w:val="00517C4B"/>
    <w:rsid w:val="00521705"/>
    <w:rsid w:val="00521FF9"/>
    <w:rsid w:val="005243C0"/>
    <w:rsid w:val="00525788"/>
    <w:rsid w:val="00531641"/>
    <w:rsid w:val="00540B2A"/>
    <w:rsid w:val="00551C97"/>
    <w:rsid w:val="00554879"/>
    <w:rsid w:val="00555270"/>
    <w:rsid w:val="00557AE9"/>
    <w:rsid w:val="00560952"/>
    <w:rsid w:val="0056720B"/>
    <w:rsid w:val="00570288"/>
    <w:rsid w:val="00581C72"/>
    <w:rsid w:val="00583182"/>
    <w:rsid w:val="0058544D"/>
    <w:rsid w:val="00586EE4"/>
    <w:rsid w:val="00596943"/>
    <w:rsid w:val="005A4868"/>
    <w:rsid w:val="005A67E7"/>
    <w:rsid w:val="005A7603"/>
    <w:rsid w:val="005B56AE"/>
    <w:rsid w:val="005C7427"/>
    <w:rsid w:val="005E2D05"/>
    <w:rsid w:val="005F455E"/>
    <w:rsid w:val="00604F57"/>
    <w:rsid w:val="00630FF1"/>
    <w:rsid w:val="00632877"/>
    <w:rsid w:val="00636F37"/>
    <w:rsid w:val="006524C7"/>
    <w:rsid w:val="006630BA"/>
    <w:rsid w:val="00675585"/>
    <w:rsid w:val="00675FB5"/>
    <w:rsid w:val="006858B1"/>
    <w:rsid w:val="0069097A"/>
    <w:rsid w:val="00692DAB"/>
    <w:rsid w:val="006976BE"/>
    <w:rsid w:val="006A2105"/>
    <w:rsid w:val="006B3B6B"/>
    <w:rsid w:val="006B54F2"/>
    <w:rsid w:val="006B5A62"/>
    <w:rsid w:val="006C6578"/>
    <w:rsid w:val="006C72D6"/>
    <w:rsid w:val="006D2BDC"/>
    <w:rsid w:val="006E0184"/>
    <w:rsid w:val="006E2057"/>
    <w:rsid w:val="006E279E"/>
    <w:rsid w:val="006E669B"/>
    <w:rsid w:val="006E7856"/>
    <w:rsid w:val="007004E2"/>
    <w:rsid w:val="007014A5"/>
    <w:rsid w:val="00704E49"/>
    <w:rsid w:val="00712706"/>
    <w:rsid w:val="00712F3F"/>
    <w:rsid w:val="0072084F"/>
    <w:rsid w:val="00726DBE"/>
    <w:rsid w:val="0074088A"/>
    <w:rsid w:val="00752447"/>
    <w:rsid w:val="00777DE9"/>
    <w:rsid w:val="007800F1"/>
    <w:rsid w:val="00780A9E"/>
    <w:rsid w:val="007841E2"/>
    <w:rsid w:val="00790AFF"/>
    <w:rsid w:val="00796F04"/>
    <w:rsid w:val="007A3A97"/>
    <w:rsid w:val="007A5D2E"/>
    <w:rsid w:val="007C7A5B"/>
    <w:rsid w:val="007C7DED"/>
    <w:rsid w:val="007C7E44"/>
    <w:rsid w:val="007D4921"/>
    <w:rsid w:val="007E77A3"/>
    <w:rsid w:val="007F21BB"/>
    <w:rsid w:val="00800C45"/>
    <w:rsid w:val="008057AC"/>
    <w:rsid w:val="00811430"/>
    <w:rsid w:val="00813FCC"/>
    <w:rsid w:val="00814781"/>
    <w:rsid w:val="0081526D"/>
    <w:rsid w:val="00821580"/>
    <w:rsid w:val="00822822"/>
    <w:rsid w:val="00823087"/>
    <w:rsid w:val="00823D5B"/>
    <w:rsid w:val="008244CF"/>
    <w:rsid w:val="0083142E"/>
    <w:rsid w:val="00831CE3"/>
    <w:rsid w:val="00837319"/>
    <w:rsid w:val="008403D6"/>
    <w:rsid w:val="00857D4A"/>
    <w:rsid w:val="0086439D"/>
    <w:rsid w:val="00880EE3"/>
    <w:rsid w:val="0088780F"/>
    <w:rsid w:val="00897335"/>
    <w:rsid w:val="008A2090"/>
    <w:rsid w:val="008A4036"/>
    <w:rsid w:val="008A5981"/>
    <w:rsid w:val="008A7DB4"/>
    <w:rsid w:val="008B5D54"/>
    <w:rsid w:val="008B67C5"/>
    <w:rsid w:val="008B68A3"/>
    <w:rsid w:val="008B7CD8"/>
    <w:rsid w:val="008C04F7"/>
    <w:rsid w:val="008E5A91"/>
    <w:rsid w:val="008F17EF"/>
    <w:rsid w:val="008F2DA1"/>
    <w:rsid w:val="008F63D8"/>
    <w:rsid w:val="008F760F"/>
    <w:rsid w:val="00903AF6"/>
    <w:rsid w:val="00906138"/>
    <w:rsid w:val="00912477"/>
    <w:rsid w:val="00915389"/>
    <w:rsid w:val="00916459"/>
    <w:rsid w:val="00921CAA"/>
    <w:rsid w:val="00922EA7"/>
    <w:rsid w:val="00933FB1"/>
    <w:rsid w:val="0093787E"/>
    <w:rsid w:val="00951B66"/>
    <w:rsid w:val="00960790"/>
    <w:rsid w:val="00960C22"/>
    <w:rsid w:val="00962CC0"/>
    <w:rsid w:val="009660EE"/>
    <w:rsid w:val="0097525C"/>
    <w:rsid w:val="009758D2"/>
    <w:rsid w:val="00975ACB"/>
    <w:rsid w:val="00980291"/>
    <w:rsid w:val="00981BA0"/>
    <w:rsid w:val="00984D4E"/>
    <w:rsid w:val="00986CF2"/>
    <w:rsid w:val="00991DCE"/>
    <w:rsid w:val="00993B8B"/>
    <w:rsid w:val="009A03B3"/>
    <w:rsid w:val="009D60D5"/>
    <w:rsid w:val="009E17A1"/>
    <w:rsid w:val="009F07C8"/>
    <w:rsid w:val="009F339B"/>
    <w:rsid w:val="009F578E"/>
    <w:rsid w:val="009F5C8C"/>
    <w:rsid w:val="009F67CF"/>
    <w:rsid w:val="00A025D6"/>
    <w:rsid w:val="00A02695"/>
    <w:rsid w:val="00A054D7"/>
    <w:rsid w:val="00A06989"/>
    <w:rsid w:val="00A15184"/>
    <w:rsid w:val="00A20427"/>
    <w:rsid w:val="00A206C8"/>
    <w:rsid w:val="00A26EFD"/>
    <w:rsid w:val="00A424FC"/>
    <w:rsid w:val="00A439C1"/>
    <w:rsid w:val="00A5353E"/>
    <w:rsid w:val="00A672FB"/>
    <w:rsid w:val="00A73133"/>
    <w:rsid w:val="00A81A1A"/>
    <w:rsid w:val="00A873D5"/>
    <w:rsid w:val="00A925E3"/>
    <w:rsid w:val="00A935AF"/>
    <w:rsid w:val="00A95801"/>
    <w:rsid w:val="00AA2E24"/>
    <w:rsid w:val="00AB29D6"/>
    <w:rsid w:val="00AC0715"/>
    <w:rsid w:val="00AD7C74"/>
    <w:rsid w:val="00AF30F1"/>
    <w:rsid w:val="00B008C6"/>
    <w:rsid w:val="00B22426"/>
    <w:rsid w:val="00B25BBB"/>
    <w:rsid w:val="00B33F40"/>
    <w:rsid w:val="00B365DC"/>
    <w:rsid w:val="00B3741B"/>
    <w:rsid w:val="00B441FD"/>
    <w:rsid w:val="00B44222"/>
    <w:rsid w:val="00B45FC8"/>
    <w:rsid w:val="00B46E7D"/>
    <w:rsid w:val="00B55735"/>
    <w:rsid w:val="00B565A3"/>
    <w:rsid w:val="00B608AC"/>
    <w:rsid w:val="00B6766C"/>
    <w:rsid w:val="00B909FE"/>
    <w:rsid w:val="00B90F0B"/>
    <w:rsid w:val="00B9140C"/>
    <w:rsid w:val="00BA51F2"/>
    <w:rsid w:val="00BA7D37"/>
    <w:rsid w:val="00BC5116"/>
    <w:rsid w:val="00BE52A3"/>
    <w:rsid w:val="00BF306D"/>
    <w:rsid w:val="00BF5A5F"/>
    <w:rsid w:val="00BF75CF"/>
    <w:rsid w:val="00C11145"/>
    <w:rsid w:val="00C22B4D"/>
    <w:rsid w:val="00C25F04"/>
    <w:rsid w:val="00C416B2"/>
    <w:rsid w:val="00C56B38"/>
    <w:rsid w:val="00C6054F"/>
    <w:rsid w:val="00CC3AC4"/>
    <w:rsid w:val="00CD0EB4"/>
    <w:rsid w:val="00CD3D03"/>
    <w:rsid w:val="00CE1BE2"/>
    <w:rsid w:val="00CE39AF"/>
    <w:rsid w:val="00CE5A60"/>
    <w:rsid w:val="00CE6465"/>
    <w:rsid w:val="00CE67A1"/>
    <w:rsid w:val="00D11319"/>
    <w:rsid w:val="00D11D99"/>
    <w:rsid w:val="00D14585"/>
    <w:rsid w:val="00D15524"/>
    <w:rsid w:val="00D25B6E"/>
    <w:rsid w:val="00D25D70"/>
    <w:rsid w:val="00D362F9"/>
    <w:rsid w:val="00D4094B"/>
    <w:rsid w:val="00D42A1F"/>
    <w:rsid w:val="00D42D03"/>
    <w:rsid w:val="00D42DC6"/>
    <w:rsid w:val="00D50D54"/>
    <w:rsid w:val="00D56CD6"/>
    <w:rsid w:val="00D615BB"/>
    <w:rsid w:val="00D6385D"/>
    <w:rsid w:val="00D647F6"/>
    <w:rsid w:val="00D64DFF"/>
    <w:rsid w:val="00D82A8D"/>
    <w:rsid w:val="00D878A5"/>
    <w:rsid w:val="00D91C6B"/>
    <w:rsid w:val="00D937E4"/>
    <w:rsid w:val="00D96CAB"/>
    <w:rsid w:val="00DB11A4"/>
    <w:rsid w:val="00DB56A1"/>
    <w:rsid w:val="00DC45F1"/>
    <w:rsid w:val="00DC57CC"/>
    <w:rsid w:val="00DC7DB7"/>
    <w:rsid w:val="00DE3DA0"/>
    <w:rsid w:val="00DF11DC"/>
    <w:rsid w:val="00E049B6"/>
    <w:rsid w:val="00E065CC"/>
    <w:rsid w:val="00E0730F"/>
    <w:rsid w:val="00E11BF1"/>
    <w:rsid w:val="00E158DA"/>
    <w:rsid w:val="00E225EE"/>
    <w:rsid w:val="00E25226"/>
    <w:rsid w:val="00E361EE"/>
    <w:rsid w:val="00E43C46"/>
    <w:rsid w:val="00E446AD"/>
    <w:rsid w:val="00E55806"/>
    <w:rsid w:val="00E61B42"/>
    <w:rsid w:val="00E62957"/>
    <w:rsid w:val="00E7224A"/>
    <w:rsid w:val="00E86C8A"/>
    <w:rsid w:val="00E9041B"/>
    <w:rsid w:val="00EA28FD"/>
    <w:rsid w:val="00EA2C82"/>
    <w:rsid w:val="00EB057B"/>
    <w:rsid w:val="00EC6713"/>
    <w:rsid w:val="00ED1563"/>
    <w:rsid w:val="00ED60A4"/>
    <w:rsid w:val="00ED7A4C"/>
    <w:rsid w:val="00EE37C4"/>
    <w:rsid w:val="00EE433F"/>
    <w:rsid w:val="00EE6389"/>
    <w:rsid w:val="00EF2EAD"/>
    <w:rsid w:val="00EF4E76"/>
    <w:rsid w:val="00F01031"/>
    <w:rsid w:val="00F037EB"/>
    <w:rsid w:val="00F05B54"/>
    <w:rsid w:val="00F07141"/>
    <w:rsid w:val="00F07E32"/>
    <w:rsid w:val="00F170DA"/>
    <w:rsid w:val="00F20A71"/>
    <w:rsid w:val="00F23649"/>
    <w:rsid w:val="00F26669"/>
    <w:rsid w:val="00F34DCB"/>
    <w:rsid w:val="00F358AD"/>
    <w:rsid w:val="00F35F34"/>
    <w:rsid w:val="00F3710C"/>
    <w:rsid w:val="00F57989"/>
    <w:rsid w:val="00F67DC7"/>
    <w:rsid w:val="00F73341"/>
    <w:rsid w:val="00F802B5"/>
    <w:rsid w:val="00F810D5"/>
    <w:rsid w:val="00F82912"/>
    <w:rsid w:val="00F83CE0"/>
    <w:rsid w:val="00F915D7"/>
    <w:rsid w:val="00FB14CE"/>
    <w:rsid w:val="00FC29C3"/>
    <w:rsid w:val="00FD44A6"/>
    <w:rsid w:val="00FD5E1A"/>
    <w:rsid w:val="00FD6A32"/>
    <w:rsid w:val="00FE5DB7"/>
    <w:rsid w:val="00FF0624"/>
    <w:rsid w:val="00FF49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CA564C"/>
  <w15:chartTrackingRefBased/>
  <w15:docId w15:val="{7AC26112-9BAE-4B0B-84C4-4A144F20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BalloonText">
    <w:name w:val="Balloon Text"/>
    <w:basedOn w:val="Normal"/>
    <w:link w:val="BalloonTextChar"/>
    <w:uiPriority w:val="99"/>
    <w:semiHidden/>
    <w:unhideWhenUsed/>
    <w:rsid w:val="00075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562"/>
    <w:rPr>
      <w:rFonts w:ascii="Segoe UI" w:hAnsi="Segoe UI" w:cs="Segoe UI"/>
      <w:sz w:val="18"/>
      <w:szCs w:val="18"/>
    </w:rPr>
  </w:style>
  <w:style w:type="character" w:styleId="CommentReference">
    <w:name w:val="annotation reference"/>
    <w:basedOn w:val="DefaultParagraphFont"/>
    <w:uiPriority w:val="99"/>
    <w:semiHidden/>
    <w:unhideWhenUsed/>
    <w:rsid w:val="0043118B"/>
    <w:rPr>
      <w:sz w:val="16"/>
      <w:szCs w:val="16"/>
    </w:rPr>
  </w:style>
  <w:style w:type="paragraph" w:styleId="CommentText">
    <w:name w:val="annotation text"/>
    <w:basedOn w:val="Normal"/>
    <w:link w:val="CommentTextChar"/>
    <w:uiPriority w:val="99"/>
    <w:semiHidden/>
    <w:unhideWhenUsed/>
    <w:rsid w:val="0043118B"/>
    <w:pPr>
      <w:spacing w:line="240" w:lineRule="auto"/>
    </w:pPr>
    <w:rPr>
      <w:sz w:val="20"/>
      <w:szCs w:val="20"/>
    </w:rPr>
  </w:style>
  <w:style w:type="character" w:customStyle="1" w:styleId="CommentTextChar">
    <w:name w:val="Comment Text Char"/>
    <w:basedOn w:val="DefaultParagraphFont"/>
    <w:link w:val="CommentText"/>
    <w:uiPriority w:val="99"/>
    <w:semiHidden/>
    <w:rsid w:val="0043118B"/>
    <w:rPr>
      <w:sz w:val="20"/>
      <w:szCs w:val="20"/>
    </w:rPr>
  </w:style>
  <w:style w:type="paragraph" w:styleId="CommentSubject">
    <w:name w:val="annotation subject"/>
    <w:basedOn w:val="CommentText"/>
    <w:next w:val="CommentText"/>
    <w:link w:val="CommentSubjectChar"/>
    <w:uiPriority w:val="99"/>
    <w:semiHidden/>
    <w:unhideWhenUsed/>
    <w:rsid w:val="00BA7D37"/>
    <w:rPr>
      <w:b/>
      <w:bCs/>
    </w:rPr>
  </w:style>
  <w:style w:type="character" w:customStyle="1" w:styleId="CommentSubjectChar">
    <w:name w:val="Comment Subject Char"/>
    <w:basedOn w:val="CommentTextChar"/>
    <w:link w:val="CommentSubject"/>
    <w:uiPriority w:val="99"/>
    <w:semiHidden/>
    <w:rsid w:val="00BA7D37"/>
    <w:rPr>
      <w:b/>
      <w:bCs/>
      <w:sz w:val="20"/>
      <w:szCs w:val="20"/>
    </w:rPr>
  </w:style>
  <w:style w:type="character" w:styleId="Hyperlink">
    <w:name w:val="Hyperlink"/>
    <w:basedOn w:val="DefaultParagraphFont"/>
    <w:uiPriority w:val="99"/>
    <w:unhideWhenUsed/>
    <w:rsid w:val="00340EE8"/>
    <w:rPr>
      <w:color w:val="0000FF" w:themeColor="hyperlink"/>
      <w:u w:val="single"/>
    </w:rPr>
  </w:style>
  <w:style w:type="paragraph" w:customStyle="1" w:styleId="CM1">
    <w:name w:val="CM1"/>
    <w:basedOn w:val="Normal"/>
    <w:next w:val="Normal"/>
    <w:uiPriority w:val="99"/>
    <w:rsid w:val="00340EE8"/>
    <w:pPr>
      <w:autoSpaceDE w:val="0"/>
      <w:autoSpaceDN w:val="0"/>
      <w:adjustRightInd w:val="0"/>
      <w:spacing w:after="0" w:line="240" w:lineRule="auto"/>
    </w:pPr>
    <w:rPr>
      <w:rFonts w:ascii="FLNBK G+ Adv T T 7169e 447" w:eastAsiaTheme="minorEastAsia" w:hAnsi="FLNBK G+ Adv T T 7169e 447"/>
      <w:sz w:val="24"/>
      <w:szCs w:val="24"/>
    </w:rPr>
  </w:style>
  <w:style w:type="character" w:styleId="FollowedHyperlink">
    <w:name w:val="FollowedHyperlink"/>
    <w:basedOn w:val="DefaultParagraphFont"/>
    <w:uiPriority w:val="99"/>
    <w:semiHidden/>
    <w:unhideWhenUsed/>
    <w:rsid w:val="00340E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967638">
      <w:bodyDiv w:val="1"/>
      <w:marLeft w:val="0"/>
      <w:marRight w:val="0"/>
      <w:marTop w:val="0"/>
      <w:marBottom w:val="0"/>
      <w:divBdr>
        <w:top w:val="none" w:sz="0" w:space="0" w:color="auto"/>
        <w:left w:val="none" w:sz="0" w:space="0" w:color="auto"/>
        <w:bottom w:val="none" w:sz="0" w:space="0" w:color="auto"/>
        <w:right w:val="none" w:sz="0" w:space="0" w:color="auto"/>
      </w:divBdr>
      <w:divsChild>
        <w:div w:id="1522357958">
          <w:marLeft w:val="0"/>
          <w:marRight w:val="0"/>
          <w:marTop w:val="0"/>
          <w:marBottom w:val="0"/>
          <w:divBdr>
            <w:top w:val="single" w:sz="36" w:space="0" w:color="075290"/>
            <w:left w:val="none" w:sz="0" w:space="0" w:color="auto"/>
            <w:bottom w:val="none" w:sz="0" w:space="0" w:color="auto"/>
            <w:right w:val="none" w:sz="0" w:space="0" w:color="auto"/>
          </w:divBdr>
          <w:divsChild>
            <w:div w:id="1122305127">
              <w:marLeft w:val="0"/>
              <w:marRight w:val="0"/>
              <w:marTop w:val="0"/>
              <w:marBottom w:val="0"/>
              <w:divBdr>
                <w:top w:val="none" w:sz="0" w:space="0" w:color="auto"/>
                <w:left w:val="none" w:sz="0" w:space="0" w:color="auto"/>
                <w:bottom w:val="none" w:sz="0" w:space="0" w:color="auto"/>
                <w:right w:val="none" w:sz="0" w:space="0" w:color="auto"/>
              </w:divBdr>
              <w:divsChild>
                <w:div w:id="894969276">
                  <w:marLeft w:val="0"/>
                  <w:marRight w:val="0"/>
                  <w:marTop w:val="150"/>
                  <w:marBottom w:val="0"/>
                  <w:divBdr>
                    <w:top w:val="none" w:sz="0" w:space="0" w:color="auto"/>
                    <w:left w:val="none" w:sz="0" w:space="0" w:color="auto"/>
                    <w:bottom w:val="none" w:sz="0" w:space="0" w:color="auto"/>
                    <w:right w:val="none" w:sz="0" w:space="0" w:color="auto"/>
                  </w:divBdr>
                  <w:divsChild>
                    <w:div w:id="771509728">
                      <w:marLeft w:val="-150"/>
                      <w:marRight w:val="0"/>
                      <w:marTop w:val="0"/>
                      <w:marBottom w:val="0"/>
                      <w:divBdr>
                        <w:top w:val="none" w:sz="0" w:space="0" w:color="auto"/>
                        <w:left w:val="none" w:sz="0" w:space="0" w:color="auto"/>
                        <w:bottom w:val="none" w:sz="0" w:space="0" w:color="auto"/>
                        <w:right w:val="none" w:sz="0" w:space="0" w:color="auto"/>
                      </w:divBdr>
                      <w:divsChild>
                        <w:div w:id="1971202746">
                          <w:marLeft w:val="0"/>
                          <w:marRight w:val="0"/>
                          <w:marTop w:val="0"/>
                          <w:marBottom w:val="0"/>
                          <w:divBdr>
                            <w:top w:val="none" w:sz="0" w:space="0" w:color="auto"/>
                            <w:left w:val="none" w:sz="0" w:space="0" w:color="auto"/>
                            <w:bottom w:val="none" w:sz="0" w:space="0" w:color="auto"/>
                            <w:right w:val="none" w:sz="0" w:space="0" w:color="auto"/>
                          </w:divBdr>
                          <w:divsChild>
                            <w:div w:id="250432867">
                              <w:marLeft w:val="0"/>
                              <w:marRight w:val="0"/>
                              <w:marTop w:val="0"/>
                              <w:marBottom w:val="0"/>
                              <w:divBdr>
                                <w:top w:val="none" w:sz="0" w:space="0" w:color="auto"/>
                                <w:left w:val="none" w:sz="0" w:space="0" w:color="auto"/>
                                <w:bottom w:val="none" w:sz="0" w:space="0" w:color="auto"/>
                                <w:right w:val="none" w:sz="0" w:space="0" w:color="auto"/>
                              </w:divBdr>
                              <w:divsChild>
                                <w:div w:id="811873884">
                                  <w:marLeft w:val="0"/>
                                  <w:marRight w:val="0"/>
                                  <w:marTop w:val="0"/>
                                  <w:marBottom w:val="0"/>
                                  <w:divBdr>
                                    <w:top w:val="none" w:sz="0" w:space="0" w:color="auto"/>
                                    <w:left w:val="none" w:sz="0" w:space="0" w:color="auto"/>
                                    <w:bottom w:val="none" w:sz="0" w:space="0" w:color="auto"/>
                                    <w:right w:val="none" w:sz="0" w:space="0" w:color="auto"/>
                                  </w:divBdr>
                                  <w:divsChild>
                                    <w:div w:id="12651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06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AAD25-EC72-493F-B237-702EEF07F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O'Halloran, Alissa (CDC/OID/NCIRD) (CTR)</dc:creator>
  <cp:keywords/>
  <dc:description/>
  <cp:lastModifiedBy>Hung, Mei-Chuan (CDC/DDID/NCIRD/ISD) (CTR)</cp:lastModifiedBy>
  <cp:revision>9</cp:revision>
  <cp:lastPrinted>2018-01-19T19:14:00Z</cp:lastPrinted>
  <dcterms:created xsi:type="dcterms:W3CDTF">2019-03-14T15:02:00Z</dcterms:created>
  <dcterms:modified xsi:type="dcterms:W3CDTF">2019-04-10T15:47:00Z</dcterms:modified>
</cp:coreProperties>
</file>