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343169" w:rsidRDefault="0009659E" w:rsidP="00343169">
      <w:pPr>
        <w:pStyle w:val="Title"/>
        <w:shd w:val="clear" w:color="auto" w:fill="006487"/>
        <w:rPr>
          <w:color w:val="000000"/>
        </w:rPr>
      </w:pPr>
      <w:r>
        <w:t>Debriefing Discussion Guide</w:t>
      </w:r>
    </w:p>
    <w:p w:rsidR="00AB2769" w:rsidRPr="00AB2769" w:rsidRDefault="00AB2769" w:rsidP="00343169">
      <w:pPr>
        <w:pStyle w:val="Heading1"/>
        <w:spacing w:before="0" w:line="360" w:lineRule="auto"/>
      </w:pPr>
      <w:r w:rsidRPr="00AB2769">
        <w:t xml:space="preserve">PURPOSE </w:t>
      </w:r>
    </w:p>
    <w:p w:rsidR="00AB2769" w:rsidRPr="00AB2769" w:rsidRDefault="00AB2769" w:rsidP="00AB2769">
      <w:pPr>
        <w:autoSpaceDE w:val="0"/>
        <w:autoSpaceDN w:val="0"/>
        <w:adjustRightInd w:val="0"/>
        <w:spacing w:after="180" w:line="221" w:lineRule="atLeast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i/>
          <w:iCs/>
          <w:color w:val="221E1F"/>
        </w:rPr>
        <w:t xml:space="preserve">Debriefings are productive when properly structured. This discussion guide provides an outline of key points to cover during the debriefing session. </w:t>
      </w:r>
    </w:p>
    <w:p w:rsidR="00343169" w:rsidRDefault="00343169" w:rsidP="00343169">
      <w:pPr>
        <w:pStyle w:val="Heading1"/>
        <w:spacing w:before="0" w:line="360" w:lineRule="auto"/>
        <w:rPr>
          <w:rFonts w:eastAsiaTheme="minorHAnsi"/>
        </w:rPr>
      </w:pPr>
    </w:p>
    <w:p w:rsidR="00AB2769" w:rsidRPr="00AB2769" w:rsidRDefault="00AB2769" w:rsidP="00343169">
      <w:pPr>
        <w:pStyle w:val="Heading1"/>
        <w:spacing w:before="0" w:line="360" w:lineRule="auto"/>
        <w:rPr>
          <w:rFonts w:eastAsiaTheme="minorHAnsi"/>
        </w:rPr>
      </w:pPr>
      <w:r w:rsidRPr="00AB2769">
        <w:rPr>
          <w:rFonts w:eastAsiaTheme="minorHAnsi"/>
        </w:rPr>
        <w:t xml:space="preserve">DIRECTIONS </w:t>
      </w:r>
    </w:p>
    <w:p w:rsidR="00AB2769" w:rsidRPr="00AB2769" w:rsidRDefault="00AB2769" w:rsidP="00AB2769">
      <w:pPr>
        <w:pStyle w:val="Pa37"/>
        <w:spacing w:before="80" w:after="80"/>
        <w:rPr>
          <w:rFonts w:ascii="Arial" w:hAnsi="Arial" w:cs="Arial"/>
          <w:i/>
          <w:iCs/>
          <w:color w:val="221E1F"/>
          <w:sz w:val="22"/>
          <w:szCs w:val="22"/>
        </w:rPr>
      </w:pPr>
      <w:r w:rsidRPr="00AB2769">
        <w:rPr>
          <w:rFonts w:ascii="Arial" w:hAnsi="Arial" w:cs="Arial"/>
          <w:i/>
          <w:iCs/>
          <w:color w:val="221E1F"/>
          <w:sz w:val="22"/>
          <w:szCs w:val="22"/>
        </w:rPr>
        <w:t>Use these questions as a starting point for a debriefing discussion about the drinking water advisory event.</w:t>
      </w:r>
    </w:p>
    <w:p w:rsidR="00245E1E" w:rsidRPr="00AB2769" w:rsidRDefault="003D62F5" w:rsidP="00AB2769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AB2769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AB2769">
        <w:rPr>
          <w:rFonts w:ascii="Arial" w:hAnsi="Arial" w:cs="Arial"/>
          <w:color w:val="006387"/>
        </w:rPr>
        <w:t>.</w:t>
      </w:r>
    </w:p>
    <w:p w:rsidR="00AB2769" w:rsidRPr="00AB2769" w:rsidRDefault="00AB2769" w:rsidP="00343169">
      <w:pPr>
        <w:pStyle w:val="Heading2"/>
        <w:rPr>
          <w:rFonts w:eastAsiaTheme="minorHAnsi"/>
        </w:rPr>
      </w:pPr>
      <w:r w:rsidRPr="00AB2769">
        <w:rPr>
          <w:rFonts w:eastAsiaTheme="minorHAnsi"/>
        </w:rPr>
        <w:t xml:space="preserve">What were the goals of the drinking water advisory? </w:t>
      </w:r>
    </w:p>
    <w:p w:rsidR="00AB2769" w:rsidRPr="00AB2769" w:rsidRDefault="00AB2769" w:rsidP="00942A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color w:val="221E1F"/>
        </w:rPr>
        <w:t xml:space="preserve">Whom were we trying to reach? </w:t>
      </w:r>
    </w:p>
    <w:p w:rsidR="00AB2769" w:rsidRPr="00AB2769" w:rsidRDefault="00AB2769" w:rsidP="00942AE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color w:val="221E1F"/>
        </w:rPr>
        <w:t xml:space="preserve">What did we want the target audiences to do with the information? </w:t>
      </w:r>
    </w:p>
    <w:p w:rsidR="00AB2769" w:rsidRPr="00AB2769" w:rsidRDefault="00AB2769" w:rsidP="00AB27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bookmarkStart w:id="0" w:name="_GoBack"/>
      <w:bookmarkEnd w:id="0"/>
    </w:p>
    <w:p w:rsidR="00AB2769" w:rsidRPr="00AB2769" w:rsidRDefault="00AB2769" w:rsidP="00343169">
      <w:pPr>
        <w:pStyle w:val="Heading2"/>
        <w:rPr>
          <w:rFonts w:eastAsiaTheme="minorHAnsi"/>
        </w:rPr>
      </w:pPr>
      <w:r w:rsidRPr="00AB2769">
        <w:rPr>
          <w:rFonts w:eastAsiaTheme="minorHAnsi"/>
        </w:rPr>
        <w:t xml:space="preserve">What actually happened? </w:t>
      </w:r>
    </w:p>
    <w:p w:rsidR="00AB2769" w:rsidRPr="00942AE8" w:rsidRDefault="00AB2769" w:rsidP="00942AE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List at least three things that worked really well and analyze why. 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How do you know they worked well? 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What goals or targets did they meet? 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>Can you identify the successful actions that can be replicated in future events?</w:t>
      </w:r>
    </w:p>
    <w:p w:rsidR="00AB2769" w:rsidRPr="00AB2769" w:rsidRDefault="00AB2769" w:rsidP="00942AE8">
      <w:pPr>
        <w:pStyle w:val="ListParagraph"/>
        <w:autoSpaceDE w:val="0"/>
        <w:autoSpaceDN w:val="0"/>
        <w:adjustRightInd w:val="0"/>
        <w:spacing w:after="0" w:line="240" w:lineRule="auto"/>
        <w:ind w:left="1440" w:firstLine="60"/>
        <w:rPr>
          <w:rFonts w:ascii="Arial" w:eastAsiaTheme="minorHAnsi" w:hAnsi="Arial" w:cs="Arial"/>
          <w:color w:val="221E1F"/>
        </w:rPr>
      </w:pPr>
    </w:p>
    <w:p w:rsidR="00AB2769" w:rsidRPr="00942AE8" w:rsidRDefault="00AB2769" w:rsidP="00942AE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>List at least three things that did not work as planned and analyze why. Determine how they can be done differently.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What criteria did you apply to determine that an action did not work as planned? 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Can you identify actions or decisions to avoid in the future? 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9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What might you do differently the next time? </w:t>
      </w:r>
    </w:p>
    <w:p w:rsidR="00AB2769" w:rsidRPr="00942AE8" w:rsidRDefault="00AB2769" w:rsidP="00942AE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Did you collect or track the information needed to assess or evaluate the advisory properly? </w:t>
      </w:r>
    </w:p>
    <w:p w:rsidR="00AB2769" w:rsidRPr="00AB2769" w:rsidRDefault="00AB2769" w:rsidP="00942A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eastAsiaTheme="minorHAnsi" w:hAnsi="Arial" w:cs="Arial"/>
          <w:color w:val="221E1F"/>
        </w:rPr>
      </w:pPr>
    </w:p>
    <w:p w:rsidR="00AB2769" w:rsidRPr="00942AE8" w:rsidRDefault="00AB2769" w:rsidP="00942AE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942AE8">
        <w:rPr>
          <w:rFonts w:ascii="Arial" w:eastAsiaTheme="minorHAnsi" w:hAnsi="Arial" w:cs="Arial"/>
          <w:color w:val="221E1F"/>
        </w:rPr>
        <w:t xml:space="preserve">List any plans, procedures, communication materials, tools, or templates that need revision or development. </w:t>
      </w:r>
    </w:p>
    <w:p w:rsidR="00AB2769" w:rsidRPr="00AB2769" w:rsidRDefault="00AB2769" w:rsidP="00AB27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</w:p>
    <w:p w:rsidR="00AB2769" w:rsidRPr="00AB2769" w:rsidRDefault="00AB2769" w:rsidP="00343169">
      <w:pPr>
        <w:pStyle w:val="Heading2"/>
        <w:rPr>
          <w:rFonts w:eastAsiaTheme="minorHAnsi"/>
        </w:rPr>
      </w:pPr>
      <w:r w:rsidRPr="00AB2769">
        <w:rPr>
          <w:rFonts w:eastAsiaTheme="minorHAnsi"/>
        </w:rPr>
        <w:t xml:space="preserve">What needs to happen next? </w:t>
      </w:r>
    </w:p>
    <w:p w:rsidR="00AB2769" w:rsidRPr="00AB2769" w:rsidRDefault="00AB2769" w:rsidP="00942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color w:val="221E1F"/>
        </w:rPr>
        <w:t xml:space="preserve">Who needs to be involved in improvements? </w:t>
      </w:r>
    </w:p>
    <w:p w:rsidR="00AB2769" w:rsidRPr="00AB2769" w:rsidRDefault="00AB2769" w:rsidP="00942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color w:val="221E1F"/>
        </w:rPr>
        <w:t xml:space="preserve">What is the time frame? </w:t>
      </w:r>
    </w:p>
    <w:p w:rsidR="00AB2769" w:rsidRPr="00AB2769" w:rsidRDefault="00AB2769" w:rsidP="00942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35" w:line="240" w:lineRule="auto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color w:val="221E1F"/>
        </w:rPr>
        <w:t xml:space="preserve">How will others be informed about improvements and changes? </w:t>
      </w:r>
    </w:p>
    <w:p w:rsidR="00AB2769" w:rsidRPr="00AB2769" w:rsidRDefault="00AB2769" w:rsidP="00942AE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221E1F"/>
        </w:rPr>
      </w:pPr>
      <w:r w:rsidRPr="00AB2769">
        <w:rPr>
          <w:rFonts w:ascii="Arial" w:eastAsiaTheme="minorHAnsi" w:hAnsi="Arial" w:cs="Arial"/>
          <w:color w:val="221E1F"/>
        </w:rPr>
        <w:t>What should be done differently next time?</w:t>
      </w:r>
    </w:p>
    <w:p w:rsidR="003B5E6A" w:rsidRPr="00AB2769" w:rsidRDefault="003B5E6A" w:rsidP="003B5E6A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sectPr w:rsidR="003B5E6A" w:rsidRPr="00AB2769" w:rsidSect="001C7A80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96" w:rsidRDefault="004F5196" w:rsidP="004F5196">
      <w:pPr>
        <w:spacing w:after="0" w:line="240" w:lineRule="auto"/>
      </w:pPr>
      <w:r>
        <w:separator/>
      </w:r>
    </w:p>
  </w:endnote>
  <w:end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78323E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E960546" wp14:editId="3C552FFD">
              <wp:simplePos x="0" y="0"/>
              <wp:positionH relativeFrom="page">
                <wp:posOffset>228600</wp:posOffset>
              </wp:positionH>
              <wp:positionV relativeFrom="page">
                <wp:posOffset>9515475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23E" w:rsidRPr="001E3C53" w:rsidRDefault="0078323E" w:rsidP="007832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78323E" w:rsidRPr="001E3C53" w:rsidRDefault="0078323E" w:rsidP="0078323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pt;margin-top:749.2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" o:allowincell="f" filled="f" stroked="f">
              <v:textbox inset="0,0,0,0">
                <w:txbxContent>
                  <w:p w:rsidR="0078323E" w:rsidRPr="001E3C53" w:rsidRDefault="0078323E" w:rsidP="0078323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78323E" w:rsidRPr="001E3C53" w:rsidRDefault="0078323E" w:rsidP="0078323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ECD95D2" wp14:editId="6FF96E68">
              <wp:simplePos x="0" y="0"/>
              <wp:positionH relativeFrom="page">
                <wp:posOffset>9525</wp:posOffset>
              </wp:positionH>
              <wp:positionV relativeFrom="page">
                <wp:posOffset>9372600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59E" w:rsidRPr="0046722A" w:rsidRDefault="0009659E" w:rsidP="00096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3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="00A67DF9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Debriefing Discussion Guide</w:t>
                          </w: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.75pt;margin-top:738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DsHXZe3wAAAAwB&#10;AAAPAAAAAAAAAAAAAAAAAAsFAABkcnMvZG93bnJldi54bWxQSwUGAAAAAAQABADzAAAAFwYAAAAA&#10;" o:allowincell="f" filled="f" stroked="f">
              <v:textbox inset="0,0,0,0">
                <w:txbxContent>
                  <w:p w:rsidR="0009659E" w:rsidRPr="0046722A" w:rsidRDefault="0009659E" w:rsidP="0009659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3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="00A67DF9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Debriefing Discussion Guide</w:t>
                    </w: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C4F28DF" wp14:editId="03DFE129">
              <wp:simplePos x="0" y="0"/>
              <wp:positionH relativeFrom="page">
                <wp:posOffset>7268845</wp:posOffset>
              </wp:positionH>
              <wp:positionV relativeFrom="page">
                <wp:posOffset>9329420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78323E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572.35pt;margin-top:734.6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" o:allowincell="f" filled="f" stroked="f">
              <v:textbox inset="0,0,0,0">
                <w:txbxContent>
                  <w:p w:rsidR="004F5196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78323E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96" w:rsidRDefault="004F5196" w:rsidP="004F5196">
      <w:pPr>
        <w:spacing w:after="0" w:line="240" w:lineRule="auto"/>
      </w:pPr>
      <w:r>
        <w:separator/>
      </w:r>
    </w:p>
  </w:footnote>
  <w:footnote w:type="continuationSeparator" w:id="0">
    <w:p w:rsidR="004F5196" w:rsidRDefault="004F5196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96" w:rsidRDefault="0078323E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28E39C" wp14:editId="16B0A12E">
              <wp:simplePos x="0" y="0"/>
              <wp:positionH relativeFrom="page">
                <wp:posOffset>162560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F5" w:rsidRPr="0046722A" w:rsidRDefault="003D62F5" w:rsidP="003D62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tion </w:t>
                          </w:r>
                          <w:r w:rsidR="0009659E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3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 w:rsidR="00A67DF9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09659E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Debriefing Discussion Guide</w:t>
                          </w:r>
                        </w:p>
                        <w:p w:rsidR="004F5196" w:rsidRPr="0046722A" w:rsidRDefault="004F5196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2.8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7klsl3gAAAAkBAAAP&#10;AAAAAAAAAAAAAAAAAAkFAABkcnMvZG93bnJldi54bWxQSwUGAAAAAAQABADzAAAAFAYAAAAA&#10;" o:allowincell="f" filled="f" stroked="f">
              <v:textbox inset="0,0,0,0">
                <w:txbxContent>
                  <w:p w:rsidR="003D62F5" w:rsidRPr="0046722A" w:rsidRDefault="003D62F5" w:rsidP="003D62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tion </w:t>
                    </w:r>
                    <w:r w:rsidR="0009659E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3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 w:rsidR="00A67DF9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09659E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Debriefing Discussion Guide</w:t>
                    </w:r>
                  </w:p>
                  <w:p w:rsidR="004F5196" w:rsidRPr="0046722A" w:rsidRDefault="004F5196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5196"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241C75" wp14:editId="31647791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196" w:rsidRPr="0046722A" w:rsidRDefault="004F5196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4F5196" w:rsidRPr="0046722A" w:rsidRDefault="004F5196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7820"/>
    <w:multiLevelType w:val="hybridMultilevel"/>
    <w:tmpl w:val="BD508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19A60"/>
    <w:multiLevelType w:val="hybridMultilevel"/>
    <w:tmpl w:val="0C76705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40BDC"/>
    <w:multiLevelType w:val="hybridMultilevel"/>
    <w:tmpl w:val="69F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008F8"/>
    <w:multiLevelType w:val="hybridMultilevel"/>
    <w:tmpl w:val="630C9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085947"/>
    <w:multiLevelType w:val="hybridMultilevel"/>
    <w:tmpl w:val="775EED02"/>
    <w:lvl w:ilvl="0" w:tplc="4BEADD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F17F9"/>
    <w:multiLevelType w:val="hybridMultilevel"/>
    <w:tmpl w:val="E7E2538C"/>
    <w:lvl w:ilvl="0" w:tplc="4BEADD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0E36"/>
    <w:multiLevelType w:val="hybridMultilevel"/>
    <w:tmpl w:val="9E5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0E3FC4"/>
    <w:multiLevelType w:val="hybridMultilevel"/>
    <w:tmpl w:val="2B8AA41A"/>
    <w:lvl w:ilvl="0" w:tplc="4BEADD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b/>
        <w:color w:val="0064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4EC4"/>
    <w:multiLevelType w:val="hybridMultilevel"/>
    <w:tmpl w:val="D1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7"/>
  </w:num>
  <w:num w:numId="5">
    <w:abstractNumId w:val="11"/>
  </w:num>
  <w:num w:numId="6">
    <w:abstractNumId w:val="19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8"/>
  </w:num>
  <w:num w:numId="13">
    <w:abstractNumId w:val="4"/>
  </w:num>
  <w:num w:numId="14">
    <w:abstractNumId w:val="3"/>
  </w:num>
  <w:num w:numId="15">
    <w:abstractNumId w:val="14"/>
  </w:num>
  <w:num w:numId="16">
    <w:abstractNumId w:val="21"/>
  </w:num>
  <w:num w:numId="17">
    <w:abstractNumId w:val="20"/>
  </w:num>
  <w:num w:numId="18">
    <w:abstractNumId w:val="13"/>
  </w:num>
  <w:num w:numId="19">
    <w:abstractNumId w:val="1"/>
  </w:num>
  <w:num w:numId="20">
    <w:abstractNumId w:val="0"/>
  </w:num>
  <w:num w:numId="21">
    <w:abstractNumId w:val="17"/>
  </w:num>
  <w:num w:numId="22">
    <w:abstractNumId w:val="8"/>
  </w:num>
  <w:num w:numId="23">
    <w:abstractNumId w:val="23"/>
  </w:num>
  <w:num w:numId="24">
    <w:abstractNumId w:val="15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9659E"/>
    <w:rsid w:val="000A09BC"/>
    <w:rsid w:val="001C7A80"/>
    <w:rsid w:val="00245E1E"/>
    <w:rsid w:val="00343169"/>
    <w:rsid w:val="003B5E6A"/>
    <w:rsid w:val="003C4E81"/>
    <w:rsid w:val="003D62F5"/>
    <w:rsid w:val="0046722A"/>
    <w:rsid w:val="004F5196"/>
    <w:rsid w:val="006779D2"/>
    <w:rsid w:val="0078323E"/>
    <w:rsid w:val="007E6BE6"/>
    <w:rsid w:val="00875F16"/>
    <w:rsid w:val="00942AE8"/>
    <w:rsid w:val="00A67DF9"/>
    <w:rsid w:val="00AB2769"/>
    <w:rsid w:val="00AE4095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69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6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16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431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169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169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1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43169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69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6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16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431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169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169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31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3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43169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7</cp:revision>
  <dcterms:created xsi:type="dcterms:W3CDTF">2012-11-27T19:24:00Z</dcterms:created>
  <dcterms:modified xsi:type="dcterms:W3CDTF">2013-04-11T19:32:00Z</dcterms:modified>
</cp:coreProperties>
</file>