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6D02" w14:textId="77777777" w:rsidR="00F329BA" w:rsidRPr="00DA5D3A" w:rsidRDefault="00F329BA" w:rsidP="00F329BA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  <w:r w:rsidRPr="00DA5D3A">
        <w:rPr>
          <w:rFonts w:ascii="Times" w:hAnsi="Times"/>
          <w:b/>
          <w:sz w:val="28"/>
          <w:szCs w:val="28"/>
        </w:rPr>
        <w:t>Evidence</w:t>
      </w:r>
      <w:r>
        <w:rPr>
          <w:rFonts w:ascii="American Typewriter" w:hAnsi="American Typewriter" w:cs="American Typewriter"/>
          <w:b/>
          <w:sz w:val="28"/>
          <w:szCs w:val="28"/>
        </w:rPr>
        <w:t>-</w:t>
      </w:r>
      <w:r w:rsidRPr="00DA5D3A">
        <w:rPr>
          <w:rFonts w:ascii="Times" w:hAnsi="Times"/>
          <w:b/>
          <w:sz w:val="28"/>
          <w:szCs w:val="28"/>
        </w:rPr>
        <w:t>based Practice Guidelines Supporting Genetic Susceptibility Testing for Hereditary Breast and Ovarian Cancer Syndrome</w:t>
      </w:r>
    </w:p>
    <w:p w14:paraId="1D44B4A1" w14:textId="77777777" w:rsidR="00F329BA" w:rsidRPr="00DA5D3A" w:rsidRDefault="00F329BA" w:rsidP="00F329BA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6FD2423A" w14:textId="0CEA2178" w:rsidR="00F329BA" w:rsidRPr="00DA5D3A" w:rsidRDefault="00F329BA" w:rsidP="00F329BA">
      <w:pPr>
        <w:spacing w:after="0" w:line="240" w:lineRule="auto"/>
        <w:rPr>
          <w:rFonts w:ascii="Times" w:hAnsi="Times"/>
          <w:b/>
          <w:vertAlign w:val="superscript"/>
        </w:rPr>
      </w:pPr>
      <w:r w:rsidRPr="00DA5D3A">
        <w:rPr>
          <w:rFonts w:ascii="Times" w:hAnsi="Times"/>
          <w:b/>
        </w:rPr>
        <w:t xml:space="preserve">United States Preventive </w:t>
      </w:r>
      <w:r>
        <w:rPr>
          <w:rFonts w:ascii="Times" w:hAnsi="Times"/>
          <w:b/>
        </w:rPr>
        <w:t xml:space="preserve">Services </w:t>
      </w:r>
      <w:r w:rsidRPr="00DA5D3A">
        <w:rPr>
          <w:rFonts w:ascii="Times" w:hAnsi="Times"/>
          <w:b/>
        </w:rPr>
        <w:t>Task Force (USPSTF) Recommendations</w:t>
      </w:r>
      <w:r>
        <w:rPr>
          <w:rFonts w:ascii="Times" w:hAnsi="Times"/>
          <w:b/>
        </w:rPr>
        <w:t xml:space="preserve"> (</w:t>
      </w:r>
      <w:r w:rsidR="000E50AF">
        <w:rPr>
          <w:rFonts w:ascii="Times" w:hAnsi="Times"/>
          <w:b/>
        </w:rPr>
        <w:t>2019</w:t>
      </w:r>
      <w:r>
        <w:rPr>
          <w:rFonts w:ascii="Times" w:hAnsi="Times"/>
          <w:b/>
        </w:rPr>
        <w:t>)</w:t>
      </w:r>
      <w:r w:rsidRPr="00DA5D3A">
        <w:rPr>
          <w:rFonts w:ascii="Times" w:hAnsi="Times"/>
          <w:b/>
          <w:vertAlign w:val="superscript"/>
        </w:rPr>
        <w:t>1</w:t>
      </w:r>
    </w:p>
    <w:p w14:paraId="70439EAF" w14:textId="77777777" w:rsidR="00F329BA" w:rsidRPr="00DA5D3A" w:rsidRDefault="00F329BA" w:rsidP="00F329BA">
      <w:pPr>
        <w:spacing w:after="0" w:line="240" w:lineRule="auto"/>
        <w:rPr>
          <w:rFonts w:ascii="Times" w:hAnsi="Times"/>
          <w:b/>
          <w:sz w:val="16"/>
          <w:szCs w:val="16"/>
        </w:rPr>
      </w:pPr>
    </w:p>
    <w:p w14:paraId="4AC533B8" w14:textId="5A23CB3A" w:rsidR="00145AE3" w:rsidRPr="00145AE3" w:rsidRDefault="00F329BA" w:rsidP="00145AE3">
      <w:pPr>
        <w:spacing w:after="0" w:line="240" w:lineRule="auto"/>
        <w:rPr>
          <w:rFonts w:ascii="Times" w:hAnsi="Times"/>
        </w:rPr>
      </w:pPr>
      <w:r w:rsidRPr="00DA5D3A">
        <w:rPr>
          <w:rFonts w:ascii="Times" w:hAnsi="Times"/>
        </w:rPr>
        <w:t xml:space="preserve">The USPSTF </w:t>
      </w:r>
      <w:r w:rsidR="00145AE3" w:rsidRPr="00145AE3">
        <w:rPr>
          <w:rFonts w:ascii="Times" w:hAnsi="Times"/>
        </w:rPr>
        <w:t xml:space="preserve">recommends that </w:t>
      </w:r>
      <w:r w:rsidR="00145AE3">
        <w:rPr>
          <w:rFonts w:ascii="Times" w:hAnsi="Times"/>
        </w:rPr>
        <w:t>“</w:t>
      </w:r>
      <w:r w:rsidR="00145AE3" w:rsidRPr="00145AE3">
        <w:rPr>
          <w:rFonts w:ascii="Times" w:hAnsi="Times"/>
        </w:rPr>
        <w:t>primary care</w:t>
      </w:r>
      <w:r w:rsidR="00145AE3">
        <w:rPr>
          <w:rFonts w:ascii="Times" w:hAnsi="Times"/>
        </w:rPr>
        <w:t xml:space="preserve"> </w:t>
      </w:r>
      <w:r w:rsidR="00145AE3" w:rsidRPr="00145AE3">
        <w:rPr>
          <w:rFonts w:ascii="Times" w:hAnsi="Times"/>
        </w:rPr>
        <w:t>clinicians assess women with a personal or family history of breast, ovarian, tubal, or</w:t>
      </w:r>
      <w:r w:rsidR="00145AE3">
        <w:rPr>
          <w:rFonts w:ascii="Times" w:hAnsi="Times"/>
        </w:rPr>
        <w:t xml:space="preserve"> </w:t>
      </w:r>
      <w:r w:rsidR="00145AE3" w:rsidRPr="00145AE3">
        <w:rPr>
          <w:rFonts w:ascii="Times" w:hAnsi="Times"/>
        </w:rPr>
        <w:t xml:space="preserve">peritoneal cancer or who have an ancestry associated with </w:t>
      </w:r>
      <w:r w:rsidR="00145AE3" w:rsidRPr="000F24ED">
        <w:rPr>
          <w:rFonts w:ascii="Times" w:hAnsi="Times"/>
          <w:i/>
        </w:rPr>
        <w:t>BRCA1/2</w:t>
      </w:r>
      <w:r w:rsidR="00145AE3" w:rsidRPr="00145AE3">
        <w:rPr>
          <w:rFonts w:ascii="Times" w:hAnsi="Times"/>
        </w:rPr>
        <w:t xml:space="preserve"> gene mutations with an</w:t>
      </w:r>
    </w:p>
    <w:p w14:paraId="7F4B3B3C" w14:textId="77777777" w:rsidR="00050E2D" w:rsidRDefault="00145AE3" w:rsidP="00145AE3">
      <w:pPr>
        <w:spacing w:after="0" w:line="240" w:lineRule="auto"/>
        <w:rPr>
          <w:rFonts w:ascii="Times" w:hAnsi="Times"/>
        </w:rPr>
      </w:pPr>
      <w:r w:rsidRPr="00145AE3">
        <w:rPr>
          <w:rFonts w:ascii="Times" w:hAnsi="Times"/>
        </w:rPr>
        <w:t>appropriate brief familial risk assessment tool.</w:t>
      </w:r>
      <w:r w:rsidR="00050E2D">
        <w:rPr>
          <w:rFonts w:ascii="Times" w:hAnsi="Times"/>
        </w:rPr>
        <w:t>”</w:t>
      </w:r>
    </w:p>
    <w:p w14:paraId="1C34EBBE" w14:textId="77777777" w:rsidR="00F329BA" w:rsidRPr="00DA5D3A" w:rsidRDefault="00F329BA" w:rsidP="00F329BA">
      <w:pPr>
        <w:pStyle w:val="ListParagraph"/>
        <w:spacing w:after="0" w:line="240" w:lineRule="auto"/>
        <w:rPr>
          <w:rFonts w:ascii="Times" w:hAnsi="Times"/>
          <w:sz w:val="16"/>
          <w:szCs w:val="16"/>
        </w:rPr>
      </w:pPr>
    </w:p>
    <w:p w14:paraId="354490D2" w14:textId="77777777" w:rsidR="00F329BA" w:rsidRPr="00DA5D3A" w:rsidRDefault="00F329BA" w:rsidP="00F329BA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DA5D3A">
        <w:rPr>
          <w:rFonts w:ascii="Times" w:hAnsi="Times"/>
        </w:rPr>
        <w:t>Family history screening tools include</w:t>
      </w:r>
    </w:p>
    <w:p w14:paraId="0A3C5C80" w14:textId="77777777" w:rsidR="000452BA" w:rsidRDefault="00541FB6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hyperlink r:id="rId7" w:anchor="tab1" w:history="1">
        <w:r w:rsidR="00F329BA" w:rsidRPr="000452BA">
          <w:rPr>
            <w:rStyle w:val="Hyperlink"/>
            <w:rFonts w:ascii="Times" w:hAnsi="Times"/>
          </w:rPr>
          <w:t>Ontario Family History Assessment Tool</w:t>
        </w:r>
      </w:hyperlink>
    </w:p>
    <w:p w14:paraId="2B9996E3" w14:textId="03FE54B2" w:rsidR="000452BA" w:rsidRDefault="00541FB6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hyperlink r:id="rId8" w:anchor="tab2" w:history="1">
        <w:r w:rsidR="00F329BA" w:rsidRPr="000452BA">
          <w:rPr>
            <w:rStyle w:val="Hyperlink"/>
            <w:rFonts w:ascii="Times" w:hAnsi="Times"/>
          </w:rPr>
          <w:t>Manchester Scoring System</w:t>
        </w:r>
      </w:hyperlink>
    </w:p>
    <w:p w14:paraId="07EEFDBA" w14:textId="7D4D802D" w:rsidR="000452BA" w:rsidRDefault="00541FB6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hyperlink r:id="rId9" w:anchor="tab3" w:history="1">
        <w:r w:rsidR="00F329BA" w:rsidRPr="000452BA">
          <w:rPr>
            <w:rStyle w:val="Hyperlink"/>
            <w:rFonts w:ascii="Times" w:hAnsi="Times"/>
          </w:rPr>
          <w:t>Referral Screening Tool</w:t>
        </w:r>
      </w:hyperlink>
    </w:p>
    <w:p w14:paraId="33320864" w14:textId="1CE9B5D2" w:rsidR="000452BA" w:rsidRDefault="00541FB6" w:rsidP="000452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hyperlink r:id="rId10" w:anchor="tab4" w:history="1">
        <w:r w:rsidR="00F329BA" w:rsidRPr="000452BA">
          <w:rPr>
            <w:rStyle w:val="Hyperlink"/>
            <w:rFonts w:ascii="Times" w:hAnsi="Times"/>
          </w:rPr>
          <w:t>Pedigree Assessment Tool</w:t>
        </w:r>
      </w:hyperlink>
      <w:r w:rsidR="00F329BA" w:rsidRPr="000452BA">
        <w:rPr>
          <w:rFonts w:ascii="Times" w:hAnsi="Times"/>
        </w:rPr>
        <w:t xml:space="preserve"> </w:t>
      </w:r>
    </w:p>
    <w:p w14:paraId="30694631" w14:textId="74DD9E6C" w:rsidR="000452BA" w:rsidRDefault="00541FB6" w:rsidP="000452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hyperlink r:id="rId11" w:anchor="tab5" w:history="1">
        <w:r w:rsidR="000F24ED" w:rsidRPr="000452BA">
          <w:rPr>
            <w:rStyle w:val="Hyperlink"/>
            <w:rFonts w:ascii="Times" w:hAnsi="Times"/>
          </w:rPr>
          <w:t>7-Question Family History Screening Tool</w:t>
        </w:r>
      </w:hyperlink>
    </w:p>
    <w:p w14:paraId="4225D5F9" w14:textId="45CFE449" w:rsidR="000452BA" w:rsidRDefault="00541FB6" w:rsidP="000452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hyperlink r:id="rId12" w:anchor="tab6" w:history="1">
        <w:r w:rsidR="000F24ED" w:rsidRPr="003E7BE2">
          <w:rPr>
            <w:rStyle w:val="Hyperlink"/>
            <w:rFonts w:ascii="Times" w:hAnsi="Times"/>
          </w:rPr>
          <w:t>International Breast Cancer Intervention Study instrument</w:t>
        </w:r>
        <w:r w:rsidR="000452BA" w:rsidRPr="003E7BE2">
          <w:rPr>
            <w:rStyle w:val="Hyperlink"/>
            <w:rFonts w:ascii="Times" w:hAnsi="Times"/>
          </w:rPr>
          <w:t xml:space="preserve"> </w:t>
        </w:r>
        <w:r w:rsidR="000F24ED" w:rsidRPr="003E7BE2">
          <w:rPr>
            <w:rStyle w:val="Hyperlink"/>
            <w:rFonts w:ascii="Times" w:hAnsi="Times"/>
          </w:rPr>
          <w:t>(</w:t>
        </w:r>
        <w:proofErr w:type="spellStart"/>
        <w:r w:rsidR="000F24ED" w:rsidRPr="003E7BE2">
          <w:rPr>
            <w:rStyle w:val="Hyperlink"/>
            <w:rFonts w:ascii="Times" w:hAnsi="Times"/>
          </w:rPr>
          <w:t>Tyrer-Cuzick</w:t>
        </w:r>
        <w:proofErr w:type="spellEnd"/>
        <w:r w:rsidR="000F24ED" w:rsidRPr="003E7BE2">
          <w:rPr>
            <w:rStyle w:val="Hyperlink"/>
            <w:rFonts w:ascii="Times" w:hAnsi="Times"/>
          </w:rPr>
          <w:t>)</w:t>
        </w:r>
      </w:hyperlink>
    </w:p>
    <w:p w14:paraId="07B0BE99" w14:textId="408E86F3" w:rsidR="000F24ED" w:rsidRPr="000452BA" w:rsidRDefault="000452BA" w:rsidP="000452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B</w:t>
      </w:r>
      <w:r w:rsidR="000F24ED" w:rsidRPr="000452BA">
        <w:rPr>
          <w:rFonts w:ascii="Times" w:hAnsi="Times"/>
        </w:rPr>
        <w:t>rief versions of BRCAPRO</w:t>
      </w:r>
    </w:p>
    <w:p w14:paraId="6DAAF29C" w14:textId="77777777" w:rsidR="00F329BA" w:rsidRPr="00DA5D3A" w:rsidRDefault="00F329BA" w:rsidP="00F329BA">
      <w:pPr>
        <w:pStyle w:val="ListParagraph"/>
        <w:spacing w:after="0" w:line="240" w:lineRule="auto"/>
        <w:rPr>
          <w:rFonts w:ascii="Times" w:hAnsi="Times"/>
          <w:sz w:val="16"/>
          <w:szCs w:val="16"/>
        </w:rPr>
      </w:pPr>
    </w:p>
    <w:p w14:paraId="5CB373EB" w14:textId="777B6E50" w:rsidR="00050E2D" w:rsidRPr="00050E2D" w:rsidRDefault="00050E2D" w:rsidP="00050E2D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“</w:t>
      </w:r>
      <w:r w:rsidRPr="00050E2D">
        <w:rPr>
          <w:rFonts w:ascii="Times" w:hAnsi="Times"/>
        </w:rPr>
        <w:t>Women with a positive result on the risk assessment tool should receive genetic counseling and, if indicated after counseling, genetic</w:t>
      </w:r>
      <w:r>
        <w:rPr>
          <w:rFonts w:ascii="Times" w:hAnsi="Times"/>
        </w:rPr>
        <w:t xml:space="preserve"> testing.”</w:t>
      </w:r>
    </w:p>
    <w:p w14:paraId="38066D79" w14:textId="77777777" w:rsidR="00F329BA" w:rsidRPr="00DA5D3A" w:rsidRDefault="00F329BA" w:rsidP="00F329BA">
      <w:pPr>
        <w:pStyle w:val="ListParagraph"/>
        <w:spacing w:after="0" w:line="240" w:lineRule="auto"/>
        <w:rPr>
          <w:rFonts w:ascii="Times" w:hAnsi="Times"/>
          <w:sz w:val="16"/>
          <w:szCs w:val="16"/>
        </w:rPr>
      </w:pPr>
    </w:p>
    <w:p w14:paraId="5587ADFA" w14:textId="07A6369F" w:rsidR="00984CD3" w:rsidRPr="00E671E9" w:rsidRDefault="00984CD3" w:rsidP="00E671E9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The USPSTF recommendation includes the following personal or family health histories as examples of increased likelihood of having a </w:t>
      </w:r>
      <w:r>
        <w:rPr>
          <w:rFonts w:ascii="Times" w:hAnsi="Times"/>
          <w:i/>
        </w:rPr>
        <w:t>BRCA</w:t>
      </w:r>
      <w:r>
        <w:rPr>
          <w:rFonts w:ascii="Times" w:hAnsi="Times"/>
        </w:rPr>
        <w:t xml:space="preserve"> mutation:</w:t>
      </w:r>
    </w:p>
    <w:p w14:paraId="1B645C9B" w14:textId="53786117" w:rsidR="00F329BA" w:rsidRPr="00DA5D3A" w:rsidRDefault="00984CD3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B</w:t>
      </w:r>
      <w:r w:rsidR="00F329BA" w:rsidRPr="00DA5D3A">
        <w:rPr>
          <w:rFonts w:ascii="Times" w:hAnsi="Times"/>
        </w:rPr>
        <w:t>reast cancer diagnosed before age 50</w:t>
      </w:r>
    </w:p>
    <w:p w14:paraId="1CEC206A" w14:textId="520666F3" w:rsidR="00860EC9" w:rsidRDefault="00984CD3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B</w:t>
      </w:r>
      <w:r w:rsidR="00F329BA">
        <w:rPr>
          <w:rFonts w:ascii="Times" w:hAnsi="Times"/>
        </w:rPr>
        <w:t>ilateral</w:t>
      </w:r>
      <w:r w:rsidR="00F329BA" w:rsidRPr="00DA5D3A">
        <w:rPr>
          <w:rFonts w:ascii="Times" w:hAnsi="Times"/>
        </w:rPr>
        <w:t xml:space="preserve"> breast cancer </w:t>
      </w:r>
    </w:p>
    <w:p w14:paraId="5AA85796" w14:textId="6C17C388" w:rsidR="00984CD3" w:rsidRDefault="00984CD3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Presence of both breast and ovarian cancer in the same person</w:t>
      </w:r>
    </w:p>
    <w:p w14:paraId="66B5396E" w14:textId="549DFFA5" w:rsidR="00984CD3" w:rsidRDefault="00984CD3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Breast cancer in a male</w:t>
      </w:r>
    </w:p>
    <w:p w14:paraId="4C6537FB" w14:textId="0AEDE643" w:rsidR="00E671E9" w:rsidRDefault="00E671E9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Multiple cases of breast cancer in the family</w:t>
      </w:r>
    </w:p>
    <w:p w14:paraId="744164A5" w14:textId="68F51900" w:rsidR="00F329BA" w:rsidRPr="00DA5D3A" w:rsidRDefault="00984CD3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One </w:t>
      </w:r>
      <w:r w:rsidR="00F329BA" w:rsidRPr="00DA5D3A">
        <w:rPr>
          <w:rFonts w:ascii="Times" w:hAnsi="Times"/>
        </w:rPr>
        <w:t xml:space="preserve">or </w:t>
      </w:r>
      <w:r>
        <w:rPr>
          <w:rFonts w:ascii="Times" w:hAnsi="Times"/>
        </w:rPr>
        <w:t xml:space="preserve">more family members with </w:t>
      </w:r>
      <w:r w:rsidR="00F329BA" w:rsidRPr="00DA5D3A">
        <w:rPr>
          <w:rFonts w:ascii="Times" w:hAnsi="Times"/>
        </w:rPr>
        <w:t xml:space="preserve">two </w:t>
      </w:r>
      <w:r w:rsidR="00F329BA">
        <w:rPr>
          <w:rFonts w:ascii="Times" w:hAnsi="Times"/>
        </w:rPr>
        <w:t xml:space="preserve">primary </w:t>
      </w:r>
      <w:r w:rsidR="00F329BA" w:rsidRPr="00DA5D3A">
        <w:rPr>
          <w:rFonts w:ascii="Times" w:hAnsi="Times"/>
        </w:rPr>
        <w:t xml:space="preserve">types of </w:t>
      </w:r>
      <w:r w:rsidR="00F329BA" w:rsidRPr="00DA5D3A">
        <w:rPr>
          <w:rFonts w:ascii="Times" w:hAnsi="Times"/>
          <w:i/>
        </w:rPr>
        <w:t>BRCA</w:t>
      </w:r>
      <w:r w:rsidR="00F329BA" w:rsidRPr="00DA5D3A">
        <w:rPr>
          <w:rFonts w:ascii="Times" w:hAnsi="Times"/>
        </w:rPr>
        <w:t>-related cancer</w:t>
      </w:r>
    </w:p>
    <w:p w14:paraId="748051CB" w14:textId="77777777" w:rsidR="00F329BA" w:rsidRDefault="00F329BA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 w:rsidRPr="00DA5D3A">
        <w:rPr>
          <w:rFonts w:ascii="Times" w:hAnsi="Times"/>
        </w:rPr>
        <w:t>Ashkenazi (Eastern European) Jewish ancestry</w:t>
      </w:r>
    </w:p>
    <w:p w14:paraId="79CEE130" w14:textId="2D735C3F" w:rsidR="00F329BA" w:rsidRPr="009B2D2F" w:rsidRDefault="00826C41" w:rsidP="00F329BA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Family member</w:t>
      </w:r>
      <w:r w:rsidR="00811151" w:rsidRPr="00DA5D3A">
        <w:rPr>
          <w:rFonts w:ascii="Times" w:hAnsi="Times"/>
        </w:rPr>
        <w:t xml:space="preserve"> </w:t>
      </w:r>
      <w:r w:rsidR="00F329BA" w:rsidRPr="009B2D2F">
        <w:rPr>
          <w:rFonts w:ascii="Times" w:hAnsi="Times"/>
        </w:rPr>
        <w:t xml:space="preserve">with a known </w:t>
      </w:r>
      <w:r>
        <w:rPr>
          <w:rFonts w:ascii="Times" w:hAnsi="Times"/>
        </w:rPr>
        <w:t xml:space="preserve">harmful </w:t>
      </w:r>
      <w:r w:rsidR="00F329BA" w:rsidRPr="009B2D2F">
        <w:rPr>
          <w:rFonts w:ascii="Times" w:hAnsi="Times"/>
        </w:rPr>
        <w:t xml:space="preserve">genetic mutation in the </w:t>
      </w:r>
      <w:r w:rsidR="00F329BA" w:rsidRPr="002A1B8B">
        <w:rPr>
          <w:rFonts w:ascii="Times" w:hAnsi="Times"/>
          <w:i/>
        </w:rPr>
        <w:t>BRCA1</w:t>
      </w:r>
      <w:r w:rsidR="00F329BA" w:rsidRPr="009B2D2F">
        <w:rPr>
          <w:rFonts w:ascii="Times" w:hAnsi="Times"/>
        </w:rPr>
        <w:t xml:space="preserve"> or </w:t>
      </w:r>
      <w:r w:rsidR="00F329BA" w:rsidRPr="002A1B8B">
        <w:rPr>
          <w:rFonts w:ascii="Times" w:hAnsi="Times"/>
          <w:i/>
        </w:rPr>
        <w:t>BRCA2</w:t>
      </w:r>
      <w:r w:rsidR="00F329BA" w:rsidRPr="009B2D2F">
        <w:rPr>
          <w:rFonts w:ascii="Times" w:hAnsi="Times"/>
        </w:rPr>
        <w:t xml:space="preserve"> gene</w:t>
      </w:r>
    </w:p>
    <w:p w14:paraId="10A1E5CD" w14:textId="77777777" w:rsidR="00F329BA" w:rsidRPr="00DA5D3A" w:rsidRDefault="00F329BA" w:rsidP="00F329BA">
      <w:pPr>
        <w:spacing w:after="0" w:line="240" w:lineRule="auto"/>
        <w:rPr>
          <w:rFonts w:ascii="Times" w:hAnsi="Times"/>
          <w:b/>
          <w:sz w:val="16"/>
          <w:szCs w:val="16"/>
        </w:rPr>
      </w:pPr>
    </w:p>
    <w:p w14:paraId="2DF9AA96" w14:textId="7A8DE07E" w:rsidR="00F329BA" w:rsidRPr="00DA5D3A" w:rsidRDefault="00C040E5" w:rsidP="00F329BA">
      <w:pPr>
        <w:spacing w:after="0" w:line="240" w:lineRule="auto"/>
        <w:rPr>
          <w:rFonts w:ascii="Times" w:hAnsi="Times"/>
          <w:b/>
          <w:sz w:val="16"/>
          <w:szCs w:val="16"/>
        </w:rPr>
      </w:pPr>
      <w:r>
        <w:rPr>
          <w:rFonts w:ascii="Times" w:hAnsi="Times"/>
          <w:b/>
        </w:rPr>
        <w:t>Other recommendations</w:t>
      </w:r>
    </w:p>
    <w:p w14:paraId="5E121069" w14:textId="77777777" w:rsidR="00F329BA" w:rsidRPr="00DA5D3A" w:rsidRDefault="00F329BA" w:rsidP="00F329BA">
      <w:pPr>
        <w:pStyle w:val="ListParagraph"/>
        <w:spacing w:after="0" w:line="240" w:lineRule="auto"/>
        <w:rPr>
          <w:rFonts w:ascii="Times" w:hAnsi="Times"/>
          <w:b/>
          <w:sz w:val="16"/>
          <w:szCs w:val="16"/>
        </w:rPr>
      </w:pPr>
    </w:p>
    <w:p w14:paraId="760C76C4" w14:textId="6FFF902B" w:rsidR="00F329BA" w:rsidRPr="00BA043B" w:rsidRDefault="00F329BA" w:rsidP="00F329BA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</w:rPr>
      </w:pPr>
      <w:r w:rsidRPr="00151EE8">
        <w:rPr>
          <w:rFonts w:ascii="Times" w:hAnsi="Times"/>
        </w:rPr>
        <w:t>National Comprehensive Cancer Network (NCCN)</w:t>
      </w:r>
      <w:r w:rsidRPr="00427CC0">
        <w:rPr>
          <w:rFonts w:ascii="Times" w:hAnsi="Times"/>
        </w:rPr>
        <w:t xml:space="preserve"> </w:t>
      </w:r>
      <w:r>
        <w:rPr>
          <w:rFonts w:ascii="Times" w:hAnsi="Times"/>
        </w:rPr>
        <w:t>(201</w:t>
      </w:r>
      <w:r w:rsidR="00562008">
        <w:rPr>
          <w:rFonts w:ascii="Times" w:hAnsi="Times"/>
        </w:rPr>
        <w:t>9</w:t>
      </w:r>
      <w:r>
        <w:rPr>
          <w:rFonts w:ascii="Times" w:hAnsi="Times"/>
        </w:rPr>
        <w:t>)</w:t>
      </w:r>
      <w:r w:rsidRPr="00151EE8">
        <w:rPr>
          <w:rFonts w:ascii="Times" w:hAnsi="Times"/>
        </w:rPr>
        <w:t xml:space="preserve"> Recommend</w:t>
      </w:r>
      <w:r>
        <w:rPr>
          <w:rFonts w:ascii="Times" w:hAnsi="Times"/>
        </w:rPr>
        <w:t>ations</w:t>
      </w:r>
      <w:r>
        <w:rPr>
          <w:rFonts w:ascii="Times" w:hAnsi="Times"/>
          <w:vertAlign w:val="superscript"/>
        </w:rPr>
        <w:t>3</w:t>
      </w:r>
    </w:p>
    <w:p w14:paraId="2512599E" w14:textId="13883BA1" w:rsidR="00826C41" w:rsidRPr="00826C41" w:rsidRDefault="00F329BA" w:rsidP="00826C41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C606B3">
        <w:rPr>
          <w:rFonts w:ascii="Times" w:hAnsi="Times"/>
        </w:rPr>
        <w:t xml:space="preserve">Referral for </w:t>
      </w:r>
      <w:r>
        <w:rPr>
          <w:rFonts w:ascii="Times" w:hAnsi="Times"/>
          <w:i/>
        </w:rPr>
        <w:t xml:space="preserve">BRCA </w:t>
      </w:r>
      <w:r w:rsidRPr="00C606B3">
        <w:rPr>
          <w:rFonts w:ascii="Times" w:hAnsi="Times"/>
        </w:rPr>
        <w:t>genet</w:t>
      </w:r>
      <w:r>
        <w:rPr>
          <w:rFonts w:ascii="Times" w:hAnsi="Times"/>
        </w:rPr>
        <w:t xml:space="preserve">ic counseling </w:t>
      </w:r>
      <w:r w:rsidRPr="00C606B3">
        <w:rPr>
          <w:rFonts w:ascii="Times" w:hAnsi="Times"/>
        </w:rPr>
        <w:t>is recommended fo</w:t>
      </w:r>
      <w:r w:rsidR="004A3260">
        <w:rPr>
          <w:rFonts w:ascii="Times" w:hAnsi="Times"/>
        </w:rPr>
        <w:t>r individuals with a personal history of any of the following or a first- or second-degree relative (mother, father, brother, sister, child, grandparent, aunt, uncle, niece, or nephew) with any of the following:</w:t>
      </w:r>
    </w:p>
    <w:p w14:paraId="7943C711" w14:textId="77777777" w:rsidR="004A3260" w:rsidRPr="00F36951" w:rsidRDefault="004A3260" w:rsidP="00636CCE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Family member with a known pathogenic or likely pathogenic </w:t>
      </w:r>
      <w:r>
        <w:rPr>
          <w:rFonts w:ascii="Times" w:hAnsi="Times"/>
          <w:i/>
        </w:rPr>
        <w:t xml:space="preserve">BRCA </w:t>
      </w:r>
      <w:r>
        <w:rPr>
          <w:rFonts w:ascii="Times" w:hAnsi="Times"/>
        </w:rPr>
        <w:t>mutation</w:t>
      </w:r>
    </w:p>
    <w:p w14:paraId="2D7C5365" w14:textId="4CC6E7AA" w:rsidR="00F329BA" w:rsidRPr="00950C83" w:rsidRDefault="00F329BA" w:rsidP="00F329BA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Ovarian carcinoma</w:t>
      </w:r>
    </w:p>
    <w:p w14:paraId="159806B0" w14:textId="6760EFA0" w:rsidR="00F329BA" w:rsidRDefault="00F329BA" w:rsidP="00F329BA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Male breast cancer</w:t>
      </w:r>
    </w:p>
    <w:p w14:paraId="0CD5BD72" w14:textId="34A3EF46" w:rsidR="001B7EC7" w:rsidRDefault="001B7EC7" w:rsidP="00F329BA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Pancreatic cancer</w:t>
      </w:r>
    </w:p>
    <w:p w14:paraId="101F2B9F" w14:textId="3A32217F" w:rsidR="001B7EC7" w:rsidRDefault="001B7EC7" w:rsidP="00F329BA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Metastatic prostate cancer</w:t>
      </w:r>
    </w:p>
    <w:p w14:paraId="04453BDF" w14:textId="77777777" w:rsidR="00F329BA" w:rsidRDefault="00F329BA" w:rsidP="00F329BA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Female breast cancer and one or more of the following</w:t>
      </w:r>
    </w:p>
    <w:p w14:paraId="6F169ABF" w14:textId="77777777" w:rsidR="00F329BA" w:rsidRPr="00950C83" w:rsidRDefault="00F329BA" w:rsidP="00F329BA">
      <w:pPr>
        <w:pStyle w:val="ListParagraph"/>
        <w:numPr>
          <w:ilvl w:val="3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 xml:space="preserve">Diagnosed ≤ age 45 </w:t>
      </w:r>
    </w:p>
    <w:p w14:paraId="513B8F31" w14:textId="701FA91D" w:rsidR="00F329BA" w:rsidRPr="00950C83" w:rsidRDefault="00F329BA" w:rsidP="00F329BA">
      <w:pPr>
        <w:pStyle w:val="ListParagraph"/>
        <w:numPr>
          <w:ilvl w:val="3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 xml:space="preserve">Diagnosed age </w:t>
      </w:r>
      <w:r w:rsidR="00636CCE">
        <w:rPr>
          <w:rFonts w:ascii="Times" w:hAnsi="Times"/>
        </w:rPr>
        <w:t>46-</w:t>
      </w:r>
      <w:r w:rsidRPr="00950C83">
        <w:rPr>
          <w:rFonts w:ascii="Times" w:hAnsi="Times"/>
        </w:rPr>
        <w:t>50 with:</w:t>
      </w:r>
    </w:p>
    <w:p w14:paraId="74F123BD" w14:textId="6F76BE7F" w:rsidR="00F329BA" w:rsidRPr="00950C83" w:rsidRDefault="00F329BA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 xml:space="preserve">Another </w:t>
      </w:r>
      <w:r w:rsidR="003C1338">
        <w:rPr>
          <w:rFonts w:ascii="Times" w:hAnsi="Times"/>
        </w:rPr>
        <w:t xml:space="preserve">breast cancer </w:t>
      </w:r>
      <w:r w:rsidRPr="00950C83">
        <w:rPr>
          <w:rFonts w:ascii="Times" w:hAnsi="Times"/>
        </w:rPr>
        <w:t xml:space="preserve">primary </w:t>
      </w:r>
      <w:r w:rsidR="003C1338">
        <w:rPr>
          <w:rFonts w:ascii="Times" w:hAnsi="Times"/>
        </w:rPr>
        <w:t>at any age</w:t>
      </w:r>
    </w:p>
    <w:p w14:paraId="61F4FACD" w14:textId="5291378E" w:rsidR="00F329BA" w:rsidRPr="00950C83" w:rsidRDefault="00F329BA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≥ 1 close blood relative with breast can</w:t>
      </w:r>
      <w:r w:rsidRPr="00F32C93">
        <w:rPr>
          <w:rFonts w:ascii="Times" w:hAnsi="Times"/>
        </w:rPr>
        <w:t>cer or</w:t>
      </w:r>
      <w:r w:rsidRPr="003C1338">
        <w:rPr>
          <w:rFonts w:ascii="Times" w:hAnsi="Times"/>
        </w:rPr>
        <w:t xml:space="preserve"> high grade</w:t>
      </w:r>
      <w:r w:rsidR="003C1338">
        <w:rPr>
          <w:rFonts w:ascii="Times" w:hAnsi="Times"/>
        </w:rPr>
        <w:t xml:space="preserve"> (Gleason score </w:t>
      </w:r>
      <w:r w:rsidR="003C1338">
        <w:rPr>
          <w:rFonts w:ascii="Times" w:hAnsi="Times" w:cs="Times"/>
        </w:rPr>
        <w:t>≥7)</w:t>
      </w:r>
      <w:r w:rsidRPr="003C1338">
        <w:rPr>
          <w:rFonts w:ascii="Times" w:hAnsi="Times"/>
        </w:rPr>
        <w:t xml:space="preserve"> prostate cancer a</w:t>
      </w:r>
      <w:r w:rsidRPr="00950C83">
        <w:rPr>
          <w:rFonts w:ascii="Times" w:hAnsi="Times"/>
        </w:rPr>
        <w:t>t any age</w:t>
      </w:r>
    </w:p>
    <w:p w14:paraId="0E466F1B" w14:textId="77777777" w:rsidR="00F329BA" w:rsidRPr="00950C83" w:rsidRDefault="00F329BA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An unknown or limited family history</w:t>
      </w:r>
    </w:p>
    <w:p w14:paraId="3F21101D" w14:textId="77777777" w:rsidR="00F329BA" w:rsidRPr="00950C83" w:rsidRDefault="00F329BA" w:rsidP="00F329BA">
      <w:pPr>
        <w:pStyle w:val="ListParagraph"/>
        <w:numPr>
          <w:ilvl w:val="3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Diagnosed ≤ age 60 with triple negative breast cancer</w:t>
      </w:r>
    </w:p>
    <w:p w14:paraId="7273EFF0" w14:textId="77777777" w:rsidR="00F329BA" w:rsidRPr="00950C83" w:rsidRDefault="00F329BA" w:rsidP="00F329BA">
      <w:pPr>
        <w:pStyle w:val="ListParagraph"/>
        <w:numPr>
          <w:ilvl w:val="3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Diagnosed at any age with</w:t>
      </w:r>
    </w:p>
    <w:p w14:paraId="4CD6A2C8" w14:textId="77777777" w:rsidR="008F705A" w:rsidRDefault="00F329BA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lastRenderedPageBreak/>
        <w:t xml:space="preserve">≥ 1 close blood relative with </w:t>
      </w:r>
    </w:p>
    <w:p w14:paraId="64C8CE5C" w14:textId="3728A513" w:rsidR="00F329BA" w:rsidRDefault="00F329BA" w:rsidP="008F705A">
      <w:pPr>
        <w:pStyle w:val="ListParagraph"/>
        <w:numPr>
          <w:ilvl w:val="5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breast cancer diagnosed ≤ age 50</w:t>
      </w:r>
    </w:p>
    <w:p w14:paraId="2D51AE3C" w14:textId="0392EE02" w:rsidR="00F32C93" w:rsidRDefault="00F32C93" w:rsidP="008F705A">
      <w:pPr>
        <w:pStyle w:val="ListParagraph"/>
        <w:numPr>
          <w:ilvl w:val="5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ovarian carcinoma</w:t>
      </w:r>
    </w:p>
    <w:p w14:paraId="36C1711C" w14:textId="039FBD64" w:rsidR="00F32C93" w:rsidRDefault="00F32C93" w:rsidP="008F705A">
      <w:pPr>
        <w:pStyle w:val="ListParagraph"/>
        <w:numPr>
          <w:ilvl w:val="5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male breast cancer</w:t>
      </w:r>
    </w:p>
    <w:p w14:paraId="22314A0C" w14:textId="3634F912" w:rsidR="00F32C93" w:rsidRDefault="00F32C93" w:rsidP="008F705A">
      <w:pPr>
        <w:pStyle w:val="ListParagraph"/>
        <w:numPr>
          <w:ilvl w:val="5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metastatic prostate cancer</w:t>
      </w:r>
    </w:p>
    <w:p w14:paraId="2943F2D8" w14:textId="3A5E0B0A" w:rsidR="00F32C93" w:rsidRPr="00950C83" w:rsidRDefault="00F32C93" w:rsidP="008F705A">
      <w:pPr>
        <w:pStyle w:val="ListParagraph"/>
        <w:numPr>
          <w:ilvl w:val="5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pancreatic cancer</w:t>
      </w:r>
    </w:p>
    <w:p w14:paraId="06A18926" w14:textId="63D45FFD" w:rsidR="00F329BA" w:rsidRDefault="00F329BA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≥ 2 close blood relatives with breast cancer at any age</w:t>
      </w:r>
    </w:p>
    <w:p w14:paraId="657360BF" w14:textId="5E9850CA" w:rsidR="000A33B6" w:rsidRPr="00950C83" w:rsidRDefault="000A33B6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≥ 2</w:t>
      </w:r>
      <w:r>
        <w:rPr>
          <w:rFonts w:ascii="Times" w:hAnsi="Times"/>
        </w:rPr>
        <w:t xml:space="preserve"> </w:t>
      </w:r>
      <w:r w:rsidR="00255470">
        <w:rPr>
          <w:rFonts w:ascii="Times" w:hAnsi="Times"/>
        </w:rPr>
        <w:t xml:space="preserve">additional breast cancer </w:t>
      </w:r>
      <w:r w:rsidR="004A3260">
        <w:rPr>
          <w:rFonts w:ascii="Times" w:hAnsi="Times"/>
        </w:rPr>
        <w:t>primaries at any age</w:t>
      </w:r>
    </w:p>
    <w:p w14:paraId="11077D7F" w14:textId="5272AF30" w:rsidR="00F329BA" w:rsidRPr="00BA043B" w:rsidRDefault="00F329BA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 xml:space="preserve">Ashkenazi or Eastern European </w:t>
      </w:r>
      <w:r w:rsidR="00B07D4D">
        <w:rPr>
          <w:rFonts w:ascii="Times" w:hAnsi="Times"/>
        </w:rPr>
        <w:t xml:space="preserve">Jewish </w:t>
      </w:r>
      <w:r w:rsidRPr="00950C83">
        <w:rPr>
          <w:rFonts w:ascii="Times" w:hAnsi="Times"/>
        </w:rPr>
        <w:t>ancestry</w:t>
      </w:r>
    </w:p>
    <w:p w14:paraId="67663E16" w14:textId="33458B7C" w:rsidR="00F329BA" w:rsidRPr="00950C83" w:rsidRDefault="004A3260" w:rsidP="00F329BA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H</w:t>
      </w:r>
      <w:r w:rsidR="00F329BA" w:rsidRPr="00950C83">
        <w:rPr>
          <w:rFonts w:ascii="Times" w:hAnsi="Times"/>
        </w:rPr>
        <w:t>igh gra</w:t>
      </w:r>
      <w:r w:rsidR="00F329BA">
        <w:rPr>
          <w:rFonts w:ascii="Times" w:hAnsi="Times"/>
        </w:rPr>
        <w:t xml:space="preserve">de prostate cancer </w:t>
      </w:r>
      <w:r>
        <w:rPr>
          <w:rFonts w:ascii="Times" w:hAnsi="Times"/>
        </w:rPr>
        <w:t xml:space="preserve">(Gleason score </w:t>
      </w:r>
      <w:r>
        <w:rPr>
          <w:rFonts w:ascii="Times" w:hAnsi="Times" w:cs="Times"/>
        </w:rPr>
        <w:t>≥</w:t>
      </w:r>
      <w:r>
        <w:rPr>
          <w:rFonts w:ascii="Times" w:hAnsi="Times"/>
        </w:rPr>
        <w:t xml:space="preserve">7) </w:t>
      </w:r>
      <w:r w:rsidR="00F329BA">
        <w:rPr>
          <w:rFonts w:ascii="Times" w:hAnsi="Times"/>
        </w:rPr>
        <w:t>at any age and one</w:t>
      </w:r>
      <w:r w:rsidR="00F329BA" w:rsidRPr="00950C83">
        <w:rPr>
          <w:rFonts w:ascii="Times" w:hAnsi="Times"/>
        </w:rPr>
        <w:t xml:space="preserve"> or more of the following </w:t>
      </w:r>
    </w:p>
    <w:p w14:paraId="5868C0BC" w14:textId="77777777" w:rsidR="00F329BA" w:rsidRPr="00950C83" w:rsidRDefault="00F329BA" w:rsidP="00F329BA">
      <w:pPr>
        <w:pStyle w:val="ListParagraph"/>
        <w:numPr>
          <w:ilvl w:val="3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≥ 1 close blood relatives with</w:t>
      </w:r>
    </w:p>
    <w:p w14:paraId="45B6D7F8" w14:textId="77777777" w:rsidR="00F329BA" w:rsidRPr="00950C83" w:rsidRDefault="00F329BA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 xml:space="preserve">Ovarian carcinoma at any age </w:t>
      </w:r>
    </w:p>
    <w:p w14:paraId="3FACEAC9" w14:textId="67B80426" w:rsidR="004A3260" w:rsidRDefault="004A3260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Pancreatic cancer at any age</w:t>
      </w:r>
    </w:p>
    <w:p w14:paraId="19840B8F" w14:textId="509A6F2E" w:rsidR="004A3260" w:rsidRPr="00950C83" w:rsidRDefault="004A3260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Metastatic prostate cancer at any age</w:t>
      </w:r>
    </w:p>
    <w:p w14:paraId="12881F9C" w14:textId="77777777" w:rsidR="00F329BA" w:rsidRPr="00950C83" w:rsidRDefault="00F329BA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 xml:space="preserve">Breast cancer ≤50 years </w:t>
      </w:r>
    </w:p>
    <w:p w14:paraId="0B316756" w14:textId="77777777" w:rsidR="00F329BA" w:rsidRPr="00950C83" w:rsidRDefault="00F329BA" w:rsidP="00F329BA">
      <w:pPr>
        <w:pStyle w:val="ListParagraph"/>
        <w:numPr>
          <w:ilvl w:val="3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≥ 2 close blood relatives with</w:t>
      </w:r>
    </w:p>
    <w:p w14:paraId="0156028C" w14:textId="77777777" w:rsidR="00F329BA" w:rsidRPr="00950C83" w:rsidRDefault="00F329BA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>Breast cancer at any age</w:t>
      </w:r>
    </w:p>
    <w:p w14:paraId="7EEF4B23" w14:textId="1F12C916" w:rsidR="00F329BA" w:rsidRPr="00950C83" w:rsidRDefault="009A68DD" w:rsidP="00F329BA">
      <w:pPr>
        <w:pStyle w:val="ListParagraph"/>
        <w:numPr>
          <w:ilvl w:val="4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P</w:t>
      </w:r>
      <w:r w:rsidR="00F329BA" w:rsidRPr="00950C83">
        <w:rPr>
          <w:rFonts w:ascii="Times" w:hAnsi="Times"/>
        </w:rPr>
        <w:t xml:space="preserve">rostate cancer </w:t>
      </w:r>
      <w:r w:rsidR="00541FB6">
        <w:rPr>
          <w:rFonts w:ascii="Times" w:hAnsi="Times"/>
        </w:rPr>
        <w:t xml:space="preserve">(any grade) </w:t>
      </w:r>
      <w:r w:rsidR="00F329BA" w:rsidRPr="00950C83">
        <w:rPr>
          <w:rFonts w:ascii="Times" w:hAnsi="Times"/>
        </w:rPr>
        <w:t>at any age</w:t>
      </w:r>
    </w:p>
    <w:p w14:paraId="3D2281E4" w14:textId="2EB9084A" w:rsidR="00F329BA" w:rsidRDefault="00F329BA" w:rsidP="00541FB6">
      <w:pPr>
        <w:pStyle w:val="ListParagraph"/>
        <w:numPr>
          <w:ilvl w:val="3"/>
          <w:numId w:val="2"/>
        </w:numPr>
        <w:spacing w:after="0" w:line="240" w:lineRule="auto"/>
        <w:rPr>
          <w:rFonts w:ascii="Times" w:hAnsi="Times"/>
        </w:rPr>
      </w:pPr>
      <w:r w:rsidRPr="00950C83">
        <w:rPr>
          <w:rFonts w:ascii="Times" w:hAnsi="Times"/>
        </w:rPr>
        <w:t xml:space="preserve">Ashkenazi </w:t>
      </w:r>
      <w:r w:rsidR="00F36951">
        <w:rPr>
          <w:rFonts w:ascii="Times" w:hAnsi="Times"/>
        </w:rPr>
        <w:t>(</w:t>
      </w:r>
      <w:r w:rsidR="00F36951" w:rsidRPr="00950C83">
        <w:rPr>
          <w:rFonts w:ascii="Times" w:hAnsi="Times"/>
        </w:rPr>
        <w:t>Eastern European</w:t>
      </w:r>
      <w:r w:rsidR="00F36951">
        <w:rPr>
          <w:rFonts w:ascii="Times" w:hAnsi="Times"/>
        </w:rPr>
        <w:t>)</w:t>
      </w:r>
      <w:r w:rsidR="00F36951" w:rsidRPr="00950C83">
        <w:rPr>
          <w:rFonts w:ascii="Times" w:hAnsi="Times"/>
        </w:rPr>
        <w:t xml:space="preserve"> </w:t>
      </w:r>
      <w:r w:rsidRPr="00950C83">
        <w:rPr>
          <w:rFonts w:ascii="Times" w:hAnsi="Times"/>
        </w:rPr>
        <w:t>Jewish ancestry</w:t>
      </w:r>
    </w:p>
    <w:p w14:paraId="6D5821AC" w14:textId="71960E44" w:rsidR="00636CCE" w:rsidRPr="00541FB6" w:rsidRDefault="00F329BA" w:rsidP="00541FB6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 w:rsidRPr="00A5771D">
        <w:rPr>
          <w:rFonts w:ascii="Times" w:hAnsi="Times"/>
        </w:rPr>
        <w:t xml:space="preserve">BRCA1/2 </w:t>
      </w:r>
      <w:r w:rsidR="00541FB6">
        <w:rPr>
          <w:rFonts w:ascii="Times" w:hAnsi="Times"/>
        </w:rPr>
        <w:t xml:space="preserve">pathogenic or likely pathogenic </w:t>
      </w:r>
      <w:r w:rsidRPr="00A5771D">
        <w:rPr>
          <w:rFonts w:ascii="Times" w:hAnsi="Times"/>
        </w:rPr>
        <w:t>mutation detected by tumor profiling in the absenc</w:t>
      </w:r>
      <w:r>
        <w:rPr>
          <w:rFonts w:ascii="Times" w:hAnsi="Times"/>
        </w:rPr>
        <w:t>e of germline mutation analysis</w:t>
      </w:r>
      <w:bookmarkStart w:id="0" w:name="_GoBack"/>
      <w:bookmarkEnd w:id="0"/>
    </w:p>
    <w:p w14:paraId="2AC8D598" w14:textId="77777777" w:rsidR="00F329BA" w:rsidRPr="003574D3" w:rsidRDefault="00F329BA" w:rsidP="00F329BA">
      <w:pPr>
        <w:spacing w:after="0" w:line="240" w:lineRule="auto"/>
      </w:pPr>
    </w:p>
    <w:p w14:paraId="75B6E415" w14:textId="77777777" w:rsidR="00F329BA" w:rsidRPr="00BA043B" w:rsidRDefault="00F329BA" w:rsidP="00F329BA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</w:rPr>
      </w:pPr>
      <w:r w:rsidRPr="00151EE8">
        <w:rPr>
          <w:rFonts w:ascii="Times" w:hAnsi="Times"/>
        </w:rPr>
        <w:t>American College of Medical Genetics (ACMG) and National Society of Genetic Counselors (NSGC) Recommendations</w:t>
      </w:r>
      <w:r>
        <w:rPr>
          <w:rFonts w:ascii="Times" w:hAnsi="Times"/>
        </w:rPr>
        <w:t xml:space="preserve"> (2014)</w:t>
      </w:r>
      <w:r>
        <w:rPr>
          <w:rFonts w:ascii="Times" w:hAnsi="Times"/>
          <w:vertAlign w:val="superscript"/>
        </w:rPr>
        <w:t>4</w:t>
      </w:r>
    </w:p>
    <w:p w14:paraId="0458FEDB" w14:textId="71178179" w:rsidR="00F329BA" w:rsidRPr="00BA043B" w:rsidRDefault="00F329BA" w:rsidP="00F329BA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A5771D">
        <w:rPr>
          <w:rFonts w:ascii="Times" w:hAnsi="Times"/>
        </w:rPr>
        <w:t>Refe</w:t>
      </w:r>
      <w:r>
        <w:rPr>
          <w:rFonts w:ascii="Times" w:hAnsi="Times"/>
        </w:rPr>
        <w:t xml:space="preserve">rral for genetic counseling for </w:t>
      </w:r>
      <w:r w:rsidRPr="00BA043B">
        <w:rPr>
          <w:rFonts w:ascii="Times" w:hAnsi="Times"/>
          <w:i/>
        </w:rPr>
        <w:t>BRCA</w:t>
      </w:r>
      <w:r>
        <w:rPr>
          <w:rFonts w:ascii="Times" w:hAnsi="Times"/>
        </w:rPr>
        <w:t xml:space="preserve"> </w:t>
      </w:r>
      <w:r w:rsidRPr="00A5771D">
        <w:rPr>
          <w:rFonts w:ascii="Times" w:hAnsi="Times"/>
        </w:rPr>
        <w:t xml:space="preserve">is recommended </w:t>
      </w:r>
      <w:r>
        <w:rPr>
          <w:rFonts w:ascii="Times" w:hAnsi="Times"/>
        </w:rPr>
        <w:t>for individuals with a</w:t>
      </w:r>
      <w:r w:rsidRPr="00A5771D">
        <w:rPr>
          <w:rFonts w:ascii="Times" w:hAnsi="Times"/>
        </w:rPr>
        <w:t xml:space="preserve"> personal </w:t>
      </w:r>
      <w:r w:rsidR="000B13D7">
        <w:rPr>
          <w:rFonts w:ascii="Times" w:hAnsi="Times"/>
        </w:rPr>
        <w:t xml:space="preserve">or family heath </w:t>
      </w:r>
      <w:r w:rsidRPr="00A5771D">
        <w:rPr>
          <w:rFonts w:ascii="Times" w:hAnsi="Times"/>
        </w:rPr>
        <w:t>history</w:t>
      </w:r>
      <w:r>
        <w:rPr>
          <w:rFonts w:ascii="Times" w:hAnsi="Times"/>
        </w:rPr>
        <w:t xml:space="preserve"> of</w:t>
      </w:r>
    </w:p>
    <w:p w14:paraId="6535C989" w14:textId="77777777" w:rsidR="00F329BA" w:rsidRPr="00E8677F" w:rsidRDefault="00F329BA" w:rsidP="00F329BA">
      <w:pPr>
        <w:pStyle w:val="ListParagraph"/>
        <w:numPr>
          <w:ilvl w:val="2"/>
          <w:numId w:val="5"/>
        </w:numPr>
        <w:spacing w:after="0" w:line="240" w:lineRule="auto"/>
        <w:rPr>
          <w:rFonts w:ascii="Times" w:hAnsi="Times"/>
        </w:rPr>
      </w:pPr>
      <w:r w:rsidRPr="00E8677F">
        <w:rPr>
          <w:rFonts w:ascii="Times" w:hAnsi="Times"/>
        </w:rPr>
        <w:t xml:space="preserve">Breast cancer diagnosed ≤ age 50 </w:t>
      </w:r>
    </w:p>
    <w:p w14:paraId="5B816C87" w14:textId="77777777" w:rsidR="00F329BA" w:rsidRPr="00E8677F" w:rsidRDefault="00F329BA" w:rsidP="00F329BA">
      <w:pPr>
        <w:pStyle w:val="ListParagraph"/>
        <w:numPr>
          <w:ilvl w:val="2"/>
          <w:numId w:val="5"/>
        </w:numPr>
        <w:spacing w:after="0" w:line="240" w:lineRule="auto"/>
        <w:rPr>
          <w:rFonts w:ascii="Times" w:hAnsi="Times"/>
        </w:rPr>
      </w:pPr>
      <w:r w:rsidRPr="00E8677F">
        <w:rPr>
          <w:rFonts w:ascii="Times" w:hAnsi="Times"/>
        </w:rPr>
        <w:t xml:space="preserve">Triple-negative breast cancer diagnosed ≤ age 60 </w:t>
      </w:r>
    </w:p>
    <w:p w14:paraId="0F2D5621" w14:textId="77777777" w:rsidR="00F329BA" w:rsidRPr="00E8677F" w:rsidRDefault="00F329BA" w:rsidP="00F329BA">
      <w:pPr>
        <w:pStyle w:val="ListParagraph"/>
        <w:numPr>
          <w:ilvl w:val="2"/>
          <w:numId w:val="5"/>
        </w:numPr>
        <w:spacing w:after="0" w:line="240" w:lineRule="auto"/>
        <w:rPr>
          <w:rFonts w:ascii="Times" w:hAnsi="Times"/>
        </w:rPr>
      </w:pPr>
      <w:r w:rsidRPr="00E8677F">
        <w:rPr>
          <w:rFonts w:ascii="Times" w:hAnsi="Times"/>
        </w:rPr>
        <w:t xml:space="preserve">Two or more primary breast cancers </w:t>
      </w:r>
    </w:p>
    <w:p w14:paraId="594DF6B8" w14:textId="77777777" w:rsidR="00F329BA" w:rsidRPr="00E8677F" w:rsidRDefault="00F329BA" w:rsidP="00F329BA">
      <w:pPr>
        <w:pStyle w:val="ListParagraph"/>
        <w:numPr>
          <w:ilvl w:val="2"/>
          <w:numId w:val="5"/>
        </w:numPr>
        <w:spacing w:after="0" w:line="240" w:lineRule="auto"/>
        <w:rPr>
          <w:rFonts w:ascii="Times" w:hAnsi="Times"/>
        </w:rPr>
      </w:pPr>
      <w:r w:rsidRPr="00E8677F">
        <w:rPr>
          <w:rFonts w:ascii="Times" w:hAnsi="Times"/>
        </w:rPr>
        <w:t>Ovarian, fallopian tube, or primary peritoneal cancer</w:t>
      </w:r>
    </w:p>
    <w:p w14:paraId="1EFEDCAB" w14:textId="77777777" w:rsidR="00F329BA" w:rsidRDefault="00F329BA" w:rsidP="00F329BA">
      <w:pPr>
        <w:pStyle w:val="ListParagraph"/>
        <w:numPr>
          <w:ilvl w:val="2"/>
          <w:numId w:val="5"/>
        </w:numPr>
        <w:spacing w:after="0" w:line="240" w:lineRule="auto"/>
        <w:rPr>
          <w:rFonts w:ascii="Times" w:hAnsi="Times"/>
        </w:rPr>
      </w:pPr>
      <w:r w:rsidRPr="00E8677F">
        <w:rPr>
          <w:rFonts w:ascii="Times" w:hAnsi="Times"/>
        </w:rPr>
        <w:t>Male breast cancer</w:t>
      </w:r>
    </w:p>
    <w:p w14:paraId="32644E36" w14:textId="77777777" w:rsidR="00F329BA" w:rsidRPr="00E8677F" w:rsidRDefault="00F329BA" w:rsidP="00F329BA">
      <w:pPr>
        <w:pStyle w:val="ListParagraph"/>
        <w:numPr>
          <w:ilvl w:val="2"/>
          <w:numId w:val="5"/>
        </w:numPr>
        <w:spacing w:after="0" w:line="240" w:lineRule="auto"/>
        <w:rPr>
          <w:rFonts w:ascii="Times" w:hAnsi="Times"/>
        </w:rPr>
      </w:pPr>
      <w:r w:rsidRPr="00E8677F">
        <w:rPr>
          <w:rFonts w:ascii="Times" w:hAnsi="Times"/>
        </w:rPr>
        <w:t>Ashkenazi Jewish or Eastern European ancestry and breast or pancreatic cancer at any age</w:t>
      </w:r>
    </w:p>
    <w:p w14:paraId="4D192909" w14:textId="77777777" w:rsidR="00F329BA" w:rsidRDefault="00F329BA" w:rsidP="00F329BA">
      <w:pPr>
        <w:pStyle w:val="ListParagraph"/>
        <w:numPr>
          <w:ilvl w:val="2"/>
          <w:numId w:val="5"/>
        </w:numPr>
        <w:spacing w:after="0" w:line="240" w:lineRule="auto"/>
        <w:rPr>
          <w:rFonts w:ascii="Times" w:hAnsi="Times"/>
        </w:rPr>
      </w:pPr>
      <w:r w:rsidRPr="00BA043B">
        <w:rPr>
          <w:rFonts w:ascii="Times" w:hAnsi="Times"/>
        </w:rPr>
        <w:t>Breast, ovarian,</w:t>
      </w:r>
      <w:r>
        <w:rPr>
          <w:rFonts w:ascii="Times" w:hAnsi="Times"/>
        </w:rPr>
        <w:t xml:space="preserve"> or</w:t>
      </w:r>
      <w:r w:rsidRPr="00BA043B">
        <w:rPr>
          <w:rFonts w:ascii="Times" w:hAnsi="Times"/>
        </w:rPr>
        <w:t xml:space="preserve"> pancreatic</w:t>
      </w:r>
      <w:r>
        <w:rPr>
          <w:rFonts w:ascii="Times" w:hAnsi="Times"/>
        </w:rPr>
        <w:t xml:space="preserve"> cancer and two or more cases of breast, ovarian, pancreatic, or aggressive prostate cancer in close blood relatives </w:t>
      </w:r>
      <w:r w:rsidRPr="003574D3">
        <w:rPr>
          <w:rFonts w:ascii="Times" w:hAnsi="Times"/>
        </w:rPr>
        <w:t>Aggressive prostate cancer and two or more cases of breast, ovarian, or pancreatic cancer in close blood relatives</w:t>
      </w:r>
    </w:p>
    <w:p w14:paraId="594819AE" w14:textId="77777777" w:rsidR="00F329BA" w:rsidRPr="003574D3" w:rsidRDefault="00F329BA" w:rsidP="00F329BA">
      <w:pPr>
        <w:pStyle w:val="ListParagraph"/>
        <w:numPr>
          <w:ilvl w:val="2"/>
          <w:numId w:val="6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A</w:t>
      </w:r>
      <w:r w:rsidRPr="00BA043B">
        <w:rPr>
          <w:rFonts w:ascii="Times" w:hAnsi="Times"/>
        </w:rPr>
        <w:t xml:space="preserve">ggressive prostate cancer and two or more cases of breast, ovarian, </w:t>
      </w:r>
      <w:r>
        <w:rPr>
          <w:rFonts w:ascii="Times" w:hAnsi="Times"/>
        </w:rPr>
        <w:t xml:space="preserve">or </w:t>
      </w:r>
      <w:r w:rsidRPr="00BA043B">
        <w:rPr>
          <w:rFonts w:ascii="Times" w:hAnsi="Times"/>
        </w:rPr>
        <w:t>pancreatic</w:t>
      </w:r>
      <w:r>
        <w:rPr>
          <w:rFonts w:ascii="Times" w:hAnsi="Times"/>
        </w:rPr>
        <w:t xml:space="preserve"> </w:t>
      </w:r>
      <w:r w:rsidRPr="00BA043B">
        <w:rPr>
          <w:rFonts w:ascii="Times" w:hAnsi="Times"/>
        </w:rPr>
        <w:t>cancer in close blood relatives</w:t>
      </w:r>
    </w:p>
    <w:p w14:paraId="3E0E1921" w14:textId="77777777" w:rsidR="00FC70C6" w:rsidRDefault="00FC70C6"/>
    <w:sectPr w:rsidR="00FC70C6" w:rsidSect="00B06529">
      <w:footerReference w:type="default" r:id="rId13"/>
      <w:pgSz w:w="12240" w:h="15840"/>
      <w:pgMar w:top="1152" w:right="1008" w:bottom="86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4E6F5" w14:textId="77777777" w:rsidR="00FE3739" w:rsidRDefault="00FE3739">
      <w:pPr>
        <w:spacing w:after="0" w:line="240" w:lineRule="auto"/>
      </w:pPr>
      <w:r>
        <w:separator/>
      </w:r>
    </w:p>
  </w:endnote>
  <w:endnote w:type="continuationSeparator" w:id="0">
    <w:p w14:paraId="4E228123" w14:textId="77777777" w:rsidR="00FE3739" w:rsidRDefault="00FE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273A" w14:textId="77777777" w:rsidR="00BC5AE8" w:rsidRDefault="002902E3" w:rsidP="00BC5AE8">
    <w:pPr>
      <w:pStyle w:val="ListParagraph"/>
      <w:numPr>
        <w:ilvl w:val="0"/>
        <w:numId w:val="3"/>
      </w:numPr>
      <w:rPr>
        <w:rFonts w:ascii="Times" w:hAnsi="Times"/>
        <w:sz w:val="16"/>
        <w:szCs w:val="16"/>
      </w:rPr>
    </w:pPr>
    <w:r w:rsidRPr="002902E3">
      <w:rPr>
        <w:rFonts w:ascii="Times" w:hAnsi="Times"/>
        <w:sz w:val="16"/>
        <w:szCs w:val="16"/>
      </w:rPr>
      <w:t>U.S. Preventive Services Task Force. Risk Assessment, Genetic Counseling, and Genetic Testing for BRCA-Related Cancer: U.S. Preventive Services Task Force Recommendation Statement. JAMA. 2019; 322:652-655.</w:t>
    </w:r>
  </w:p>
  <w:p w14:paraId="63A5A2BB" w14:textId="77777777" w:rsidR="00BC5AE8" w:rsidRDefault="00F329BA" w:rsidP="00BC5AE8">
    <w:pPr>
      <w:pStyle w:val="ListParagraph"/>
      <w:numPr>
        <w:ilvl w:val="0"/>
        <w:numId w:val="3"/>
      </w:numPr>
      <w:rPr>
        <w:rFonts w:ascii="Times" w:hAnsi="Times"/>
        <w:sz w:val="16"/>
        <w:szCs w:val="16"/>
      </w:rPr>
    </w:pPr>
    <w:r w:rsidRPr="00BC5AE8">
      <w:rPr>
        <w:rFonts w:ascii="Times" w:hAnsi="Times"/>
        <w:sz w:val="16"/>
        <w:szCs w:val="16"/>
      </w:rPr>
      <w:t xml:space="preserve">National Comprehensive Cancer Network. NCCN Guidelines Version </w:t>
    </w:r>
    <w:r w:rsidR="00BC5AE8" w:rsidRPr="00BC5AE8">
      <w:rPr>
        <w:rFonts w:ascii="Times" w:hAnsi="Times"/>
        <w:sz w:val="16"/>
        <w:szCs w:val="16"/>
      </w:rPr>
      <w:t>3</w:t>
    </w:r>
    <w:r w:rsidRPr="00BC5AE8">
      <w:rPr>
        <w:rFonts w:ascii="Times" w:hAnsi="Times"/>
        <w:sz w:val="16"/>
        <w:szCs w:val="16"/>
      </w:rPr>
      <w:t>.201</w:t>
    </w:r>
    <w:r w:rsidR="00BC5AE8" w:rsidRPr="00BC5AE8">
      <w:rPr>
        <w:rFonts w:ascii="Times" w:hAnsi="Times"/>
        <w:sz w:val="16"/>
        <w:szCs w:val="16"/>
      </w:rPr>
      <w:t>9</w:t>
    </w:r>
    <w:r w:rsidRPr="00BC5AE8">
      <w:rPr>
        <w:rFonts w:ascii="Times" w:hAnsi="Times"/>
        <w:sz w:val="16"/>
        <w:szCs w:val="16"/>
      </w:rPr>
      <w:t xml:space="preserve"> Genetics/Familial High-Risk Assessment: Breast and Ovarian.</w:t>
    </w:r>
  </w:p>
  <w:p w14:paraId="590AACAC" w14:textId="22542C29" w:rsidR="002A1B8B" w:rsidRPr="00BC5AE8" w:rsidRDefault="00BC5AE8" w:rsidP="00BC5AE8">
    <w:pPr>
      <w:pStyle w:val="ListParagraph"/>
      <w:numPr>
        <w:ilvl w:val="0"/>
        <w:numId w:val="3"/>
      </w:numPr>
      <w:rPr>
        <w:rFonts w:ascii="Times" w:hAnsi="Times"/>
        <w:sz w:val="16"/>
        <w:szCs w:val="16"/>
      </w:rPr>
    </w:pPr>
    <w:r w:rsidRPr="00BC5AE8">
      <w:rPr>
        <w:rFonts w:ascii="Times" w:hAnsi="Times"/>
        <w:sz w:val="16"/>
        <w:szCs w:val="16"/>
      </w:rPr>
      <w:t>A Practice Guideline from the American College of Medical Genetics and Genomics and the National Society of Genetic Counselors: Referral Indications for Cancer Predisposition Assessment. Genetics in Medicine 2015; 17(1): 70-87.</w:t>
    </w:r>
    <w:r w:rsidR="00F329BA" w:rsidRPr="00BC5AE8">
      <w:rPr>
        <w:rFonts w:ascii="Times" w:hAnsi="Times"/>
        <w:sz w:val="16"/>
        <w:szCs w:val="16"/>
      </w:rPr>
      <w:t xml:space="preserve"> </w:t>
    </w:r>
  </w:p>
  <w:p w14:paraId="098F20F9" w14:textId="77777777" w:rsidR="002A1B8B" w:rsidRDefault="00541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E325" w14:textId="77777777" w:rsidR="00FE3739" w:rsidRDefault="00FE3739">
      <w:pPr>
        <w:spacing w:after="0" w:line="240" w:lineRule="auto"/>
      </w:pPr>
      <w:r>
        <w:separator/>
      </w:r>
    </w:p>
  </w:footnote>
  <w:footnote w:type="continuationSeparator" w:id="0">
    <w:p w14:paraId="1E72B357" w14:textId="77777777" w:rsidR="00FE3739" w:rsidRDefault="00FE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FCF"/>
    <w:multiLevelType w:val="hybridMultilevel"/>
    <w:tmpl w:val="B33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08BD"/>
    <w:multiLevelType w:val="hybridMultilevel"/>
    <w:tmpl w:val="0D0E2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0B6E"/>
    <w:multiLevelType w:val="hybridMultilevel"/>
    <w:tmpl w:val="68641ADE"/>
    <w:lvl w:ilvl="0" w:tplc="38E04B0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0F8A820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9CE71B4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A1B8829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914DC4A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9EFCB85C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12CC93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EC6C822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4050C55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 w15:restartNumberingAfterBreak="0">
    <w:nsid w:val="2A4C5D4B"/>
    <w:multiLevelType w:val="hybridMultilevel"/>
    <w:tmpl w:val="91AE5920"/>
    <w:lvl w:ilvl="0" w:tplc="915E2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C702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A3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C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2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6F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1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A8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B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7C2926"/>
    <w:multiLevelType w:val="hybridMultilevel"/>
    <w:tmpl w:val="0E4C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D4CAD"/>
    <w:multiLevelType w:val="hybridMultilevel"/>
    <w:tmpl w:val="A40C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BA"/>
    <w:rsid w:val="000452BA"/>
    <w:rsid w:val="00050E2D"/>
    <w:rsid w:val="000A33B6"/>
    <w:rsid w:val="000B13D7"/>
    <w:rsid w:val="000E50AF"/>
    <w:rsid w:val="000F24ED"/>
    <w:rsid w:val="00120121"/>
    <w:rsid w:val="00145AE3"/>
    <w:rsid w:val="001B7EC7"/>
    <w:rsid w:val="001D273D"/>
    <w:rsid w:val="00255470"/>
    <w:rsid w:val="00257311"/>
    <w:rsid w:val="002902E3"/>
    <w:rsid w:val="003274E1"/>
    <w:rsid w:val="003C1338"/>
    <w:rsid w:val="003E7BE2"/>
    <w:rsid w:val="00414BA0"/>
    <w:rsid w:val="00430669"/>
    <w:rsid w:val="00486618"/>
    <w:rsid w:val="004A3260"/>
    <w:rsid w:val="00541FB6"/>
    <w:rsid w:val="00562008"/>
    <w:rsid w:val="005820A3"/>
    <w:rsid w:val="0063663F"/>
    <w:rsid w:val="00636CCE"/>
    <w:rsid w:val="006B41F2"/>
    <w:rsid w:val="00811151"/>
    <w:rsid w:val="00826C41"/>
    <w:rsid w:val="00860EC9"/>
    <w:rsid w:val="008F705A"/>
    <w:rsid w:val="00984CD3"/>
    <w:rsid w:val="009A68DD"/>
    <w:rsid w:val="00A917CB"/>
    <w:rsid w:val="00A94558"/>
    <w:rsid w:val="00AB582F"/>
    <w:rsid w:val="00AC7E62"/>
    <w:rsid w:val="00B07D4D"/>
    <w:rsid w:val="00B91D05"/>
    <w:rsid w:val="00BB116C"/>
    <w:rsid w:val="00BC5AE8"/>
    <w:rsid w:val="00C040E5"/>
    <w:rsid w:val="00D26908"/>
    <w:rsid w:val="00D63E6D"/>
    <w:rsid w:val="00E671E9"/>
    <w:rsid w:val="00E85821"/>
    <w:rsid w:val="00F329BA"/>
    <w:rsid w:val="00F32C93"/>
    <w:rsid w:val="00F36951"/>
    <w:rsid w:val="00F43CE8"/>
    <w:rsid w:val="00FC70C6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8DF2D5"/>
  <w15:chartTrackingRefBased/>
  <w15:docId w15:val="{622CCFBC-8C2C-4C93-BCF4-98E66AD4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BA"/>
  </w:style>
  <w:style w:type="paragraph" w:styleId="Footer">
    <w:name w:val="footer"/>
    <w:basedOn w:val="Normal"/>
    <w:link w:val="FooterChar"/>
    <w:uiPriority w:val="99"/>
    <w:unhideWhenUsed/>
    <w:rsid w:val="00F3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BA"/>
  </w:style>
  <w:style w:type="character" w:styleId="Hyperlink">
    <w:name w:val="Hyperlink"/>
    <w:basedOn w:val="DefaultParagraphFont"/>
    <w:uiPriority w:val="99"/>
    <w:unhideWhenUsed/>
    <w:rsid w:val="00F329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1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5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preventiveservicestaskforce.org/Page/Document/RecommendationStatementFinal/brca-related-cancer-risk-assessment-genetic-counseling-and-genetic-testing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spreventiveservicestaskforce.org/Page/Document/RecommendationStatementFinal/brca-related-cancer-risk-assessment-genetic-counseling-and-genetic-testing1" TargetMode="External"/><Relationship Id="rId12" Type="http://schemas.openxmlformats.org/officeDocument/2006/relationships/hyperlink" Target="https://www.uspreventiveservicestaskforce.org/Page/Document/RecommendationStatementFinal/brca-related-cancer-risk-assessment-genetic-counseling-and-genetic-testing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preventiveservicestaskforce.org/Page/Document/RecommendationStatementFinal/brca-related-cancer-risk-assessment-genetic-counseling-and-genetic-testing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preventiveservicestaskforce.org/Page/Document/RecommendationStatementFinal/brca-related-cancer-risk-assessment-genetic-counseling-and-genetic-testing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preventiveservicestaskforce.org/Page/Document/RecommendationStatementFinal/brca-related-cancer-risk-assessment-genetic-counseling-and-genetic-testing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Cobian, Katherine (CDC/OPHSS/CSELS/DPHID)</dc:creator>
  <cp:keywords/>
  <dc:description/>
  <cp:lastModifiedBy>Green, Ridgely Fisk (CDC/DDPHSS/CSELS/DPHID) (CTR)</cp:lastModifiedBy>
  <cp:revision>27</cp:revision>
  <dcterms:created xsi:type="dcterms:W3CDTF">2019-08-27T16:37:00Z</dcterms:created>
  <dcterms:modified xsi:type="dcterms:W3CDTF">2019-08-29T15:16:00Z</dcterms:modified>
</cp:coreProperties>
</file>