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F" w:rsidRDefault="000D0624">
      <w:pPr>
        <w:widowControl w:val="0"/>
        <w:jc w:val="center"/>
        <w:rPr>
          <w:b/>
          <w:sz w:val="28"/>
        </w:rPr>
      </w:pPr>
      <w:r>
        <w:fldChar w:fldCharType="begin"/>
      </w:r>
      <w:r w:rsidR="0034494F">
        <w:instrText xml:space="preserve"> SEQ CHAPTER \h \r 1</w:instrText>
      </w:r>
      <w:r>
        <w:fldChar w:fldCharType="end"/>
      </w:r>
      <w:r w:rsidRPr="000D0624">
        <w:pict>
          <v:shapetype id="_x0000_t202" coordsize="21600,21600" o:spt="202" path="m,l,21600r21600,l21600,xe">
            <v:stroke joinstyle="miter"/>
            <v:path gradientshapeok="t" o:connecttype="rect"/>
          </v:shapetype>
          <v:shape id="_x0000_s1026" type="#_x0000_t202" style="position:absolute;left:0;text-align:left;margin-left:10.2pt;margin-top:10.85pt;width:108pt;height:55.75pt;z-index:251657728;mso-wrap-distance-left:4.5pt;mso-wrap-distance-top:4.5pt;mso-wrap-distance-right:4.5pt;mso-wrap-distance-bottom:4.5pt;mso-position-horizontal-relative:margin;mso-position-vertical-relative:margin" o:allowincell="f" stroked="f">
            <v:textbox inset="0,0,0,0">
              <w:txbxContent>
                <w:p w:rsidR="0034494F" w:rsidRDefault="00064286">
                  <w:pPr>
                    <w:widowControl w:val="0"/>
                  </w:pPr>
                  <w:r>
                    <w:rPr>
                      <w:noProof/>
                    </w:rPr>
                    <w:drawing>
                      <wp:inline distT="0" distB="0" distL="0" distR="0">
                        <wp:extent cx="1403985" cy="1020445"/>
                        <wp:effectExtent l="19050" t="0" r="5715" b="0"/>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WINDOWS\Temporary Internet Files\OLK4155\cdclogo_ag_solidbw.jpg"/>
                                <pic:cNvPicPr>
                                  <a:picLocks noChangeAspect="1" noChangeArrowheads="1"/>
                                </pic:cNvPicPr>
                              </pic:nvPicPr>
                              <pic:blipFill>
                                <a:blip r:embed="rId5"/>
                                <a:srcRect/>
                                <a:stretch>
                                  <a:fillRect/>
                                </a:stretch>
                              </pic:blipFill>
                              <pic:spPr bwMode="auto">
                                <a:xfrm>
                                  <a:off x="0" y="0"/>
                                  <a:ext cx="1403985" cy="1020445"/>
                                </a:xfrm>
                                <a:prstGeom prst="rect">
                                  <a:avLst/>
                                </a:prstGeom>
                                <a:noFill/>
                                <a:ln w="9525">
                                  <a:noFill/>
                                  <a:miter lim="800000"/>
                                  <a:headEnd/>
                                  <a:tailEnd/>
                                </a:ln>
                              </pic:spPr>
                            </pic:pic>
                          </a:graphicData>
                        </a:graphic>
                      </wp:inline>
                    </w:drawing>
                  </w:r>
                  <w:r>
                    <w:rPr>
                      <w:noProof/>
                    </w:rPr>
                    <w:drawing>
                      <wp:inline distT="0" distB="0" distL="0" distR="0">
                        <wp:extent cx="1371600" cy="710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71600" cy="710565"/>
                                </a:xfrm>
                                <a:prstGeom prst="rect">
                                  <a:avLst/>
                                </a:prstGeom>
                                <a:noFill/>
                                <a:ln w="9525">
                                  <a:noFill/>
                                  <a:miter lim="800000"/>
                                  <a:headEnd/>
                                  <a:tailEnd/>
                                </a:ln>
                              </pic:spPr>
                            </pic:pic>
                          </a:graphicData>
                        </a:graphic>
                      </wp:inline>
                    </w:drawing>
                  </w:r>
                </w:p>
              </w:txbxContent>
            </v:textbox>
            <w10:wrap type="square" anchorx="margin" anchory="margin"/>
          </v:shape>
        </w:pict>
      </w:r>
    </w:p>
    <w:p w:rsidR="0034494F" w:rsidRPr="00327DB2" w:rsidRDefault="0034494F" w:rsidP="00327DB2">
      <w:pPr>
        <w:pStyle w:val="Title"/>
        <w:rPr>
          <w:rFonts w:ascii="Times New Roman" w:hAnsi="Times New Roman" w:cs="Times New Roman"/>
          <w:sz w:val="32"/>
          <w:szCs w:val="32"/>
        </w:rPr>
      </w:pPr>
      <w:bookmarkStart w:id="0" w:name="OLE_LINK1"/>
      <w:bookmarkStart w:id="1" w:name="OLE_LINK2"/>
      <w:r w:rsidRPr="00327DB2">
        <w:rPr>
          <w:rFonts w:ascii="Times New Roman" w:hAnsi="Times New Roman" w:cs="Times New Roman"/>
          <w:sz w:val="32"/>
          <w:szCs w:val="32"/>
        </w:rPr>
        <w:t>Specimen Submission for Rickettsial Testing</w:t>
      </w:r>
    </w:p>
    <w:p w:rsidR="0034494F" w:rsidRPr="00327DB2" w:rsidRDefault="0034494F" w:rsidP="00327DB2">
      <w:pPr>
        <w:pStyle w:val="Title"/>
        <w:rPr>
          <w:rFonts w:ascii="Times New Roman" w:hAnsi="Times New Roman" w:cs="Times New Roman"/>
          <w:sz w:val="32"/>
          <w:szCs w:val="32"/>
        </w:rPr>
      </w:pPr>
      <w:r w:rsidRPr="00327DB2">
        <w:rPr>
          <w:rFonts w:ascii="Times New Roman" w:hAnsi="Times New Roman" w:cs="Times New Roman"/>
          <w:sz w:val="32"/>
          <w:szCs w:val="32"/>
        </w:rPr>
        <w:t xml:space="preserve">Rickettsial </w:t>
      </w:r>
      <w:proofErr w:type="spellStart"/>
      <w:r w:rsidRPr="00327DB2">
        <w:rPr>
          <w:rFonts w:ascii="Times New Roman" w:hAnsi="Times New Roman" w:cs="Times New Roman"/>
          <w:sz w:val="32"/>
          <w:szCs w:val="32"/>
        </w:rPr>
        <w:t>Zoonoses</w:t>
      </w:r>
      <w:proofErr w:type="spellEnd"/>
      <w:r w:rsidRPr="00327DB2">
        <w:rPr>
          <w:rFonts w:ascii="Times New Roman" w:hAnsi="Times New Roman" w:cs="Times New Roman"/>
          <w:sz w:val="32"/>
          <w:szCs w:val="32"/>
        </w:rPr>
        <w:t xml:space="preserve"> Branch</w:t>
      </w:r>
    </w:p>
    <w:bookmarkEnd w:id="0"/>
    <w:bookmarkEnd w:id="1"/>
    <w:p w:rsidR="0034494F" w:rsidRDefault="0034494F">
      <w:pPr>
        <w:widowControl w:val="0"/>
        <w:rPr>
          <w:sz w:val="20"/>
        </w:rPr>
      </w:pPr>
    </w:p>
    <w:p w:rsidR="0034494F" w:rsidRPr="00DB0964" w:rsidRDefault="0034494F" w:rsidP="00DB0964">
      <w:pPr>
        <w:pStyle w:val="ListParagraph"/>
        <w:widowControl w:val="0"/>
        <w:numPr>
          <w:ilvl w:val="0"/>
          <w:numId w:val="2"/>
        </w:numPr>
        <w:rPr>
          <w:sz w:val="20"/>
        </w:rPr>
      </w:pPr>
      <w:r w:rsidRPr="00DB0964">
        <w:rPr>
          <w:sz w:val="20"/>
        </w:rPr>
        <w:t>Patients should have a clinical or epidemiologic history reasonably suggestive of rickettsial disease.  Random rickettsial testing of clinically difficult cases rarely identifies rickettsial pathogens as possible etiologic agents.</w:t>
      </w:r>
    </w:p>
    <w:p w:rsidR="0034494F" w:rsidRDefault="0034494F">
      <w:pPr>
        <w:widowControl w:val="0"/>
        <w:rPr>
          <w:sz w:val="20"/>
        </w:rPr>
      </w:pPr>
    </w:p>
    <w:p w:rsidR="0034494F" w:rsidRPr="00DB0964" w:rsidRDefault="0034494F" w:rsidP="00DB0964">
      <w:pPr>
        <w:pStyle w:val="ListParagraph"/>
        <w:widowControl w:val="0"/>
        <w:numPr>
          <w:ilvl w:val="0"/>
          <w:numId w:val="2"/>
        </w:numPr>
        <w:rPr>
          <w:sz w:val="20"/>
        </w:rPr>
      </w:pPr>
      <w:r w:rsidRPr="00DB0964">
        <w:rPr>
          <w:sz w:val="20"/>
        </w:rPr>
        <w:t xml:space="preserve">All specimens must be accompanied by a CDC Specimen Submission Form (CDC 50.34).  Separate forms should be submitted for each test request (i.e., serology, PCR, </w:t>
      </w:r>
      <w:proofErr w:type="spellStart"/>
      <w:r w:rsidRPr="00DB0964">
        <w:rPr>
          <w:sz w:val="20"/>
        </w:rPr>
        <w:t>immunohistochemistry</w:t>
      </w:r>
      <w:proofErr w:type="spellEnd"/>
      <w:r w:rsidRPr="00DB0964">
        <w:rPr>
          <w:sz w:val="20"/>
        </w:rPr>
        <w:t>) for an individual patient.</w:t>
      </w:r>
    </w:p>
    <w:p w:rsidR="0034494F" w:rsidRDefault="0034494F">
      <w:pPr>
        <w:widowControl w:val="0"/>
        <w:rPr>
          <w:sz w:val="20"/>
        </w:rPr>
      </w:pPr>
    </w:p>
    <w:p w:rsidR="0034494F" w:rsidRPr="00DB0964" w:rsidRDefault="0034494F" w:rsidP="00DB0964">
      <w:pPr>
        <w:pStyle w:val="ListParagraph"/>
        <w:widowControl w:val="0"/>
        <w:numPr>
          <w:ilvl w:val="0"/>
          <w:numId w:val="2"/>
        </w:numPr>
        <w:rPr>
          <w:sz w:val="20"/>
        </w:rPr>
      </w:pPr>
      <w:r w:rsidRPr="00DB0964">
        <w:rPr>
          <w:sz w:val="20"/>
        </w:rPr>
        <w:t>All samples must be sent through your state public health laboratory or with their approval.  Specimens sent directly to CDC without prior approval will not be accepted.  The state laboratory will receive a copy of the report, so states are imperative about this requirement.</w:t>
      </w:r>
    </w:p>
    <w:p w:rsidR="0034494F" w:rsidRDefault="0034494F">
      <w:pPr>
        <w:widowControl w:val="0"/>
        <w:rPr>
          <w:sz w:val="20"/>
        </w:rPr>
      </w:pPr>
    </w:p>
    <w:p w:rsidR="0034494F" w:rsidRPr="00DB0964" w:rsidRDefault="0034494F" w:rsidP="00DB0964">
      <w:pPr>
        <w:pStyle w:val="ListParagraph"/>
        <w:widowControl w:val="0"/>
        <w:numPr>
          <w:ilvl w:val="0"/>
          <w:numId w:val="2"/>
        </w:numPr>
        <w:rPr>
          <w:sz w:val="20"/>
        </w:rPr>
      </w:pPr>
      <w:r w:rsidRPr="00DB0964">
        <w:rPr>
          <w:sz w:val="20"/>
        </w:rPr>
        <w:t>All specimens must be accompanied by all pertinent information on the CDC Submission Form:</w:t>
      </w:r>
    </w:p>
    <w:p w:rsidR="0034494F" w:rsidRDefault="0034494F">
      <w:pPr>
        <w:widowControl w:val="0"/>
        <w:rPr>
          <w:sz w:val="20"/>
        </w:rPr>
      </w:pPr>
    </w:p>
    <w:p w:rsidR="0034494F" w:rsidRDefault="0034494F">
      <w:pPr>
        <w:widowControl w:val="0"/>
        <w:rPr>
          <w:sz w:val="20"/>
        </w:rPr>
      </w:pPr>
      <w:r>
        <w:rPr>
          <w:sz w:val="20"/>
        </w:rPr>
        <w:tab/>
        <w:t xml:space="preserve">Patient name, sex, and </w:t>
      </w:r>
      <w:proofErr w:type="spellStart"/>
      <w:r>
        <w:rPr>
          <w:sz w:val="20"/>
        </w:rPr>
        <w:t>birthdate</w:t>
      </w:r>
      <w:proofErr w:type="spellEnd"/>
    </w:p>
    <w:p w:rsidR="0034494F" w:rsidRDefault="0034494F">
      <w:pPr>
        <w:widowControl w:val="0"/>
        <w:rPr>
          <w:sz w:val="20"/>
        </w:rPr>
      </w:pPr>
      <w:r>
        <w:rPr>
          <w:sz w:val="20"/>
        </w:rPr>
        <w:tab/>
        <w:t>Date of onset of illness</w:t>
      </w:r>
    </w:p>
    <w:p w:rsidR="0034494F" w:rsidRDefault="0034494F">
      <w:pPr>
        <w:widowControl w:val="0"/>
        <w:rPr>
          <w:sz w:val="20"/>
        </w:rPr>
      </w:pPr>
      <w:r>
        <w:rPr>
          <w:sz w:val="20"/>
        </w:rPr>
        <w:tab/>
        <w:t>Date of specimen collection</w:t>
      </w:r>
    </w:p>
    <w:p w:rsidR="0034494F" w:rsidRDefault="0034494F">
      <w:pPr>
        <w:widowControl w:val="0"/>
        <w:rPr>
          <w:sz w:val="20"/>
        </w:rPr>
      </w:pPr>
      <w:r>
        <w:rPr>
          <w:sz w:val="20"/>
        </w:rPr>
        <w:tab/>
      </w:r>
      <w:proofErr w:type="gramStart"/>
      <w:r>
        <w:rPr>
          <w:sz w:val="20"/>
        </w:rPr>
        <w:t>Type of specimen (e.g., serum, whole blood, tissue, etc.)</w:t>
      </w:r>
      <w:proofErr w:type="gramEnd"/>
    </w:p>
    <w:p w:rsidR="0034494F" w:rsidRDefault="0034494F">
      <w:pPr>
        <w:widowControl w:val="0"/>
        <w:rPr>
          <w:sz w:val="20"/>
        </w:rPr>
      </w:pPr>
      <w:r>
        <w:rPr>
          <w:sz w:val="20"/>
        </w:rPr>
        <w:tab/>
        <w:t>Brief medical history (including antibiotic therapy and dates)</w:t>
      </w:r>
    </w:p>
    <w:p w:rsidR="0034494F" w:rsidRDefault="0034494F">
      <w:pPr>
        <w:widowControl w:val="0"/>
        <w:rPr>
          <w:sz w:val="20"/>
        </w:rPr>
      </w:pPr>
      <w:r>
        <w:rPr>
          <w:sz w:val="20"/>
        </w:rPr>
        <w:tab/>
        <w:t>Brief travel and animal contact history</w:t>
      </w:r>
    </w:p>
    <w:p w:rsidR="0034494F" w:rsidRDefault="0034494F">
      <w:pPr>
        <w:widowControl w:val="0"/>
        <w:rPr>
          <w:sz w:val="20"/>
        </w:rPr>
      </w:pPr>
      <w:r>
        <w:rPr>
          <w:sz w:val="20"/>
        </w:rPr>
        <w:tab/>
        <w:t>Submitting physician/organization, complete return address, and contact numbers</w:t>
      </w:r>
    </w:p>
    <w:p w:rsidR="0034494F" w:rsidRDefault="0034494F">
      <w:pPr>
        <w:widowControl w:val="0"/>
        <w:ind w:left="720"/>
        <w:rPr>
          <w:sz w:val="20"/>
        </w:rPr>
      </w:pPr>
      <w:r>
        <w:rPr>
          <w:sz w:val="20"/>
        </w:rPr>
        <w:t xml:space="preserve">Samples for </w:t>
      </w:r>
      <w:proofErr w:type="spellStart"/>
      <w:r>
        <w:rPr>
          <w:sz w:val="20"/>
        </w:rPr>
        <w:t>immunohistochemistry</w:t>
      </w:r>
      <w:proofErr w:type="spellEnd"/>
      <w:r>
        <w:rPr>
          <w:sz w:val="20"/>
        </w:rPr>
        <w:t xml:space="preserve"> should include a copy of any other pathology report available.</w:t>
      </w:r>
    </w:p>
    <w:p w:rsidR="0034494F" w:rsidRDefault="0034494F">
      <w:pPr>
        <w:widowControl w:val="0"/>
        <w:rPr>
          <w:sz w:val="20"/>
        </w:rPr>
      </w:pPr>
    </w:p>
    <w:p w:rsidR="0034494F" w:rsidRPr="00DB0964" w:rsidRDefault="0034494F" w:rsidP="00DB0964">
      <w:pPr>
        <w:pStyle w:val="ListParagraph"/>
        <w:widowControl w:val="0"/>
        <w:numPr>
          <w:ilvl w:val="0"/>
          <w:numId w:val="2"/>
        </w:numPr>
        <w:rPr>
          <w:sz w:val="20"/>
        </w:rPr>
      </w:pPr>
      <w:r w:rsidRPr="00DB0964">
        <w:rPr>
          <w:sz w:val="20"/>
        </w:rPr>
        <w:t xml:space="preserve">Serum samples or fresh tissue may be submitted refrigerated on cold packs or frozen on dry ice.  Serum samples and EDTA blood samples may be sent in plastic tubes (we prefer </w:t>
      </w:r>
      <w:proofErr w:type="spellStart"/>
      <w:r w:rsidRPr="00DB0964">
        <w:rPr>
          <w:sz w:val="20"/>
        </w:rPr>
        <w:t>Sarstedt</w:t>
      </w:r>
      <w:proofErr w:type="spellEnd"/>
      <w:r w:rsidRPr="00DB0964">
        <w:rPr>
          <w:sz w:val="20"/>
        </w:rPr>
        <w:t xml:space="preserve"> 2ml screw-cap tubes).  Fresh tissues for PCR can be sent </w:t>
      </w:r>
      <w:r w:rsidR="00962D4E" w:rsidRPr="00DB0964">
        <w:rPr>
          <w:sz w:val="20"/>
        </w:rPr>
        <w:t>on sterile gauze pads moistened with</w:t>
      </w:r>
      <w:r w:rsidRPr="00DB0964">
        <w:rPr>
          <w:sz w:val="20"/>
        </w:rPr>
        <w:t xml:space="preserve"> sterile saline</w:t>
      </w:r>
      <w:r w:rsidR="00962D4E" w:rsidRPr="00DB0964">
        <w:rPr>
          <w:sz w:val="20"/>
        </w:rPr>
        <w:t xml:space="preserve"> in a collection cup</w:t>
      </w:r>
      <w:r w:rsidRPr="00DB0964">
        <w:rPr>
          <w:sz w:val="20"/>
        </w:rPr>
        <w:t xml:space="preserve">.  Paraffin blocks or slides for </w:t>
      </w:r>
      <w:proofErr w:type="spellStart"/>
      <w:r w:rsidRPr="00DB0964">
        <w:rPr>
          <w:sz w:val="20"/>
        </w:rPr>
        <w:t>immunohistochemistry</w:t>
      </w:r>
      <w:proofErr w:type="spellEnd"/>
      <w:r w:rsidRPr="00DB0964">
        <w:rPr>
          <w:sz w:val="20"/>
        </w:rPr>
        <w:t xml:space="preserve"> should be sent at room temperature.</w:t>
      </w:r>
    </w:p>
    <w:p w:rsidR="0034494F" w:rsidRDefault="0034494F">
      <w:pPr>
        <w:widowControl w:val="0"/>
        <w:rPr>
          <w:sz w:val="20"/>
        </w:rPr>
      </w:pPr>
    </w:p>
    <w:p w:rsidR="0034494F" w:rsidRPr="00DB0964" w:rsidRDefault="0034494F" w:rsidP="00DB0964">
      <w:pPr>
        <w:pStyle w:val="ListParagraph"/>
        <w:widowControl w:val="0"/>
        <w:numPr>
          <w:ilvl w:val="0"/>
          <w:numId w:val="2"/>
        </w:numPr>
        <w:rPr>
          <w:sz w:val="20"/>
        </w:rPr>
      </w:pPr>
      <w:r w:rsidRPr="00DB0964">
        <w:rPr>
          <w:sz w:val="20"/>
        </w:rPr>
        <w:t xml:space="preserve">All samples should be sent directly to the Data and Specimen Handling (DASH) section </w:t>
      </w:r>
      <w:proofErr w:type="gramStart"/>
      <w:r w:rsidRPr="00DB0964">
        <w:rPr>
          <w:sz w:val="20"/>
        </w:rPr>
        <w:t>who</w:t>
      </w:r>
      <w:proofErr w:type="gramEnd"/>
      <w:r w:rsidRPr="00DB0964">
        <w:rPr>
          <w:sz w:val="20"/>
        </w:rPr>
        <w:t xml:space="preserve"> will process and deliver the samples to the Rickettsial Laboratory for testing.  Do </w:t>
      </w:r>
      <w:r w:rsidRPr="00DB0964">
        <w:rPr>
          <w:sz w:val="20"/>
          <w:u w:val="single"/>
        </w:rPr>
        <w:t>not</w:t>
      </w:r>
      <w:r w:rsidRPr="00DB0964">
        <w:rPr>
          <w:sz w:val="20"/>
        </w:rPr>
        <w:t xml:space="preserve"> address the package to a person's name as it will not properly route through the appropriate channels to us.  The address is:</w:t>
      </w:r>
    </w:p>
    <w:p w:rsidR="0034494F" w:rsidRDefault="0034494F">
      <w:pPr>
        <w:widowControl w:val="0"/>
        <w:rPr>
          <w:sz w:val="20"/>
        </w:rPr>
      </w:pPr>
    </w:p>
    <w:p w:rsidR="009F34F0" w:rsidRPr="009F34F0" w:rsidRDefault="009F34F0" w:rsidP="009F34F0">
      <w:pPr>
        <w:autoSpaceDE w:val="0"/>
        <w:autoSpaceDN w:val="0"/>
        <w:adjustRightInd w:val="0"/>
        <w:ind w:firstLine="1260"/>
        <w:rPr>
          <w:rFonts w:ascii="Arial" w:hAnsi="Arial" w:cs="Arial"/>
          <w:b/>
          <w:sz w:val="20"/>
        </w:rPr>
      </w:pPr>
      <w:r>
        <w:rPr>
          <w:rFonts w:ascii="Arial" w:hAnsi="Arial" w:cs="Arial"/>
          <w:sz w:val="20"/>
        </w:rPr>
        <w:t xml:space="preserve">Attention:  </w:t>
      </w:r>
      <w:r w:rsidRPr="009F34F0">
        <w:rPr>
          <w:rFonts w:ascii="Arial" w:hAnsi="Arial" w:cs="Arial"/>
          <w:b/>
          <w:sz w:val="20"/>
        </w:rPr>
        <w:t>D.A.S.H. (</w:t>
      </w:r>
      <w:r w:rsidR="009336CC">
        <w:rPr>
          <w:rFonts w:ascii="Arial" w:hAnsi="Arial" w:cs="Arial"/>
          <w:b/>
          <w:sz w:val="20"/>
        </w:rPr>
        <w:t xml:space="preserve">Attn: </w:t>
      </w:r>
      <w:r w:rsidRPr="009F34F0">
        <w:rPr>
          <w:rFonts w:ascii="Arial" w:hAnsi="Arial" w:cs="Arial"/>
          <w:b/>
          <w:sz w:val="20"/>
        </w:rPr>
        <w:t>Unit 78)</w:t>
      </w:r>
    </w:p>
    <w:p w:rsidR="009F34F0" w:rsidRPr="009F34F0" w:rsidRDefault="009F34F0" w:rsidP="009F34F0">
      <w:pPr>
        <w:autoSpaceDE w:val="0"/>
        <w:autoSpaceDN w:val="0"/>
        <w:adjustRightInd w:val="0"/>
        <w:ind w:firstLine="2160"/>
        <w:rPr>
          <w:rFonts w:ascii="Arial" w:hAnsi="Arial" w:cs="Arial"/>
          <w:b/>
          <w:sz w:val="20"/>
        </w:rPr>
      </w:pPr>
      <w:r w:rsidRPr="009F34F0">
        <w:rPr>
          <w:rFonts w:ascii="Arial" w:hAnsi="Arial" w:cs="Arial"/>
          <w:b/>
          <w:sz w:val="20"/>
        </w:rPr>
        <w:t>Centers for Disease Control and Prevention</w:t>
      </w:r>
    </w:p>
    <w:p w:rsidR="009F34F0" w:rsidRPr="009F34F0" w:rsidRDefault="009F34F0" w:rsidP="009F34F0">
      <w:pPr>
        <w:autoSpaceDE w:val="0"/>
        <w:autoSpaceDN w:val="0"/>
        <w:adjustRightInd w:val="0"/>
        <w:ind w:firstLine="2160"/>
        <w:rPr>
          <w:rFonts w:ascii="Arial" w:hAnsi="Arial" w:cs="Arial"/>
          <w:b/>
          <w:sz w:val="20"/>
        </w:rPr>
      </w:pPr>
      <w:smartTag w:uri="urn:schemas-microsoft-com:office:smarttags" w:element="Street">
        <w:smartTag w:uri="urn:schemas-microsoft-com:office:smarttags" w:element="address">
          <w:r w:rsidRPr="009F34F0">
            <w:rPr>
              <w:rFonts w:ascii="Arial" w:hAnsi="Arial" w:cs="Arial"/>
              <w:b/>
              <w:sz w:val="20"/>
            </w:rPr>
            <w:t>1600 Clifton Road, N.E.</w:t>
          </w:r>
        </w:smartTag>
      </w:smartTag>
    </w:p>
    <w:p w:rsidR="009F34F0" w:rsidRPr="009F34F0" w:rsidRDefault="009F34F0" w:rsidP="009F34F0">
      <w:pPr>
        <w:autoSpaceDE w:val="0"/>
        <w:autoSpaceDN w:val="0"/>
        <w:adjustRightInd w:val="0"/>
        <w:ind w:firstLine="2160"/>
        <w:rPr>
          <w:rFonts w:ascii="Arial" w:hAnsi="Arial" w:cs="Arial"/>
          <w:b/>
          <w:sz w:val="20"/>
        </w:rPr>
      </w:pPr>
      <w:smartTag w:uri="urn:schemas-microsoft-com:office:smarttags" w:element="place">
        <w:smartTag w:uri="urn:schemas-microsoft-com:office:smarttags" w:element="City">
          <w:r w:rsidRPr="009F34F0">
            <w:rPr>
              <w:rFonts w:ascii="Arial" w:hAnsi="Arial" w:cs="Arial"/>
              <w:b/>
              <w:sz w:val="20"/>
            </w:rPr>
            <w:t>Atlanta</w:t>
          </w:r>
        </w:smartTag>
        <w:r w:rsidRPr="009F34F0">
          <w:rPr>
            <w:rFonts w:ascii="Arial" w:hAnsi="Arial" w:cs="Arial"/>
            <w:b/>
            <w:sz w:val="20"/>
          </w:rPr>
          <w:t xml:space="preserve">, </w:t>
        </w:r>
        <w:smartTag w:uri="urn:schemas-microsoft-com:office:smarttags" w:element="State">
          <w:r w:rsidRPr="009F34F0">
            <w:rPr>
              <w:rFonts w:ascii="Arial" w:hAnsi="Arial" w:cs="Arial"/>
              <w:b/>
              <w:sz w:val="20"/>
            </w:rPr>
            <w:t>GA</w:t>
          </w:r>
        </w:smartTag>
        <w:r w:rsidRPr="009F34F0">
          <w:rPr>
            <w:rFonts w:ascii="Arial" w:hAnsi="Arial" w:cs="Arial"/>
            <w:b/>
            <w:sz w:val="20"/>
          </w:rPr>
          <w:t xml:space="preserve"> </w:t>
        </w:r>
        <w:smartTag w:uri="urn:schemas-microsoft-com:office:smarttags" w:element="PostalCode">
          <w:r w:rsidRPr="009F34F0">
            <w:rPr>
              <w:rFonts w:ascii="Arial" w:hAnsi="Arial" w:cs="Arial"/>
              <w:b/>
              <w:sz w:val="20"/>
            </w:rPr>
            <w:t>30333</w:t>
          </w:r>
        </w:smartTag>
      </w:smartTag>
    </w:p>
    <w:p w:rsidR="009F34F0" w:rsidRPr="009F34F0" w:rsidRDefault="009F34F0" w:rsidP="009F34F0">
      <w:pPr>
        <w:autoSpaceDE w:val="0"/>
        <w:autoSpaceDN w:val="0"/>
        <w:adjustRightInd w:val="0"/>
        <w:ind w:firstLine="2160"/>
        <w:rPr>
          <w:rFonts w:ascii="Arial" w:hAnsi="Arial" w:cs="Arial"/>
          <w:b/>
          <w:sz w:val="20"/>
        </w:rPr>
      </w:pPr>
    </w:p>
    <w:p w:rsidR="0034494F" w:rsidRPr="009F34F0" w:rsidRDefault="009F34F0" w:rsidP="009F34F0">
      <w:pPr>
        <w:widowControl w:val="0"/>
        <w:ind w:firstLine="2160"/>
        <w:rPr>
          <w:b/>
          <w:sz w:val="20"/>
        </w:rPr>
      </w:pPr>
      <w:r w:rsidRPr="009F34F0">
        <w:rPr>
          <w:rFonts w:ascii="Arial" w:hAnsi="Arial" w:cs="Arial"/>
          <w:b/>
          <w:sz w:val="20"/>
        </w:rPr>
        <w:t>Tel: 404-639-2878</w:t>
      </w:r>
    </w:p>
    <w:p w:rsidR="0034494F" w:rsidRDefault="0034494F" w:rsidP="009F34F0">
      <w:pPr>
        <w:widowControl w:val="0"/>
        <w:ind w:firstLine="2160"/>
        <w:rPr>
          <w:sz w:val="20"/>
        </w:rPr>
      </w:pPr>
    </w:p>
    <w:p w:rsidR="0034494F" w:rsidRPr="00DB0964" w:rsidRDefault="0034494F" w:rsidP="00DB0964">
      <w:pPr>
        <w:pStyle w:val="ListParagraph"/>
        <w:widowControl w:val="0"/>
        <w:numPr>
          <w:ilvl w:val="0"/>
          <w:numId w:val="2"/>
        </w:numPr>
        <w:rPr>
          <w:sz w:val="20"/>
        </w:rPr>
      </w:pPr>
      <w:r w:rsidRPr="00DB0964">
        <w:rPr>
          <w:sz w:val="20"/>
        </w:rPr>
        <w:t>Our laboratory serves as a national reference diagnostic laboratory for diseases due to rickettsial agents and associated pathogens.  Our testing is provided free-of- charge to approved agencies.  Turnaround times may be extended, so prompt treatment of the patient should not be delayed while waiting upon our test results.  If you require more rapid testing services, a number of commercial laboratories offer many of the rickettsial tests.</w:t>
      </w:r>
    </w:p>
    <w:p w:rsidR="0034494F" w:rsidRDefault="0034494F">
      <w:pPr>
        <w:widowControl w:val="0"/>
        <w:rPr>
          <w:sz w:val="20"/>
        </w:rPr>
      </w:pPr>
    </w:p>
    <w:p w:rsidR="0034494F" w:rsidRPr="00DB0964" w:rsidRDefault="0034494F" w:rsidP="00DB0964">
      <w:pPr>
        <w:pStyle w:val="ListParagraph"/>
        <w:widowControl w:val="0"/>
        <w:numPr>
          <w:ilvl w:val="0"/>
          <w:numId w:val="2"/>
        </w:numPr>
        <w:rPr>
          <w:sz w:val="20"/>
        </w:rPr>
      </w:pPr>
      <w:r w:rsidRPr="00DB0964">
        <w:rPr>
          <w:sz w:val="20"/>
        </w:rPr>
        <w:t>A listing of rickettsial tests available in our laboratory may be obtained by</w:t>
      </w:r>
      <w:r w:rsidR="00064286" w:rsidRPr="00DB0964">
        <w:rPr>
          <w:sz w:val="20"/>
        </w:rPr>
        <w:t xml:space="preserve"> contacting us at (404) 639-1090</w:t>
      </w:r>
      <w:r w:rsidRPr="00DB0964">
        <w:rPr>
          <w:sz w:val="20"/>
        </w:rPr>
        <w:t>.</w:t>
      </w:r>
    </w:p>
    <w:p w:rsidR="0034494F" w:rsidRDefault="0034494F">
      <w:pPr>
        <w:widowControl w:val="0"/>
        <w:rPr>
          <w:sz w:val="20"/>
        </w:rPr>
      </w:pPr>
    </w:p>
    <w:p w:rsidR="0034494F" w:rsidRDefault="00064286">
      <w:pPr>
        <w:widowControl w:val="0"/>
        <w:jc w:val="center"/>
        <w:rPr>
          <w:sz w:val="16"/>
        </w:rPr>
      </w:pPr>
      <w:r>
        <w:rPr>
          <w:sz w:val="16"/>
        </w:rPr>
        <w:t>Disease Assessment</w:t>
      </w:r>
      <w:r w:rsidR="0034494F">
        <w:rPr>
          <w:sz w:val="16"/>
        </w:rPr>
        <w:t xml:space="preserve"> Laboratory; Rickettsial </w:t>
      </w:r>
      <w:proofErr w:type="spellStart"/>
      <w:r w:rsidR="0034494F">
        <w:rPr>
          <w:sz w:val="16"/>
        </w:rPr>
        <w:t>Zoonoses</w:t>
      </w:r>
      <w:proofErr w:type="spellEnd"/>
      <w:r w:rsidR="0034494F">
        <w:rPr>
          <w:sz w:val="16"/>
        </w:rPr>
        <w:t xml:space="preserve"> Branch; Mail Stop G-13; 1600 Clifton Road; Atlanta, GA 30333</w:t>
      </w:r>
    </w:p>
    <w:p w:rsidR="0034494F" w:rsidRDefault="0034494F">
      <w:pPr>
        <w:widowControl w:val="0"/>
        <w:jc w:val="center"/>
        <w:rPr>
          <w:sz w:val="16"/>
        </w:rPr>
      </w:pPr>
      <w:r>
        <w:rPr>
          <w:sz w:val="16"/>
        </w:rPr>
        <w:t>Tel: (404) 639-1090; Fax: (404) 639-4436</w:t>
      </w:r>
    </w:p>
    <w:sectPr w:rsidR="0034494F" w:rsidSect="00F8320B">
      <w:footnotePr>
        <w:numFmt w:val="lowerLetter"/>
      </w:footnotePr>
      <w:endnotePr>
        <w:numFmt w:val="lowerLetter"/>
      </w:endnotePr>
      <w:pgSz w:w="12240" w:h="15840"/>
      <w:pgMar w:top="1440" w:right="1440" w:bottom="1440" w:left="1440" w:header="1440" w:footer="1440" w:gutter="0"/>
      <w:pgBorders>
        <w:top w:val="double" w:sz="12" w:space="10" w:color="000000"/>
        <w:left w:val="double" w:sz="12" w:space="10" w:color="000000"/>
        <w:bottom w:val="double" w:sz="12" w:space="10" w:color="000000"/>
        <w:right w:val="double" w:sz="12" w:space="10"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756EC"/>
    <w:multiLevelType w:val="hybridMultilevel"/>
    <w:tmpl w:val="CE3C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97FC6"/>
    <w:multiLevelType w:val="hybridMultilevel"/>
    <w:tmpl w:val="54D8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F2259"/>
    <w:multiLevelType w:val="hybridMultilevel"/>
    <w:tmpl w:val="F4CA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91705"/>
    <w:multiLevelType w:val="hybridMultilevel"/>
    <w:tmpl w:val="C5D65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962D4E"/>
    <w:rsid w:val="00064286"/>
    <w:rsid w:val="000D0624"/>
    <w:rsid w:val="0010210A"/>
    <w:rsid w:val="001A29D6"/>
    <w:rsid w:val="00316FA0"/>
    <w:rsid w:val="00327DB2"/>
    <w:rsid w:val="0034494F"/>
    <w:rsid w:val="004148BF"/>
    <w:rsid w:val="005146F6"/>
    <w:rsid w:val="00572FEE"/>
    <w:rsid w:val="00650357"/>
    <w:rsid w:val="006A364B"/>
    <w:rsid w:val="008C29BD"/>
    <w:rsid w:val="008E0A6F"/>
    <w:rsid w:val="00924514"/>
    <w:rsid w:val="009336CC"/>
    <w:rsid w:val="00962D4E"/>
    <w:rsid w:val="00964477"/>
    <w:rsid w:val="009C3DB0"/>
    <w:rsid w:val="009F34F0"/>
    <w:rsid w:val="00B75875"/>
    <w:rsid w:val="00C53991"/>
    <w:rsid w:val="00D2072C"/>
    <w:rsid w:val="00DB0964"/>
    <w:rsid w:val="00E451F9"/>
    <w:rsid w:val="00F238BA"/>
    <w:rsid w:val="00F72F72"/>
    <w:rsid w:val="00F8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2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3DB0"/>
    <w:rPr>
      <w:rFonts w:ascii="Tahoma" w:hAnsi="Tahoma" w:cs="Tahoma"/>
      <w:sz w:val="16"/>
      <w:szCs w:val="16"/>
    </w:rPr>
  </w:style>
  <w:style w:type="paragraph" w:styleId="Title">
    <w:name w:val="Title"/>
    <w:basedOn w:val="Normal"/>
    <w:next w:val="Normal"/>
    <w:link w:val="TitleChar"/>
    <w:qFormat/>
    <w:rsid w:val="0032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7D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09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Submission for Rickettsial TestingRickettsial Zoonoses Branch</dc:title>
  <dc:subject>Specimen Submission</dc:subject>
  <dc:creator>WAN6</dc:creator>
  <cp:keywords>specimen, submission</cp:keywords>
  <cp:lastModifiedBy>Mathieu Mazarin</cp:lastModifiedBy>
  <cp:revision>4</cp:revision>
  <cp:lastPrinted>2008-08-27T18:17:00Z</cp:lastPrinted>
  <dcterms:created xsi:type="dcterms:W3CDTF">2010-10-18T19:13:00Z</dcterms:created>
  <dcterms:modified xsi:type="dcterms:W3CDTF">2011-02-18T22:06:00Z</dcterms:modified>
  <cp:category>Rickettsial</cp:category>
</cp:coreProperties>
</file>